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437C5A3C" w14:textId="642BAB3A" w:rsidR="00BD499F" w:rsidRPr="004C23F4" w:rsidRDefault="00C3696D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</w:t>
          </w:r>
          <w:r w:rsidR="00450DBA">
            <w:rPr>
              <w:rFonts w:ascii="Arial" w:hAnsi="Arial" w:cs="Arial"/>
            </w:rPr>
            <w:t>henyl glycidyl ether (PG</w:t>
          </w:r>
          <w:r w:rsidR="002D7878">
            <w:rPr>
              <w:rFonts w:ascii="Arial" w:hAnsi="Arial" w:cs="Arial"/>
            </w:rPr>
            <w:t>e</w:t>
          </w:r>
          <w:r w:rsidR="00450DBA">
            <w:rPr>
              <w:rFonts w:ascii="Arial" w:hAnsi="Arial" w:cs="Arial"/>
            </w:rPr>
            <w:t>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69"/>
        <w:gridCol w:w="5057"/>
      </w:tblGrid>
      <w:tr w:rsidR="00F43AD5" w:rsidRPr="004C23F4" w14:paraId="7F176B83" w14:textId="77777777" w:rsidTr="00B76A41">
        <w:trPr>
          <w:cantSplit/>
          <w:tblHeader/>
        </w:trPr>
        <w:tc>
          <w:tcPr>
            <w:tcW w:w="4077" w:type="dxa"/>
          </w:tcPr>
          <w:p w14:paraId="149E92C8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2271B41C" w14:textId="77777777" w:rsidR="00F43AD5" w:rsidRPr="00717D45" w:rsidRDefault="00450DBA" w:rsidP="00B76A41">
            <w:pPr>
              <w:pStyle w:val="Tablefont"/>
            </w:pPr>
            <w:r w:rsidRPr="00450DBA">
              <w:t>122-60-1</w:t>
            </w:r>
          </w:p>
        </w:tc>
      </w:tr>
      <w:tr w:rsidR="00F43AD5" w:rsidRPr="004C23F4" w14:paraId="51C0B73C" w14:textId="77777777" w:rsidTr="00B76A41">
        <w:trPr>
          <w:cantSplit/>
        </w:trPr>
        <w:tc>
          <w:tcPr>
            <w:tcW w:w="4077" w:type="dxa"/>
          </w:tcPr>
          <w:p w14:paraId="40847C86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5A9E4F1" w14:textId="77777777" w:rsidR="00F43AD5" w:rsidRPr="00717D45" w:rsidRDefault="008F40D4" w:rsidP="008F40D4">
            <w:pPr>
              <w:pStyle w:val="Tablefont"/>
            </w:pPr>
            <w:r>
              <w:t>1,2-Epoxy-3-phenoxypropane, 2,3-epoxypropylphenylether, gamma-phenoxypropylene oxide, oxirane, PGE, phenoxymethyl, phenoxypropenoxid</w:t>
            </w:r>
          </w:p>
        </w:tc>
      </w:tr>
      <w:tr w:rsidR="00F43AD5" w:rsidRPr="004C23F4" w14:paraId="6A130E02" w14:textId="77777777" w:rsidTr="00B76A41">
        <w:trPr>
          <w:cantSplit/>
        </w:trPr>
        <w:tc>
          <w:tcPr>
            <w:tcW w:w="4077" w:type="dxa"/>
          </w:tcPr>
          <w:p w14:paraId="69424FC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2FFBCDCD" w14:textId="77777777" w:rsidR="00F43AD5" w:rsidRPr="00717D45" w:rsidRDefault="00811E36" w:rsidP="00B76A41">
            <w:pPr>
              <w:pStyle w:val="Tablefont"/>
            </w:pPr>
            <w:r w:rsidRPr="00811E36">
              <w:t>C</w:t>
            </w:r>
            <w:r w:rsidRPr="00811E36">
              <w:rPr>
                <w:vertAlign w:val="subscript"/>
              </w:rPr>
              <w:t>9</w:t>
            </w:r>
            <w:r w:rsidRPr="00811E36">
              <w:t>H</w:t>
            </w:r>
            <w:r w:rsidRPr="00811E36">
              <w:rPr>
                <w:vertAlign w:val="subscript"/>
              </w:rPr>
              <w:t>10</w:t>
            </w:r>
            <w:r w:rsidRPr="00811E36">
              <w:t>O</w:t>
            </w:r>
            <w:r w:rsidRPr="00811E36">
              <w:rPr>
                <w:vertAlign w:val="subscript"/>
              </w:rPr>
              <w:t>2</w:t>
            </w:r>
          </w:p>
        </w:tc>
      </w:tr>
      <w:tr w:rsidR="00F43AD5" w:rsidRPr="004C23F4" w14:paraId="530E3B89" w14:textId="77777777" w:rsidTr="00B76A41">
        <w:trPr>
          <w:cantSplit/>
        </w:trPr>
        <w:tc>
          <w:tcPr>
            <w:tcW w:w="4077" w:type="dxa"/>
          </w:tcPr>
          <w:p w14:paraId="780D4913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30B962C0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640EE42A" w14:textId="765A9ABF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163160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7AD2F391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2A540097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73A778D2" w14:textId="3AC6B8DC" w:rsidR="002C7AFE" w:rsidRPr="004C6B5F" w:rsidRDefault="004C695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</w:t>
            </w:r>
            <w:r w:rsidR="004C6B5F">
              <w:rPr>
                <w:b/>
              </w:rPr>
              <w:t xml:space="preserve"> ppm (6</w:t>
            </w:r>
            <w:r>
              <w:rPr>
                <w:b/>
              </w:rPr>
              <w:t>.1</w:t>
            </w:r>
            <w:r w:rsidR="004C6B5F">
              <w:rPr>
                <w:b/>
              </w:rPr>
              <w:t xml:space="preserve"> mg/m</w:t>
            </w:r>
            <w:r w:rsidR="004C6B5F">
              <w:rPr>
                <w:b/>
                <w:vertAlign w:val="superscript"/>
              </w:rPr>
              <w:t>3</w:t>
            </w:r>
            <w:r w:rsidR="004C6B5F">
              <w:rPr>
                <w:b/>
              </w:rPr>
              <w:t>)</w:t>
            </w:r>
          </w:p>
        </w:tc>
      </w:tr>
      <w:tr w:rsidR="00037E52" w:rsidRPr="004C23F4" w14:paraId="1641598F" w14:textId="77777777" w:rsidTr="00037E52">
        <w:trPr>
          <w:cantSplit/>
        </w:trPr>
        <w:tc>
          <w:tcPr>
            <w:tcW w:w="4010" w:type="dxa"/>
            <w:vAlign w:val="center"/>
          </w:tcPr>
          <w:p w14:paraId="09D6F572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1692BBF5" w14:textId="77777777" w:rsidR="00037E52" w:rsidRPr="00C3611A" w:rsidRDefault="00037E52" w:rsidP="00037E52">
            <w:pPr>
              <w:pStyle w:val="Tablefont"/>
            </w:pPr>
            <w:r w:rsidRPr="00C3611A">
              <w:t>—</w:t>
            </w:r>
          </w:p>
        </w:tc>
      </w:tr>
      <w:tr w:rsidR="00037E52" w:rsidRPr="004C23F4" w14:paraId="5B096334" w14:textId="77777777" w:rsidTr="00037E52">
        <w:trPr>
          <w:cantSplit/>
        </w:trPr>
        <w:tc>
          <w:tcPr>
            <w:tcW w:w="4010" w:type="dxa"/>
            <w:vAlign w:val="center"/>
          </w:tcPr>
          <w:p w14:paraId="64157539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263F0757" w14:textId="77777777" w:rsidR="00037E52" w:rsidRPr="00C3611A" w:rsidRDefault="00037E52" w:rsidP="00037E52">
            <w:pPr>
              <w:pStyle w:val="Tablefont"/>
            </w:pPr>
            <w:r w:rsidRPr="00C3611A">
              <w:t>—</w:t>
            </w:r>
          </w:p>
        </w:tc>
      </w:tr>
      <w:tr w:rsidR="00037E52" w:rsidRPr="004C23F4" w14:paraId="6CE47569" w14:textId="77777777" w:rsidTr="00037E52">
        <w:trPr>
          <w:cantSplit/>
        </w:trPr>
        <w:tc>
          <w:tcPr>
            <w:tcW w:w="4010" w:type="dxa"/>
          </w:tcPr>
          <w:p w14:paraId="122FB07D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4A9262C8" w14:textId="35F10870" w:rsidR="00037E52" w:rsidRPr="00EB3D1B" w:rsidRDefault="00A504E8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Carc. 1B, Sk.</w:t>
            </w:r>
            <w:r w:rsidR="00C3611A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="0045205F" w:rsidRPr="004C6B5F">
              <w:rPr>
                <w:b/>
              </w:rPr>
              <w:t>DSEN</w:t>
            </w:r>
          </w:p>
        </w:tc>
      </w:tr>
      <w:tr w:rsidR="00037E52" w:rsidRPr="004C23F4" w14:paraId="548FBA14" w14:textId="77777777" w:rsidTr="00037E52">
        <w:trPr>
          <w:cantSplit/>
        </w:trPr>
        <w:tc>
          <w:tcPr>
            <w:tcW w:w="4010" w:type="dxa"/>
            <w:vAlign w:val="center"/>
          </w:tcPr>
          <w:p w14:paraId="1379266C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29C3B8A7" w14:textId="792AF0E6" w:rsidR="00037E52" w:rsidRPr="00EB3D1B" w:rsidRDefault="00922BEA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100 ppm</w:t>
            </w:r>
          </w:p>
        </w:tc>
      </w:tr>
      <w:tr w:rsidR="008930A8" w:rsidRPr="004C23F4" w14:paraId="3589FA66" w14:textId="77777777" w:rsidTr="00FF2916">
        <w:trPr>
          <w:cantSplit/>
        </w:trPr>
        <w:tc>
          <w:tcPr>
            <w:tcW w:w="9026" w:type="dxa"/>
            <w:gridSpan w:val="2"/>
            <w:vAlign w:val="center"/>
          </w:tcPr>
          <w:p w14:paraId="14A914A7" w14:textId="7DD5B1EB" w:rsidR="008930A8" w:rsidRPr="008930A8" w:rsidRDefault="008930A8" w:rsidP="00037E52">
            <w:pPr>
              <w:pStyle w:val="Tablefont"/>
              <w:rPr>
                <w:b/>
              </w:rPr>
            </w:pPr>
            <w:r w:rsidRPr="008930A8">
              <w:rPr>
                <w:b/>
              </w:rPr>
              <w:t>Sampling and analysis:</w:t>
            </w:r>
            <w:r>
              <w:rPr>
                <w:b/>
              </w:rPr>
              <w:t xml:space="preserve"> </w:t>
            </w:r>
            <w:sdt>
              <w:sdtPr>
                <w:id w:val="-2105258949"/>
                <w:placeholder>
                  <w:docPart w:val="CF6FD813FFFE477FA22716FB46E8575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/>
              <w:sdtContent>
                <w:r w:rsidR="00C3611A"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0957E995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CA8BA65" w14:textId="17496955" w:rsidR="006639B4" w:rsidRDefault="002F1B6F" w:rsidP="000C139A">
      <w:pPr>
        <w:rPr>
          <w:rFonts w:cs="Arial"/>
        </w:rPr>
      </w:pPr>
      <w:r>
        <w:rPr>
          <w:rFonts w:cs="Arial"/>
        </w:rPr>
        <w:t>A</w:t>
      </w:r>
      <w:r w:rsidR="000110C8">
        <w:rPr>
          <w:rFonts w:cs="Arial"/>
        </w:rPr>
        <w:t xml:space="preserve"> </w:t>
      </w:r>
      <w:r>
        <w:rPr>
          <w:rFonts w:cs="Arial"/>
        </w:rPr>
        <w:t xml:space="preserve">TWA of </w:t>
      </w:r>
      <w:r w:rsidR="00236207">
        <w:rPr>
          <w:rFonts w:cs="Arial"/>
        </w:rPr>
        <w:t>1</w:t>
      </w:r>
      <w:r>
        <w:rPr>
          <w:rFonts w:cs="Arial"/>
        </w:rPr>
        <w:t xml:space="preserve"> ppm (6</w:t>
      </w:r>
      <w:r w:rsidR="004C695F">
        <w:rPr>
          <w:rFonts w:cs="Arial"/>
        </w:rPr>
        <w:t>.1</w:t>
      </w:r>
      <w:r>
        <w:rPr>
          <w:rFonts w:cs="Arial"/>
        </w:rPr>
        <w:t xml:space="preserve"> mg/m</w:t>
      </w:r>
      <w:r w:rsidRPr="002F1B6F">
        <w:rPr>
          <w:rFonts w:cs="Arial"/>
          <w:vertAlign w:val="superscript"/>
        </w:rPr>
        <w:t>3</w:t>
      </w:r>
      <w:r>
        <w:rPr>
          <w:rFonts w:cs="Arial"/>
        </w:rPr>
        <w:t>) is recommended to protect for sensitisation and irrita</w:t>
      </w:r>
      <w:r w:rsidR="000110C8">
        <w:rPr>
          <w:rFonts w:cs="Arial"/>
        </w:rPr>
        <w:t>tion of the respiratory tract in exposed workers</w:t>
      </w:r>
      <w:r>
        <w:rPr>
          <w:rFonts w:cs="Arial"/>
        </w:rPr>
        <w:t>.</w:t>
      </w:r>
      <w:r w:rsidR="0024523D">
        <w:rPr>
          <w:rFonts w:cs="Arial"/>
        </w:rPr>
        <w:t xml:space="preserve"> This TWA is also considered to minimise </w:t>
      </w:r>
      <w:r w:rsidR="0024523D">
        <w:t>the potential for nasal cancer demonstrated in animals.</w:t>
      </w:r>
    </w:p>
    <w:p w14:paraId="4003702F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365FC98" w14:textId="08AB1151" w:rsidR="00872322" w:rsidRDefault="002F1B6F" w:rsidP="006639B4">
      <w:r>
        <w:rPr>
          <w:rFonts w:cs="Arial"/>
        </w:rPr>
        <w:t xml:space="preserve">Phenyl glycidyl ether (PGE) is used </w:t>
      </w:r>
      <w:r>
        <w:t>in curing agents and epoxy resins</w:t>
      </w:r>
      <w:r w:rsidR="008B3BED">
        <w:t xml:space="preserve">. It </w:t>
      </w:r>
      <w:r w:rsidR="008938EE">
        <w:t>is an effective stabiliser of halogenated compounds and</w:t>
      </w:r>
      <w:r w:rsidR="00872322">
        <w:t xml:space="preserve"> is used</w:t>
      </w:r>
      <w:r w:rsidR="008938EE">
        <w:t xml:space="preserve"> as a solvent for halogenated materials. </w:t>
      </w:r>
    </w:p>
    <w:p w14:paraId="2FC2D32C" w14:textId="77777777" w:rsidR="00AF4FBC" w:rsidRDefault="00C3611A" w:rsidP="006639B4">
      <w:r>
        <w:t>Critical effects of e</w:t>
      </w:r>
      <w:r w:rsidR="008938EE">
        <w:t xml:space="preserve">xposure </w:t>
      </w:r>
      <w:r>
        <w:t>include</w:t>
      </w:r>
      <w:r w:rsidR="008938EE">
        <w:t xml:space="preserve"> allergic reactions, dermatitis with manifestations of blisters and </w:t>
      </w:r>
      <w:r>
        <w:t>second-degree</w:t>
      </w:r>
      <w:r w:rsidR="008938EE">
        <w:t xml:space="preserve"> burns</w:t>
      </w:r>
      <w:r w:rsidR="00F95EB4">
        <w:t>, respiratory tract irritation</w:t>
      </w:r>
      <w:r w:rsidR="008938EE">
        <w:t xml:space="preserve"> and skin sensitisation (ACGIH, 201</w:t>
      </w:r>
      <w:r w:rsidR="00FF73C4">
        <w:t>8</w:t>
      </w:r>
      <w:r w:rsidR="008938EE">
        <w:t xml:space="preserve">). </w:t>
      </w:r>
    </w:p>
    <w:p w14:paraId="06F553D0" w14:textId="476F92D2" w:rsidR="000110C8" w:rsidRDefault="006512C1" w:rsidP="006639B4">
      <w:r>
        <w:t xml:space="preserve">No inhalation studies </w:t>
      </w:r>
      <w:r w:rsidR="00010AA4">
        <w:t xml:space="preserve">are available </w:t>
      </w:r>
      <w:r>
        <w:t xml:space="preserve">in humans. </w:t>
      </w:r>
      <w:r w:rsidR="00AF4FBC">
        <w:t xml:space="preserve">No effects </w:t>
      </w:r>
      <w:r w:rsidR="009D7A47">
        <w:t xml:space="preserve">reported </w:t>
      </w:r>
      <w:r w:rsidR="00AF4FBC">
        <w:t xml:space="preserve">at 1 ppm on respiratory tract and skin irritation </w:t>
      </w:r>
      <w:r w:rsidR="00FD159E">
        <w:t xml:space="preserve">at </w:t>
      </w:r>
      <w:r w:rsidR="00AF4FBC">
        <w:t>5 ppm in a ten-</w:t>
      </w:r>
      <w:r w:rsidR="004C695F">
        <w:t xml:space="preserve">week study in rats. </w:t>
      </w:r>
      <w:r w:rsidR="00AF4FBC">
        <w:t>A NOAEC</w:t>
      </w:r>
      <w:r w:rsidR="005D420A">
        <w:t xml:space="preserve"> </w:t>
      </w:r>
      <w:r w:rsidR="009D7A47">
        <w:t xml:space="preserve">of </w:t>
      </w:r>
      <w:r w:rsidR="005D420A">
        <w:t>1.</w:t>
      </w:r>
      <w:r w:rsidR="00010AA4">
        <w:t>3 </w:t>
      </w:r>
      <w:r w:rsidR="005D420A">
        <w:t xml:space="preserve">ppm </w:t>
      </w:r>
      <w:r w:rsidR="00AF4FBC">
        <w:t xml:space="preserve">for </w:t>
      </w:r>
      <w:r w:rsidR="005D420A">
        <w:t>alopecia</w:t>
      </w:r>
      <w:r w:rsidR="00AF4FBC" w:rsidRPr="00AF4FBC">
        <w:t xml:space="preserve"> </w:t>
      </w:r>
      <w:r w:rsidR="009D7A47">
        <w:t xml:space="preserve">is reported </w:t>
      </w:r>
      <w:r w:rsidR="00AF4FBC">
        <w:t>in a 90-day inhalation study in rats;</w:t>
      </w:r>
      <w:r w:rsidR="005D420A">
        <w:t xml:space="preserve"> </w:t>
      </w:r>
      <w:r w:rsidR="00AF4FBC">
        <w:t xml:space="preserve">LOAEC </w:t>
      </w:r>
      <w:r w:rsidR="009D7A47">
        <w:t xml:space="preserve">of </w:t>
      </w:r>
      <w:r w:rsidR="00163160">
        <w:t xml:space="preserve">5 ppm attributed </w:t>
      </w:r>
      <w:r w:rsidR="00AF4FBC">
        <w:t>to skin irritation effect of the chemical</w:t>
      </w:r>
      <w:r w:rsidR="00AF4FBC" w:rsidDel="00AF4FBC">
        <w:t xml:space="preserve"> </w:t>
      </w:r>
      <w:r w:rsidR="005D420A">
        <w:t>(ACGIH, 201</w:t>
      </w:r>
      <w:r w:rsidR="00872322">
        <w:t>8</w:t>
      </w:r>
      <w:r w:rsidR="005D420A">
        <w:t xml:space="preserve">). </w:t>
      </w:r>
      <w:r w:rsidR="000C2D4D">
        <w:t>Carcinogenic effects (nasal tumours) reported in a</w:t>
      </w:r>
      <w:r w:rsidR="00B73002">
        <w:t xml:space="preserve"> chronic inhalation study in rats </w:t>
      </w:r>
      <w:r w:rsidR="000C2D4D">
        <w:t>with</w:t>
      </w:r>
      <w:r w:rsidR="00764B1A">
        <w:t xml:space="preserve"> a </w:t>
      </w:r>
      <w:r w:rsidR="0092179E">
        <w:t xml:space="preserve">NOAEC </w:t>
      </w:r>
      <w:r w:rsidR="00764B1A">
        <w:t xml:space="preserve">of 1 ppm and a </w:t>
      </w:r>
      <w:r w:rsidR="0092179E">
        <w:t xml:space="preserve">LOAEC </w:t>
      </w:r>
      <w:r w:rsidR="00764B1A">
        <w:t>of 12</w:t>
      </w:r>
      <w:r w:rsidR="00216243">
        <w:t> </w:t>
      </w:r>
      <w:r w:rsidR="00764B1A">
        <w:t>ppm</w:t>
      </w:r>
      <w:r w:rsidR="000D7445">
        <w:t xml:space="preserve"> </w:t>
      </w:r>
      <w:r w:rsidR="00B73002">
        <w:t>(ECHA, 2019)</w:t>
      </w:r>
      <w:r w:rsidR="000D7445">
        <w:t xml:space="preserve">. </w:t>
      </w:r>
      <w:r w:rsidR="00373BA9">
        <w:t>There is n</w:t>
      </w:r>
      <w:r w:rsidR="000D7445">
        <w:t>o evidence of carcinogenicity in humans</w:t>
      </w:r>
      <w:r w:rsidR="00B73002">
        <w:t xml:space="preserve">. </w:t>
      </w:r>
    </w:p>
    <w:p w14:paraId="5A74AD95" w14:textId="7914574C" w:rsidR="002F1B6F" w:rsidRPr="004C23F4" w:rsidRDefault="00163160" w:rsidP="006639B4">
      <w:pPr>
        <w:rPr>
          <w:rFonts w:cs="Arial"/>
        </w:rPr>
      </w:pPr>
      <w:r>
        <w:t>A</w:t>
      </w:r>
      <w:r w:rsidR="0024523D">
        <w:t xml:space="preserve"> TWA of 1 ppm</w:t>
      </w:r>
      <w:r w:rsidR="000D3F9D">
        <w:t xml:space="preserve"> </w:t>
      </w:r>
      <w:r w:rsidR="000D3F9D">
        <w:rPr>
          <w:rFonts w:cs="Arial"/>
        </w:rPr>
        <w:t>(6.1 mg/m</w:t>
      </w:r>
      <w:r w:rsidR="000D3F9D" w:rsidRPr="002F1B6F">
        <w:rPr>
          <w:rFonts w:cs="Arial"/>
          <w:vertAlign w:val="superscript"/>
        </w:rPr>
        <w:t>3</w:t>
      </w:r>
      <w:r w:rsidR="000D3F9D">
        <w:rPr>
          <w:rFonts w:cs="Arial"/>
        </w:rPr>
        <w:t>)</w:t>
      </w:r>
      <w:r w:rsidR="0024523D">
        <w:t xml:space="preserve"> </w:t>
      </w:r>
      <w:r w:rsidR="00764B1A">
        <w:t xml:space="preserve">is </w:t>
      </w:r>
      <w:r w:rsidR="0024523D">
        <w:t xml:space="preserve">recommended </w:t>
      </w:r>
      <w:r w:rsidR="00926F42">
        <w:t>to be retained and</w:t>
      </w:r>
      <w:r>
        <w:t xml:space="preserve"> is considered protective of</w:t>
      </w:r>
      <w:r w:rsidR="0024523D">
        <w:t xml:space="preserve"> </w:t>
      </w:r>
      <w:r w:rsidR="00926F42">
        <w:t>respiratory tract and skin irritation</w:t>
      </w:r>
      <w:r w:rsidR="00926F42" w:rsidDel="00926F42">
        <w:t xml:space="preserve"> </w:t>
      </w:r>
      <w:r w:rsidR="00926F42">
        <w:t>observed in animals</w:t>
      </w:r>
      <w:r w:rsidR="0024523D">
        <w:t xml:space="preserve">. </w:t>
      </w:r>
      <w:r w:rsidR="00584268">
        <w:t>The TWA is also considered to protect for</w:t>
      </w:r>
      <w:r w:rsidR="00373BA9">
        <w:t xml:space="preserve"> nasal cancers observed in animals.</w:t>
      </w:r>
    </w:p>
    <w:p w14:paraId="42EC57F0" w14:textId="77777777" w:rsidR="004529F0" w:rsidRPr="004C23F4" w:rsidRDefault="004529F0" w:rsidP="00010AA4">
      <w:pPr>
        <w:pStyle w:val="Heading2"/>
        <w:keepNext w:val="0"/>
      </w:pPr>
      <w:r>
        <w:t>Recommendation for notations</w:t>
      </w:r>
    </w:p>
    <w:p w14:paraId="7FF66222" w14:textId="627E14E4" w:rsidR="008E4F1F" w:rsidRPr="008E4F1F" w:rsidRDefault="00517762" w:rsidP="00010AA4">
      <w:pPr>
        <w:rPr>
          <w:rFonts w:cs="Arial"/>
          <w:highlight w:val="yellow"/>
        </w:rPr>
      </w:pPr>
      <w:r>
        <w:rPr>
          <w:rFonts w:cs="Arial"/>
        </w:rPr>
        <w:lastRenderedPageBreak/>
        <w:t>C</w:t>
      </w:r>
      <w:r w:rsidRPr="0017329C">
        <w:rPr>
          <w:rFonts w:cs="Arial"/>
        </w:rPr>
        <w:t>lassified</w:t>
      </w:r>
      <w:r w:rsidRPr="00CE64B9">
        <w:rPr>
          <w:rFonts w:cs="Arial"/>
        </w:rPr>
        <w:t xml:space="preserve"> as a </w:t>
      </w:r>
      <w:r>
        <w:rPr>
          <w:rFonts w:cs="Arial"/>
        </w:rPr>
        <w:t xml:space="preserve">category 1B </w:t>
      </w:r>
      <w:r w:rsidRPr="00CE64B9">
        <w:rPr>
          <w:rFonts w:cs="Arial"/>
        </w:rPr>
        <w:t>carcinogen according to the Globally Harmonized System of Classification a</w:t>
      </w:r>
      <w:r>
        <w:rPr>
          <w:rFonts w:cs="Arial"/>
        </w:rPr>
        <w:t>nd Labelling of Chemicals (GHS)</w:t>
      </w:r>
      <w:r w:rsidR="008E4F1F" w:rsidRPr="00517762">
        <w:rPr>
          <w:rFonts w:cs="Arial"/>
        </w:rPr>
        <w:t>.</w:t>
      </w:r>
      <w:r w:rsidR="008E4F1F" w:rsidRPr="008E4F1F">
        <w:rPr>
          <w:rFonts w:cs="Arial"/>
          <w:highlight w:val="yellow"/>
        </w:rPr>
        <w:t xml:space="preserve"> </w:t>
      </w:r>
    </w:p>
    <w:p w14:paraId="2A1FAB4A" w14:textId="7846BF43" w:rsidR="008E4F1F" w:rsidRPr="008E4F1F" w:rsidRDefault="00375772" w:rsidP="00010AA4">
      <w:pPr>
        <w:rPr>
          <w:rFonts w:cs="Arial"/>
          <w:highlight w:val="yellow"/>
        </w:rPr>
      </w:pPr>
      <w:r>
        <w:rPr>
          <w:rFonts w:cs="Arial"/>
        </w:rPr>
        <w:t xml:space="preserve">Classified as a skin sensitiser </w:t>
      </w:r>
      <w:r w:rsidR="00216243">
        <w:rPr>
          <w:rFonts w:cs="Arial"/>
        </w:rPr>
        <w:t xml:space="preserve">and </w:t>
      </w:r>
      <w:r>
        <w:rPr>
          <w:rFonts w:cs="Arial"/>
        </w:rPr>
        <w:t>not a respiratory sensitiser according to the GHS</w:t>
      </w:r>
      <w:r w:rsidR="008E4F1F" w:rsidRPr="00375772">
        <w:rPr>
          <w:rFonts w:cs="Arial"/>
        </w:rPr>
        <w:t>.</w:t>
      </w:r>
    </w:p>
    <w:p w14:paraId="1BFAEFF4" w14:textId="57EC4850" w:rsidR="004529F0" w:rsidRPr="004C23F4" w:rsidRDefault="00375772" w:rsidP="00010AA4">
      <w:pPr>
        <w:rPr>
          <w:rFonts w:cs="Arial"/>
        </w:rPr>
      </w:pPr>
      <w:r w:rsidRPr="00375772">
        <w:rPr>
          <w:rFonts w:cs="Arial"/>
        </w:rPr>
        <w:t>A skin notation is recommended based on evidence suggesting potential dermal absorption and adverse systemic effects in animals</w:t>
      </w:r>
      <w:r w:rsidR="008E4F1F" w:rsidRPr="00375772">
        <w:rPr>
          <w:rFonts w:cs="Arial"/>
        </w:rPr>
        <w:t>.</w:t>
      </w:r>
    </w:p>
    <w:p w14:paraId="04D434B8" w14:textId="77777777" w:rsidR="0025734A" w:rsidRPr="004C23F4" w:rsidRDefault="0025734A">
      <w:pPr>
        <w:rPr>
          <w:rFonts w:cs="Arial"/>
        </w:rPr>
      </w:pPr>
    </w:p>
    <w:p w14:paraId="5BF7187C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31733C3E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CDADF48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773EAF" w14:paraId="20DC9FD3" w14:textId="77777777" w:rsidTr="00773EAF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3B48EF1" w14:textId="77777777" w:rsidR="00C978F0" w:rsidRPr="00773EAF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  <w:rPr>
                <w:b/>
              </w:rPr>
            </w:pPr>
            <w:r w:rsidRPr="00773EAF">
              <w:rPr>
                <w:b/>
              </w:rPr>
              <w:t>Source</w:t>
            </w:r>
            <w:r w:rsidR="00DA352E" w:rsidRPr="00773EAF">
              <w:rPr>
                <w:b/>
              </w:rPr>
              <w:tab/>
              <w:t>Year set</w:t>
            </w:r>
            <w:r w:rsidR="00DA352E" w:rsidRPr="00773EAF">
              <w:rPr>
                <w:b/>
              </w:rPr>
              <w:tab/>
              <w:t>Standard</w:t>
            </w:r>
            <w:r w:rsidR="00974F2D" w:rsidRPr="00773EAF">
              <w:rPr>
                <w:b/>
              </w:rPr>
              <w:tab/>
            </w:r>
          </w:p>
        </w:tc>
      </w:tr>
      <w:tr w:rsidR="00DE26E8" w:rsidRPr="003365A5" w14:paraId="60A8257E" w14:textId="77777777" w:rsidTr="00773EAF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AEC272F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2D7878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2D7878">
                  <w:t>TWA: 1 ppm (</w:t>
                </w:r>
                <w:r w:rsidR="00254988">
                  <w:t>6.1 mg/m</w:t>
                </w:r>
                <w:r w:rsidR="00254988" w:rsidRPr="00254988">
                  <w:rPr>
                    <w:vertAlign w:val="superscript"/>
                  </w:rPr>
                  <w:t>3</w:t>
                </w:r>
                <w:r w:rsidR="00254988">
                  <w:t>)</w:t>
                </w:r>
              </w:sdtContent>
            </w:sdt>
          </w:p>
        </w:tc>
      </w:tr>
      <w:tr w:rsidR="00C978F0" w:rsidRPr="00DA352E" w14:paraId="4E55EE1C" w14:textId="77777777" w:rsidTr="00773EAF">
        <w:trPr>
          <w:gridAfter w:val="1"/>
          <w:wAfter w:w="8" w:type="pct"/>
          <w:cantSplit/>
        </w:trPr>
        <w:tc>
          <w:tcPr>
            <w:tcW w:w="4992" w:type="pct"/>
          </w:tcPr>
          <w:p w14:paraId="2DB3306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7F22BD01" w14:textId="77777777" w:rsidTr="00773EAF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19C9591" w14:textId="31CD610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254988">
                  <w:t>2014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254988">
                  <w:t>TLV-</w:t>
                </w:r>
                <w:r w:rsidR="00254988" w:rsidRPr="00254988">
                  <w:t xml:space="preserve">TWA: </w:t>
                </w:r>
                <w:r w:rsidR="00540AD9">
                  <w:t>0.</w:t>
                </w:r>
                <w:r w:rsidR="00254988" w:rsidRPr="00254988">
                  <w:t>1 ppm (</w:t>
                </w:r>
                <w:r w:rsidR="00540AD9">
                  <w:t>0.6</w:t>
                </w:r>
                <w:r w:rsidR="00254988" w:rsidRPr="00254988">
                  <w:t xml:space="preserve"> mg/m</w:t>
                </w:r>
                <w:r w:rsidR="00254988" w:rsidRPr="00254988">
                  <w:rPr>
                    <w:vertAlign w:val="superscript"/>
                  </w:rPr>
                  <w:t>3</w:t>
                </w:r>
                <w:r w:rsidR="00254988" w:rsidRPr="00254988">
                  <w:t>)</w:t>
                </w:r>
              </w:sdtContent>
            </w:sdt>
          </w:p>
        </w:tc>
      </w:tr>
      <w:tr w:rsidR="00C978F0" w:rsidRPr="00DA352E" w14:paraId="5D14E2BB" w14:textId="77777777" w:rsidTr="00773EAF">
        <w:trPr>
          <w:gridAfter w:val="1"/>
          <w:wAfter w:w="8" w:type="pct"/>
        </w:trPr>
        <w:tc>
          <w:tcPr>
            <w:tcW w:w="4992" w:type="pct"/>
          </w:tcPr>
          <w:p w14:paraId="56158394" w14:textId="77777777" w:rsidR="0045205F" w:rsidRDefault="0045205F" w:rsidP="00331C89">
            <w:pPr>
              <w:pStyle w:val="Tabletextprimarysource"/>
            </w:pPr>
            <w:r>
              <w:t>TLV-TWA recommended to minimise the potential for testicular toxicity, nasal cancer and sensitisation.</w:t>
            </w:r>
          </w:p>
          <w:p w14:paraId="66E24F1A" w14:textId="6E52D219" w:rsidR="00C978F0" w:rsidRDefault="0045205F" w:rsidP="00331C89">
            <w:pPr>
              <w:pStyle w:val="Tabletextprimarysource"/>
            </w:pPr>
            <w:r>
              <w:t>Summary of data:</w:t>
            </w:r>
          </w:p>
          <w:p w14:paraId="4A13F513" w14:textId="77777777" w:rsidR="0045205F" w:rsidRDefault="0045205F" w:rsidP="00331C89">
            <w:pPr>
              <w:pStyle w:val="Tabletextprimarysource"/>
            </w:pPr>
            <w:r>
              <w:t>Human data:</w:t>
            </w:r>
          </w:p>
          <w:p w14:paraId="620C7941" w14:textId="77777777" w:rsidR="0045205F" w:rsidRDefault="0045205F" w:rsidP="00C3611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reports of systemic intoxication</w:t>
            </w:r>
          </w:p>
          <w:p w14:paraId="5B439B60" w14:textId="600AC84B" w:rsidR="000110C8" w:rsidRDefault="0045205F" w:rsidP="00C3611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Irritation, allergic reactions </w:t>
            </w:r>
            <w:r w:rsidR="00B66A5B">
              <w:t>(from prolonged or repeated contact) and skin sensitisation results from direct skin contact</w:t>
            </w:r>
            <w:r w:rsidR="000C2D4D">
              <w:t xml:space="preserve"> (no details of exposure reported)</w:t>
            </w:r>
            <w:r w:rsidR="00B73B05">
              <w:t>:</w:t>
            </w:r>
          </w:p>
          <w:p w14:paraId="10571F7E" w14:textId="59EEBF04" w:rsidR="0045205F" w:rsidRDefault="000110C8" w:rsidP="00D571E4">
            <w:pPr>
              <w:pStyle w:val="ListBullet"/>
              <w:numPr>
                <w:ilvl w:val="0"/>
                <w:numId w:val="11"/>
              </w:numPr>
              <w:spacing w:before="60" w:after="60"/>
              <w:contextualSpacing w:val="0"/>
            </w:pPr>
            <w:r>
              <w:t>o</w:t>
            </w:r>
            <w:r w:rsidR="00B66A5B">
              <w:t xml:space="preserve">ccupational exposure caused dermatitis, with </w:t>
            </w:r>
            <w:r w:rsidR="00810DAE">
              <w:t xml:space="preserve">manifestations of </w:t>
            </w:r>
            <w:r w:rsidR="00B66A5B">
              <w:t>blisters and second</w:t>
            </w:r>
            <w:r w:rsidR="000C2D4D">
              <w:noBreakHyphen/>
            </w:r>
            <w:r w:rsidR="00B66A5B">
              <w:t>degree burns</w:t>
            </w:r>
          </w:p>
          <w:p w14:paraId="278411FB" w14:textId="1CFD594B" w:rsidR="000110C8" w:rsidRDefault="00C3611A" w:rsidP="00C3611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</w:t>
            </w:r>
            <w:r w:rsidR="00810DAE">
              <w:t xml:space="preserve">ermatitis cases reported in </w:t>
            </w:r>
            <w:r>
              <w:t>13/</w:t>
            </w:r>
            <w:r w:rsidR="00810DAE">
              <w:t>20 workers exposed 2 mo/y</w:t>
            </w:r>
            <w:r w:rsidR="00331C89">
              <w:t>r</w:t>
            </w:r>
            <w:r w:rsidR="00810DAE">
              <w:t xml:space="preserve"> (1947-1956)</w:t>
            </w:r>
            <w:r w:rsidR="00B73B05">
              <w:t>:</w:t>
            </w:r>
            <w:r w:rsidR="00810DAE">
              <w:t xml:space="preserve"> </w:t>
            </w:r>
          </w:p>
          <w:p w14:paraId="4C910C3B" w14:textId="3EF361E8" w:rsidR="00810DAE" w:rsidRDefault="000C2D4D" w:rsidP="00D571E4">
            <w:pPr>
              <w:pStyle w:val="ListBullet"/>
              <w:numPr>
                <w:ilvl w:val="0"/>
                <w:numId w:val="11"/>
              </w:numPr>
              <w:spacing w:before="60" w:after="60"/>
              <w:contextualSpacing w:val="0"/>
            </w:pPr>
            <w:r>
              <w:t>S</w:t>
            </w:r>
            <w:r w:rsidR="00810DAE">
              <w:t>igns of clinical sensitisation (including second degree burns, blisters, swelling of connective tissue and oedema)</w:t>
            </w:r>
            <w:r>
              <w:t xml:space="preserve"> </w:t>
            </w:r>
            <w:r w:rsidR="00464D95">
              <w:t>in</w:t>
            </w:r>
            <w:r>
              <w:t xml:space="preserve"> one worker</w:t>
            </w:r>
          </w:p>
          <w:p w14:paraId="76968C9F" w14:textId="24F577F0" w:rsidR="009A4077" w:rsidRDefault="009A4077" w:rsidP="00C3611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Mean time to sensitisation in exposed workers 6.5 mo</w:t>
            </w:r>
          </w:p>
          <w:p w14:paraId="367DDD0A" w14:textId="3E5766EA" w:rsidR="000110C8" w:rsidRDefault="000C2D4D" w:rsidP="00C3611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Reported contact </w:t>
            </w:r>
            <w:r w:rsidR="00810DAE">
              <w:t>dermatitis in 20 workers at aircraft factory</w:t>
            </w:r>
            <w:r>
              <w:t xml:space="preserve"> with </w:t>
            </w:r>
            <w:r w:rsidR="00810DAE">
              <w:t xml:space="preserve">symptoms ranging from slight erythema to strong </w:t>
            </w:r>
            <w:r w:rsidR="00FF50C9">
              <w:t>vesicular lesions on upper extremities and face</w:t>
            </w:r>
            <w:r w:rsidR="00B73B05">
              <w:t>:</w:t>
            </w:r>
          </w:p>
          <w:p w14:paraId="7246667C" w14:textId="352A87CC" w:rsidR="00810DAE" w:rsidRDefault="000110C8" w:rsidP="00D571E4">
            <w:pPr>
              <w:pStyle w:val="ListBullet"/>
              <w:numPr>
                <w:ilvl w:val="0"/>
                <w:numId w:val="11"/>
              </w:numPr>
              <w:spacing w:before="60" w:after="60"/>
              <w:contextualSpacing w:val="0"/>
            </w:pPr>
            <w:r>
              <w:t>p</w:t>
            </w:r>
            <w:r w:rsidR="00FF50C9">
              <w:t>atch testing found 13/20 positive for epoxy-resin containing PGE</w:t>
            </w:r>
          </w:p>
          <w:p w14:paraId="6BA9333F" w14:textId="3BA8723A" w:rsidR="00FF50C9" w:rsidRDefault="007C668F" w:rsidP="00C3611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2.6% of 360 patients exposed to plastics exhibited allergic patch test reactions</w:t>
            </w:r>
          </w:p>
          <w:p w14:paraId="58B7AFAD" w14:textId="48330219" w:rsidR="007C668F" w:rsidRDefault="007C668F" w:rsidP="00C3611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Reports of cross-sensitisation between allyl glycidyl ether, n-butyl glycidyl ether and PGE</w:t>
            </w:r>
            <w:r w:rsidR="00331C89">
              <w:t>.</w:t>
            </w:r>
          </w:p>
          <w:p w14:paraId="26D00C40" w14:textId="77777777" w:rsidR="007C668F" w:rsidRDefault="007C668F" w:rsidP="00331C89">
            <w:pPr>
              <w:pStyle w:val="Tabletextprimarysource"/>
            </w:pPr>
            <w:r>
              <w:t>Animal data:</w:t>
            </w:r>
          </w:p>
          <w:p w14:paraId="5B7C53F3" w14:textId="77777777" w:rsidR="007C668F" w:rsidRDefault="00ED6258" w:rsidP="00C3611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Large doses caused death in experimental animals by CNS depression and respiratory muscle paralysis</w:t>
            </w:r>
          </w:p>
          <w:p w14:paraId="666F110B" w14:textId="2BD9903E" w:rsidR="00ED6258" w:rsidRDefault="00ED6258" w:rsidP="00C3611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ED6258">
              <w:rPr>
                <w:vertAlign w:val="subscript"/>
              </w:rPr>
              <w:t>50</w:t>
            </w:r>
            <w:r>
              <w:t>: 2,160–2,990 mg/kg bw (rabbits, dermal)</w:t>
            </w:r>
          </w:p>
          <w:p w14:paraId="60816905" w14:textId="4409DBD6" w:rsidR="000110C8" w:rsidRDefault="00ED6258" w:rsidP="00C3611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Application to shaved backs of rats caused haematopoietic depression</w:t>
            </w:r>
            <w:r w:rsidR="00B73B05">
              <w:t>:</w:t>
            </w:r>
          </w:p>
          <w:p w14:paraId="08A72FA7" w14:textId="271B5E30" w:rsidR="00ED6258" w:rsidRDefault="00ED6258" w:rsidP="00D571E4">
            <w:pPr>
              <w:pStyle w:val="ListBullet"/>
              <w:numPr>
                <w:ilvl w:val="0"/>
                <w:numId w:val="11"/>
              </w:numPr>
              <w:spacing w:before="60" w:after="60"/>
              <w:contextualSpacing w:val="0"/>
            </w:pPr>
            <w:r>
              <w:t>also found in rabbits following topical application or iv injection and in dogs following iv injection</w:t>
            </w:r>
          </w:p>
          <w:p w14:paraId="3A4089D0" w14:textId="49437C87" w:rsidR="000110C8" w:rsidRDefault="00B746DF" w:rsidP="00C3611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Exposure at 5–12 ppm (30–72 mg/m</w:t>
            </w:r>
            <w:r w:rsidRPr="00B746DF">
              <w:rPr>
                <w:vertAlign w:val="superscript"/>
              </w:rPr>
              <w:t>3</w:t>
            </w:r>
            <w:r>
              <w:t>), 5 d/wk for 10 wk in rats caused respiratory tract and skin irritation</w:t>
            </w:r>
            <w:r w:rsidR="00B73B05">
              <w:t>:</w:t>
            </w:r>
          </w:p>
          <w:p w14:paraId="1F242FB9" w14:textId="5FF90DFC" w:rsidR="000110C8" w:rsidRDefault="00B746DF" w:rsidP="00D571E4">
            <w:pPr>
              <w:pStyle w:val="ListBullet"/>
              <w:numPr>
                <w:ilvl w:val="0"/>
                <w:numId w:val="11"/>
              </w:numPr>
              <w:spacing w:before="60" w:after="60"/>
              <w:contextualSpacing w:val="0"/>
            </w:pPr>
            <w:r>
              <w:t>no effects at 1 ppm (6 mg/m</w:t>
            </w:r>
            <w:r w:rsidRPr="00B746DF">
              <w:rPr>
                <w:vertAlign w:val="superscript"/>
              </w:rPr>
              <w:t>3</w:t>
            </w:r>
            <w:r>
              <w:t>)</w:t>
            </w:r>
          </w:p>
          <w:p w14:paraId="18C64699" w14:textId="709A5F60" w:rsidR="00ED6258" w:rsidRDefault="00B746DF" w:rsidP="00D571E4">
            <w:pPr>
              <w:pStyle w:val="ListBullet"/>
              <w:numPr>
                <w:ilvl w:val="0"/>
                <w:numId w:val="11"/>
              </w:numPr>
              <w:spacing w:before="60" w:after="60"/>
              <w:contextualSpacing w:val="0"/>
            </w:pPr>
            <w:r>
              <w:t>at 10 ppm, respiratory tract inflammation and signs of liver necrosis</w:t>
            </w:r>
          </w:p>
          <w:p w14:paraId="21D93966" w14:textId="3EA18E05" w:rsidR="00B746DF" w:rsidRDefault="00B746DF" w:rsidP="00C3611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90</w:t>
            </w:r>
            <w:r w:rsidR="00B73B05">
              <w:t>-</w:t>
            </w:r>
            <w:r>
              <w:t>d inhalation chamber study in rats and dogs (exposure at 0, 1.3, 5 and 11.8 ppm, 6</w:t>
            </w:r>
            <w:r w:rsidR="00331C89">
              <w:t> </w:t>
            </w:r>
            <w:r>
              <w:t xml:space="preserve">h/d, </w:t>
            </w:r>
            <w:r w:rsidR="00654D47">
              <w:t>5 d/wk); no adverse effects in rats at 1.3 ppm, but alopecia</w:t>
            </w:r>
            <w:r w:rsidR="003B2673">
              <w:t xml:space="preserve"> observed beyond this dose</w:t>
            </w:r>
            <w:r w:rsidR="00163160">
              <w:t>, attributed to skin irritation effect of the chemical</w:t>
            </w:r>
            <w:r w:rsidR="00654D47">
              <w:t>; no adverse effects in dogs at any exposure</w:t>
            </w:r>
          </w:p>
          <w:p w14:paraId="6D51EB26" w14:textId="7A3B6239" w:rsidR="00654D47" w:rsidRDefault="00654D47" w:rsidP="00C3611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Chronic inhalation study in male and female rats, exposed at 0, 1 or 12 ppm for 6 h/d, 5</w:t>
            </w:r>
            <w:r w:rsidR="00331C89">
              <w:t> </w:t>
            </w:r>
            <w:r>
              <w:t>d/wk for 24 mo; nasal tumours found in both sexes exposed at 12 ppm</w:t>
            </w:r>
            <w:r w:rsidR="000C2D4D">
              <w:t xml:space="preserve"> (NOAEC of 1 ppm)</w:t>
            </w:r>
          </w:p>
          <w:p w14:paraId="15977648" w14:textId="47F897BC" w:rsidR="00540AD9" w:rsidRDefault="00540AD9" w:rsidP="00C3611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Mutagenic in </w:t>
            </w:r>
            <w:r>
              <w:rPr>
                <w:i/>
              </w:rPr>
              <w:t>S</w:t>
            </w:r>
            <w:r w:rsidR="009D213A">
              <w:rPr>
                <w:i/>
              </w:rPr>
              <w:t>.</w:t>
            </w:r>
            <w:r>
              <w:rPr>
                <w:i/>
              </w:rPr>
              <w:t xml:space="preserve"> typhimurium</w:t>
            </w:r>
            <w:r w:rsidR="009D213A">
              <w:t xml:space="preserve">, </w:t>
            </w:r>
            <w:r w:rsidR="009D213A">
              <w:rPr>
                <w:i/>
              </w:rPr>
              <w:t>E. coli</w:t>
            </w:r>
            <w:r w:rsidR="009D213A">
              <w:t xml:space="preserve"> and </w:t>
            </w:r>
            <w:r w:rsidR="009D213A">
              <w:rPr>
                <w:i/>
              </w:rPr>
              <w:t>K. pneumoniae</w:t>
            </w:r>
          </w:p>
          <w:p w14:paraId="400E04CB" w14:textId="2563676E" w:rsidR="00641C99" w:rsidRDefault="00540AD9" w:rsidP="00C3611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Uptakes of 13.5 mg/cm</w:t>
            </w:r>
            <w:r w:rsidRPr="00540AD9">
              <w:rPr>
                <w:vertAlign w:val="superscript"/>
              </w:rPr>
              <w:t>2</w:t>
            </w:r>
            <w:r w:rsidR="00C3611A">
              <w:t>/h</w:t>
            </w:r>
            <w:r>
              <w:t xml:space="preserve"> in rats and 4.2 mg/cm</w:t>
            </w:r>
            <w:r w:rsidRPr="00540AD9">
              <w:rPr>
                <w:vertAlign w:val="superscript"/>
              </w:rPr>
              <w:t>2</w:t>
            </w:r>
            <w:r>
              <w:t>/h in rabbits following topical application (dose not provided)</w:t>
            </w:r>
            <w:r w:rsidR="00F75B23">
              <w:t>.</w:t>
            </w:r>
          </w:p>
          <w:p w14:paraId="1B1510E2" w14:textId="77777777" w:rsidR="000110C8" w:rsidRDefault="000110C8" w:rsidP="00331C89">
            <w:pPr>
              <w:pStyle w:val="Tabletextprimarysource"/>
            </w:pPr>
          </w:p>
          <w:p w14:paraId="56B431FE" w14:textId="77777777" w:rsidR="00464D95" w:rsidRDefault="00540AD9" w:rsidP="00331C89">
            <w:pPr>
              <w:pStyle w:val="Tabletextprimarysource"/>
            </w:pPr>
            <w:r>
              <w:t>Skin and DSEN notation assigned, insufficient data to recommend a TLV-STEL or RSEN notation.</w:t>
            </w:r>
          </w:p>
          <w:p w14:paraId="72B9CDB1" w14:textId="242C6890" w:rsidR="00021C51" w:rsidRPr="00DA352E" w:rsidRDefault="00540AD9" w:rsidP="00331C89">
            <w:pPr>
              <w:pStyle w:val="Tabletextprimarysource"/>
            </w:pPr>
            <w:r>
              <w:t xml:space="preserve"> </w:t>
            </w:r>
          </w:p>
        </w:tc>
      </w:tr>
      <w:tr w:rsidR="00C978F0" w:rsidRPr="00DA352E" w14:paraId="28967004" w14:textId="77777777" w:rsidTr="00773EAF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54AFB46" w14:textId="6E899ED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DD7D44">
                  <w:t>1992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DD7D44">
                  <w:t>Not assigned</w:t>
                </w:r>
              </w:sdtContent>
            </w:sdt>
          </w:p>
        </w:tc>
      </w:tr>
      <w:tr w:rsidR="00C978F0" w:rsidRPr="00DA352E" w14:paraId="6BEF1085" w14:textId="77777777" w:rsidTr="00773EAF">
        <w:trPr>
          <w:gridAfter w:val="1"/>
          <w:wAfter w:w="8" w:type="pct"/>
          <w:cantSplit/>
        </w:trPr>
        <w:tc>
          <w:tcPr>
            <w:tcW w:w="4992" w:type="pct"/>
          </w:tcPr>
          <w:p w14:paraId="08AF054D" w14:textId="77777777" w:rsidR="00C978F0" w:rsidRDefault="00CB43A6" w:rsidP="003365A5">
            <w:pPr>
              <w:pStyle w:val="Tabletextprimarysource"/>
            </w:pPr>
            <w:r>
              <w:t>Summary of additional data:</w:t>
            </w:r>
          </w:p>
          <w:p w14:paraId="51C1722B" w14:textId="15998B88" w:rsidR="00CB43A6" w:rsidRDefault="003B2673" w:rsidP="00C3611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Genotoxic effects not seen in </w:t>
            </w:r>
            <w:r>
              <w:rPr>
                <w:i/>
              </w:rPr>
              <w:t>i</w:t>
            </w:r>
            <w:r w:rsidR="00D31578">
              <w:rPr>
                <w:i/>
              </w:rPr>
              <w:t xml:space="preserve">n vivo </w:t>
            </w:r>
            <w:r w:rsidR="00D31578">
              <w:t xml:space="preserve">tests </w:t>
            </w:r>
            <w:r>
              <w:t xml:space="preserve">in </w:t>
            </w:r>
            <w:r w:rsidR="00D31578">
              <w:t>mice and rats</w:t>
            </w:r>
            <w:r w:rsidR="00375772">
              <w:t>.</w:t>
            </w:r>
          </w:p>
          <w:p w14:paraId="2E541D26" w14:textId="4B031ECD" w:rsidR="000110C8" w:rsidRPr="00D571E4" w:rsidRDefault="000110C8" w:rsidP="00D571E4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05C3D384" w14:textId="77777777" w:rsidTr="00773EAF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D59B6BA" w14:textId="2BDB2C8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625B0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625B05">
                  <w:t>NA</w:t>
                </w:r>
              </w:sdtContent>
            </w:sdt>
          </w:p>
        </w:tc>
      </w:tr>
      <w:tr w:rsidR="00C978F0" w:rsidRPr="00DA352E" w14:paraId="50AAB100" w14:textId="77777777" w:rsidTr="00773EAF">
        <w:trPr>
          <w:gridAfter w:val="1"/>
          <w:wAfter w:w="8" w:type="pct"/>
          <w:cantSplit/>
        </w:trPr>
        <w:tc>
          <w:tcPr>
            <w:tcW w:w="4992" w:type="pct"/>
          </w:tcPr>
          <w:p w14:paraId="44962F8B" w14:textId="48FFE1B8" w:rsidR="00C978F0" w:rsidRPr="00DA352E" w:rsidRDefault="00625B05" w:rsidP="003365A5">
            <w:pPr>
              <w:pStyle w:val="Tabletextprimarysource"/>
            </w:pPr>
            <w:r>
              <w:t>No report</w:t>
            </w:r>
            <w:r w:rsidR="00331C89">
              <w:t>.</w:t>
            </w:r>
          </w:p>
        </w:tc>
      </w:tr>
      <w:tr w:rsidR="00DA352E" w:rsidRPr="00DA352E" w14:paraId="41D6AB3C" w14:textId="77777777" w:rsidTr="00773EAF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F552E1C" w14:textId="22DF65E0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625B0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625B05">
                  <w:t>NA</w:t>
                </w:r>
              </w:sdtContent>
            </w:sdt>
          </w:p>
        </w:tc>
      </w:tr>
      <w:tr w:rsidR="00DA352E" w:rsidRPr="00DA352E" w14:paraId="704E5977" w14:textId="77777777" w:rsidTr="00773EAF">
        <w:trPr>
          <w:gridAfter w:val="1"/>
          <w:wAfter w:w="8" w:type="pct"/>
          <w:cantSplit/>
        </w:trPr>
        <w:tc>
          <w:tcPr>
            <w:tcW w:w="4992" w:type="pct"/>
          </w:tcPr>
          <w:p w14:paraId="6373E613" w14:textId="1B832D82" w:rsidR="00DA352E" w:rsidRPr="00DA352E" w:rsidRDefault="00625B05" w:rsidP="003365A5">
            <w:pPr>
              <w:pStyle w:val="Tabletextprimarysource"/>
            </w:pPr>
            <w:r>
              <w:t>No report</w:t>
            </w:r>
            <w:r w:rsidR="00331C89">
              <w:t>.</w:t>
            </w:r>
          </w:p>
        </w:tc>
      </w:tr>
      <w:tr w:rsidR="00DA352E" w:rsidRPr="00DA352E" w14:paraId="739827F8" w14:textId="77777777" w:rsidTr="00773EAF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8CB2005" w14:textId="2236B873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C16533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C16533">
                  <w:t>Not assigned</w:t>
                </w:r>
              </w:sdtContent>
            </w:sdt>
          </w:p>
        </w:tc>
      </w:tr>
      <w:tr w:rsidR="00DA352E" w:rsidRPr="00DA352E" w14:paraId="1E593BBC" w14:textId="77777777" w:rsidTr="00773EAF">
        <w:trPr>
          <w:gridAfter w:val="1"/>
          <w:wAfter w:w="8" w:type="pct"/>
          <w:cantSplit/>
        </w:trPr>
        <w:tc>
          <w:tcPr>
            <w:tcW w:w="4992" w:type="pct"/>
          </w:tcPr>
          <w:p w14:paraId="26CC9814" w14:textId="77777777" w:rsidR="00DA352E" w:rsidRDefault="005B6A73" w:rsidP="003365A5">
            <w:pPr>
              <w:pStyle w:val="Tabletextprimarysource"/>
            </w:pPr>
            <w:r>
              <w:t>Summary of additional data:</w:t>
            </w:r>
          </w:p>
          <w:p w14:paraId="7BFDA950" w14:textId="46CA151C" w:rsidR="005B6A73" w:rsidRDefault="00D31578" w:rsidP="00C3611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Ins</w:t>
            </w:r>
            <w:r w:rsidR="005B6A73">
              <w:t xml:space="preserve">ufficient </w:t>
            </w:r>
            <w:r>
              <w:t xml:space="preserve">data to provide </w:t>
            </w:r>
            <w:r w:rsidR="005B6A73">
              <w:t>evidence of carcinogenicity in humans</w:t>
            </w:r>
            <w:r>
              <w:t>; only 1 study in animals shows cause for concern</w:t>
            </w:r>
          </w:p>
          <w:p w14:paraId="4244FD9F" w14:textId="64EB5274" w:rsidR="005B6A73" w:rsidRDefault="00D31578" w:rsidP="00C3611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Committee concluded insufficiently investigated and recommended classification as suspected human carcinogen.</w:t>
            </w:r>
          </w:p>
          <w:p w14:paraId="2F42523A" w14:textId="45900CB9" w:rsidR="00D571E4" w:rsidRPr="00DA352E" w:rsidRDefault="00D571E4" w:rsidP="00D571E4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</w:tbl>
    <w:p w14:paraId="60556BC5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3"/>
        <w:gridCol w:w="661"/>
        <w:gridCol w:w="6444"/>
      </w:tblGrid>
      <w:tr w:rsidR="004966BF" w:rsidRPr="00773EAF" w14:paraId="755A6F19" w14:textId="77777777" w:rsidTr="00773E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4814418D" w14:textId="77777777" w:rsidR="004966BF" w:rsidRPr="00773EAF" w:rsidRDefault="004966BF" w:rsidP="00263255">
            <w:pPr>
              <w:pStyle w:val="Tableheader"/>
              <w:rPr>
                <w:b/>
              </w:rPr>
            </w:pPr>
            <w:r w:rsidRPr="00773EAF">
              <w:rPr>
                <w:b/>
              </w:rPr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4C23A805" w14:textId="77777777" w:rsidR="004966BF" w:rsidRPr="00773EAF" w:rsidRDefault="004966BF" w:rsidP="00263255">
            <w:pPr>
              <w:pStyle w:val="Tableheader"/>
              <w:rPr>
                <w:b/>
              </w:rPr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0EF1B3F1" w14:textId="77777777" w:rsidR="004966BF" w:rsidRPr="00773EAF" w:rsidRDefault="004966BF" w:rsidP="00263255">
            <w:pPr>
              <w:pStyle w:val="Tableheader"/>
              <w:rPr>
                <w:b/>
              </w:rPr>
            </w:pPr>
            <w:r w:rsidRPr="00773EAF">
              <w:rPr>
                <w:b/>
              </w:rP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6990DC25" w14:textId="77777777" w:rsidR="004966BF" w:rsidRPr="00773EAF" w:rsidRDefault="004966BF" w:rsidP="00263255">
            <w:pPr>
              <w:pStyle w:val="Tableheader"/>
              <w:rPr>
                <w:b/>
              </w:rPr>
            </w:pPr>
            <w:r w:rsidRPr="00773EAF">
              <w:rPr>
                <w:b/>
              </w:rPr>
              <w:t>Additional information</w:t>
            </w:r>
          </w:p>
        </w:tc>
      </w:tr>
      <w:tr w:rsidR="004966BF" w:rsidRPr="004C23F4" w14:paraId="2EC844E8" w14:textId="77777777" w:rsidTr="00773EAF">
        <w:trPr>
          <w:cantSplit/>
        </w:trPr>
        <w:tc>
          <w:tcPr>
            <w:tcW w:w="1498" w:type="dxa"/>
          </w:tcPr>
          <w:p w14:paraId="22F17E9B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2592B330" w14:textId="1E335852" w:rsidR="004966BF" w:rsidRPr="00CE617F" w:rsidRDefault="009E6591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D31578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7F0F8BB" w14:textId="1DE31736" w:rsidR="004966BF" w:rsidRPr="004C23F4" w:rsidRDefault="00D31578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44" w:type="dxa"/>
          </w:tcPr>
          <w:p w14:paraId="06E2BC1A" w14:textId="63FD0A92" w:rsidR="004966BF" w:rsidRDefault="00462098" w:rsidP="00C3611A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LD</w:t>
            </w:r>
            <w:r w:rsidRPr="00462098"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>: 3,850 mg/kg (rats, oral); 1,400 mg/kg (mice, oral); general depressed activity, changes in motor activity and ataxia</w:t>
            </w:r>
          </w:p>
          <w:p w14:paraId="4282CB91" w14:textId="6CAD3C6D" w:rsidR="00462098" w:rsidRPr="004C23F4" w:rsidRDefault="00DC1B68" w:rsidP="00C3611A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Not considered a reproductive or developmental toxin</w:t>
            </w:r>
            <w:r w:rsidR="009F1192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5444335A" w14:textId="77777777" w:rsidTr="00773EAF">
        <w:trPr>
          <w:cantSplit/>
        </w:trPr>
        <w:tc>
          <w:tcPr>
            <w:tcW w:w="1498" w:type="dxa"/>
          </w:tcPr>
          <w:p w14:paraId="54041217" w14:textId="77777777" w:rsidR="004966BF" w:rsidRPr="004C23F4" w:rsidRDefault="004966BF" w:rsidP="00224EE2">
            <w:pPr>
              <w:pStyle w:val="Tablefont"/>
            </w:pPr>
            <w:r>
              <w:t>IARC</w:t>
            </w:r>
          </w:p>
        </w:tc>
        <w:tc>
          <w:tcPr>
            <w:tcW w:w="423" w:type="dxa"/>
          </w:tcPr>
          <w:p w14:paraId="3B36EB2D" w14:textId="0DD0552F" w:rsidR="004966BF" w:rsidRPr="00CE617F" w:rsidRDefault="009E6591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D45E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4E8E9A0" w14:textId="322052B8" w:rsidR="004966BF" w:rsidRPr="004C23F4" w:rsidRDefault="00FD45E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1999</w:t>
            </w:r>
          </w:p>
        </w:tc>
        <w:tc>
          <w:tcPr>
            <w:tcW w:w="6444" w:type="dxa"/>
          </w:tcPr>
          <w:p w14:paraId="1DCE03DB" w14:textId="4CFB40C5" w:rsidR="004966BF" w:rsidRDefault="009F1192" w:rsidP="00C3611A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Sufficient evidence in experimental animals to indicate carcinogenicity; classified as </w:t>
            </w:r>
            <w:r>
              <w:rPr>
                <w:rStyle w:val="checkbox"/>
                <w:rFonts w:ascii="Arial" w:hAnsi="Arial" w:cs="Arial"/>
                <w:i/>
              </w:rPr>
              <w:t>possibly carcinogenic to humans</w:t>
            </w:r>
            <w:r w:rsidR="000C2D4D">
              <w:rPr>
                <w:rStyle w:val="checkbox"/>
                <w:rFonts w:ascii="Arial" w:hAnsi="Arial" w:cs="Arial"/>
                <w:i/>
              </w:rPr>
              <w:t xml:space="preserve"> </w:t>
            </w:r>
            <w:r w:rsidR="000C2D4D">
              <w:t>(Group 2 B)</w:t>
            </w:r>
          </w:p>
          <w:p w14:paraId="36577585" w14:textId="6D3A3FFD" w:rsidR="009F1192" w:rsidRPr="004C23F4" w:rsidRDefault="009F1192" w:rsidP="00C3611A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No additional </w:t>
            </w:r>
            <w:r w:rsidRPr="00C3611A">
              <w:t>information</w:t>
            </w:r>
            <w:r w:rsidR="00331C89">
              <w:t>.</w:t>
            </w:r>
          </w:p>
        </w:tc>
      </w:tr>
      <w:tr w:rsidR="004966BF" w:rsidRPr="004C23F4" w14:paraId="5023A5BA" w14:textId="77777777" w:rsidTr="00773EAF">
        <w:trPr>
          <w:cantSplit/>
        </w:trPr>
        <w:tc>
          <w:tcPr>
            <w:tcW w:w="1498" w:type="dxa"/>
          </w:tcPr>
          <w:p w14:paraId="2C6373F0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3" w:type="dxa"/>
          </w:tcPr>
          <w:p w14:paraId="7E637E3F" w14:textId="4E9DD3A8" w:rsidR="004966BF" w:rsidRPr="00CE617F" w:rsidRDefault="009E6591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F1192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9EF42B4" w14:textId="205AC132" w:rsidR="004966BF" w:rsidRPr="004C23F4" w:rsidRDefault="00B73002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44" w:type="dxa"/>
          </w:tcPr>
          <w:p w14:paraId="7ADECB21" w14:textId="44677AA2" w:rsidR="004966BF" w:rsidRPr="004C23F4" w:rsidRDefault="00E44657" w:rsidP="00C3611A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NOAE</w:t>
            </w:r>
            <w:r w:rsidR="0092179E">
              <w:rPr>
                <w:rStyle w:val="checkbox"/>
                <w:rFonts w:ascii="Arial" w:hAnsi="Arial" w:cs="Arial"/>
              </w:rPr>
              <w:t>C</w:t>
            </w:r>
            <w:r>
              <w:rPr>
                <w:rStyle w:val="checkbox"/>
                <w:rFonts w:ascii="Arial" w:hAnsi="Arial" w:cs="Arial"/>
              </w:rPr>
              <w:t xml:space="preserve"> =</w:t>
            </w:r>
            <w:r w:rsidR="009E372C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 xml:space="preserve">1 ppm </w:t>
            </w:r>
            <w:r w:rsidR="00953EF0">
              <w:rPr>
                <w:rStyle w:val="checkbox"/>
                <w:rFonts w:ascii="Arial" w:hAnsi="Arial" w:cs="Arial"/>
              </w:rPr>
              <w:t xml:space="preserve">(24 mo, rat inhalation </w:t>
            </w:r>
            <w:r w:rsidR="00953EF0" w:rsidRPr="00C3611A">
              <w:t>study</w:t>
            </w:r>
            <w:r w:rsidR="00953EF0">
              <w:rPr>
                <w:rStyle w:val="checkbox"/>
                <w:rFonts w:ascii="Arial" w:hAnsi="Arial" w:cs="Arial"/>
              </w:rPr>
              <w:t xml:space="preserve"> referred to in ACGIH, 2014)</w:t>
            </w:r>
            <w:r w:rsidR="00331C89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4FC6A1A4" w14:textId="77777777" w:rsidTr="00773EAF">
        <w:trPr>
          <w:cantSplit/>
        </w:trPr>
        <w:tc>
          <w:tcPr>
            <w:tcW w:w="1498" w:type="dxa"/>
          </w:tcPr>
          <w:p w14:paraId="5992D0A5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3" w:type="dxa"/>
          </w:tcPr>
          <w:p w14:paraId="705B2AD2" w14:textId="2A137B0E" w:rsidR="004966BF" w:rsidRDefault="009E6591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53EF0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486B52B" w14:textId="67510AF1" w:rsidR="004966BF" w:rsidRPr="004C23F4" w:rsidRDefault="00953EF0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44" w:type="dxa"/>
          </w:tcPr>
          <w:p w14:paraId="6EE12EA0" w14:textId="18E5F6CC" w:rsidR="004966BF" w:rsidRPr="004C23F4" w:rsidRDefault="00953EF0" w:rsidP="00C3611A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REL=</w:t>
            </w:r>
            <w:r w:rsidR="009E372C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1 ppm (6 mg/m</w:t>
            </w:r>
            <w:r w:rsidRPr="00953EF0"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) </w:t>
            </w:r>
            <w:r w:rsidR="00E57A5E">
              <w:rPr>
                <w:rStyle w:val="checkbox"/>
                <w:rFonts w:ascii="Arial" w:hAnsi="Arial" w:cs="Arial"/>
              </w:rPr>
              <w:t>15-min ceiling; PEL=</w:t>
            </w:r>
            <w:r w:rsidR="009E372C">
              <w:rPr>
                <w:rStyle w:val="checkbox"/>
                <w:rFonts w:ascii="Arial" w:hAnsi="Arial" w:cs="Arial"/>
              </w:rPr>
              <w:t xml:space="preserve"> </w:t>
            </w:r>
            <w:r w:rsidR="00E57A5E">
              <w:rPr>
                <w:rStyle w:val="checkbox"/>
                <w:rFonts w:ascii="Arial" w:hAnsi="Arial" w:cs="Arial"/>
              </w:rPr>
              <w:t>10 ppm.</w:t>
            </w:r>
          </w:p>
        </w:tc>
      </w:tr>
    </w:tbl>
    <w:bookmarkEnd w:id="0"/>
    <w:p w14:paraId="6DC8D020" w14:textId="77777777" w:rsidR="007E2A4B" w:rsidRDefault="007E2A4B" w:rsidP="00C3611A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673B6058" w14:textId="77777777" w:rsidTr="00D31578">
        <w:trPr>
          <w:trHeight w:val="454"/>
          <w:tblHeader/>
        </w:trPr>
        <w:tc>
          <w:tcPr>
            <w:tcW w:w="6597" w:type="dxa"/>
            <w:vAlign w:val="center"/>
          </w:tcPr>
          <w:p w14:paraId="4BE54F64" w14:textId="77777777" w:rsidR="002E0D61" w:rsidRDefault="00B1422A" w:rsidP="00C3611A">
            <w:pPr>
              <w:pStyle w:val="Tablefont"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37237B3B" w14:textId="724D225C" w:rsidR="002E0D61" w:rsidRDefault="00D31578" w:rsidP="00C3611A">
                <w:pPr>
                  <w:pStyle w:val="Tablefont"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628B1D51" w14:textId="77777777" w:rsidTr="00D31578">
        <w:trPr>
          <w:trHeight w:val="454"/>
        </w:trPr>
        <w:tc>
          <w:tcPr>
            <w:tcW w:w="6597" w:type="dxa"/>
            <w:vAlign w:val="center"/>
          </w:tcPr>
          <w:p w14:paraId="6BEC0EF8" w14:textId="77777777" w:rsidR="008A36CF" w:rsidRDefault="008A36CF" w:rsidP="00C3611A">
            <w:pPr>
              <w:pStyle w:val="Tablefont"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5A073BB9" w14:textId="5655706A" w:rsidR="008A36CF" w:rsidRDefault="00D31578" w:rsidP="00C3611A">
                <w:pPr>
                  <w:pStyle w:val="Tablefont"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D571E4" w14:paraId="4CE3AFA4" w14:textId="77777777" w:rsidTr="0014514F">
        <w:trPr>
          <w:trHeight w:val="454"/>
        </w:trPr>
        <w:sdt>
          <w:sdtPr>
            <w:rPr>
              <w:b/>
            </w:rPr>
            <w:id w:val="1830936485"/>
            <w:placeholder>
              <w:docPart w:val="1E27D8E79F8442A6B015557EB7798D44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648E947F" w14:textId="61F29685" w:rsidR="00D571E4" w:rsidRDefault="00D571E4" w:rsidP="00C3611A">
                <w:pPr>
                  <w:pStyle w:val="Tablefont"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7BC6C564" w14:textId="77777777" w:rsidR="00687890" w:rsidRPr="004C23F4" w:rsidRDefault="00B479A9" w:rsidP="00331C89">
      <w:pPr>
        <w:pStyle w:val="Heading2"/>
      </w:pPr>
      <w:r w:rsidRPr="004C23F4">
        <w:lastRenderedPageBreak/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773EAF" w14:paraId="3E6835B6" w14:textId="77777777" w:rsidTr="00773E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38F873D" w14:textId="77777777" w:rsidR="00687890" w:rsidRPr="00773EAF" w:rsidRDefault="00687890" w:rsidP="00C3611A">
            <w:pPr>
              <w:pStyle w:val="Tableheader"/>
              <w:keepNext/>
              <w:rPr>
                <w:b/>
              </w:rPr>
            </w:pPr>
            <w:bookmarkStart w:id="2" w:name="Notations"/>
            <w:r w:rsidRPr="00773EAF">
              <w:rPr>
                <w:b/>
              </w:rPr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443F705" w14:textId="77777777" w:rsidR="00687890" w:rsidRPr="00773EAF" w:rsidRDefault="00687890" w:rsidP="00C3611A">
            <w:pPr>
              <w:pStyle w:val="Tableheader"/>
              <w:keepNext/>
              <w:tabs>
                <w:tab w:val="right" w:pos="5272"/>
              </w:tabs>
              <w:rPr>
                <w:b/>
              </w:rPr>
            </w:pPr>
            <w:r w:rsidRPr="00773EAF">
              <w:rPr>
                <w:b/>
              </w:rPr>
              <w:t>Notations</w:t>
            </w:r>
            <w:r w:rsidR="003A2B94" w:rsidRPr="00773EAF">
              <w:rPr>
                <w:b/>
              </w:rPr>
              <w:tab/>
            </w:r>
          </w:p>
        </w:tc>
      </w:tr>
      <w:tr w:rsidR="00687890" w:rsidRPr="004C23F4" w14:paraId="64B4BF23" w14:textId="77777777" w:rsidTr="00773EAF">
        <w:trPr>
          <w:cantSplit/>
        </w:trPr>
        <w:tc>
          <w:tcPr>
            <w:tcW w:w="3227" w:type="dxa"/>
          </w:tcPr>
          <w:p w14:paraId="3EE1581D" w14:textId="77777777" w:rsidR="004079B4" w:rsidRPr="004C23F4" w:rsidRDefault="00084513" w:rsidP="00D571E4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65FE37EF" w14:textId="66552721" w:rsidR="00687890" w:rsidRPr="00DD2F9B" w:rsidRDefault="00E57A5E" w:rsidP="00D571E4">
            <w:pPr>
              <w:pStyle w:val="Tablefont"/>
            </w:pPr>
            <w:r>
              <w:t>Sen</w:t>
            </w:r>
          </w:p>
        </w:tc>
      </w:tr>
      <w:tr w:rsidR="007925F0" w:rsidRPr="004C23F4" w14:paraId="5399CCDC" w14:textId="77777777" w:rsidTr="00773EAF">
        <w:trPr>
          <w:cantSplit/>
        </w:trPr>
        <w:tc>
          <w:tcPr>
            <w:tcW w:w="3227" w:type="dxa"/>
          </w:tcPr>
          <w:p w14:paraId="05159076" w14:textId="77777777" w:rsidR="004079B4" w:rsidRPr="004C23F4" w:rsidRDefault="007925F0" w:rsidP="00D571E4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2753C42D" w14:textId="77777777" w:rsidR="007925F0" w:rsidRPr="00DD2F9B" w:rsidRDefault="00254988" w:rsidP="00D571E4">
            <w:pPr>
              <w:pStyle w:val="Tablefont"/>
            </w:pPr>
            <w:r w:rsidRPr="00254988">
              <w:t>Carcinogenicity – category 1B</w:t>
            </w:r>
            <w:r>
              <w:t xml:space="preserve">, </w:t>
            </w:r>
            <w:r w:rsidRPr="00254988">
              <w:t>Skin sensitisation – category 1</w:t>
            </w:r>
          </w:p>
        </w:tc>
      </w:tr>
      <w:tr w:rsidR="00AF483F" w:rsidRPr="004C23F4" w14:paraId="48F28A5D" w14:textId="77777777" w:rsidTr="00773EAF">
        <w:trPr>
          <w:cantSplit/>
        </w:trPr>
        <w:tc>
          <w:tcPr>
            <w:tcW w:w="3227" w:type="dxa"/>
          </w:tcPr>
          <w:p w14:paraId="4E54FDF2" w14:textId="77777777" w:rsidR="00AF483F" w:rsidRPr="004C23F4" w:rsidRDefault="00AF483F" w:rsidP="00D571E4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2D9F0794" w14:textId="4A58D0CE" w:rsidR="00AF483F" w:rsidRPr="00DD2F9B" w:rsidRDefault="007C693B" w:rsidP="00D571E4">
            <w:pPr>
              <w:pStyle w:val="Tablefont"/>
            </w:pPr>
            <w:r w:rsidRPr="007C693B">
              <w:t>Carc. Cat</w:t>
            </w:r>
            <w:r>
              <w:t>.</w:t>
            </w:r>
            <w:r w:rsidRPr="007C693B">
              <w:t xml:space="preserve"> 2</w:t>
            </w:r>
            <w:r w:rsidR="00E57A5E">
              <w:t>, Sensitiser</w:t>
            </w:r>
          </w:p>
        </w:tc>
      </w:tr>
      <w:tr w:rsidR="00687890" w:rsidRPr="004C23F4" w14:paraId="7469BA52" w14:textId="77777777" w:rsidTr="00773EAF">
        <w:trPr>
          <w:cantSplit/>
        </w:trPr>
        <w:tc>
          <w:tcPr>
            <w:tcW w:w="3227" w:type="dxa"/>
          </w:tcPr>
          <w:p w14:paraId="1BB2E435" w14:textId="77777777" w:rsidR="004079B4" w:rsidRPr="004C23F4" w:rsidRDefault="00687890" w:rsidP="00D571E4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8E9979A" w14:textId="1270FB3F" w:rsidR="00687890" w:rsidRPr="00DD2F9B" w:rsidRDefault="002B7890" w:rsidP="00D571E4">
            <w:pPr>
              <w:pStyle w:val="Tablefont"/>
            </w:pPr>
            <w:r w:rsidRPr="002B7890">
              <w:t>Carcinogenicity – category 1B</w:t>
            </w:r>
            <w:r>
              <w:t xml:space="preserve">, </w:t>
            </w:r>
            <w:r w:rsidRPr="002B7890">
              <w:t>Skin sensitisation – category 1</w:t>
            </w:r>
          </w:p>
        </w:tc>
      </w:tr>
      <w:tr w:rsidR="00E41A26" w:rsidRPr="004C23F4" w14:paraId="2E409844" w14:textId="77777777" w:rsidTr="00773EAF">
        <w:trPr>
          <w:cantSplit/>
        </w:trPr>
        <w:tc>
          <w:tcPr>
            <w:tcW w:w="3227" w:type="dxa"/>
          </w:tcPr>
          <w:p w14:paraId="171DD1A7" w14:textId="77777777" w:rsidR="00E41A26" w:rsidRDefault="00E41A26" w:rsidP="00D571E4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E00C2DD" w14:textId="180687BD" w:rsidR="00E41A26" w:rsidRPr="00DD2F9B" w:rsidRDefault="00E51D46" w:rsidP="00D571E4">
            <w:pPr>
              <w:pStyle w:val="Tablefont"/>
            </w:pPr>
            <w:r w:rsidRPr="002B7890">
              <w:t>Carcinogenicity – category 1B</w:t>
            </w:r>
          </w:p>
        </w:tc>
      </w:tr>
      <w:tr w:rsidR="002E0D61" w:rsidRPr="004C23F4" w14:paraId="35B3ED96" w14:textId="77777777" w:rsidTr="00773EAF">
        <w:trPr>
          <w:cantSplit/>
        </w:trPr>
        <w:tc>
          <w:tcPr>
            <w:tcW w:w="3227" w:type="dxa"/>
          </w:tcPr>
          <w:p w14:paraId="7F1E2577" w14:textId="77777777" w:rsidR="004079B4" w:rsidRPr="004C23F4" w:rsidRDefault="002E0D61" w:rsidP="00D571E4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2905259" w14:textId="6AD5F1F4" w:rsidR="002E0D61" w:rsidRPr="00DD2F9B" w:rsidRDefault="00AE513A" w:rsidP="00D571E4">
            <w:pPr>
              <w:pStyle w:val="Tablefont"/>
            </w:pPr>
            <w:r w:rsidRPr="00AE513A">
              <w:t>Carcinogenicity – A3</w:t>
            </w:r>
            <w:r>
              <w:t xml:space="preserve">, </w:t>
            </w:r>
            <w:r w:rsidRPr="00AE513A">
              <w:t>Skin</w:t>
            </w:r>
            <w:r>
              <w:t>, DSEN</w:t>
            </w:r>
          </w:p>
        </w:tc>
      </w:tr>
      <w:tr w:rsidR="002E0D61" w:rsidRPr="004C23F4" w14:paraId="1652DC66" w14:textId="77777777" w:rsidTr="00773EAF">
        <w:trPr>
          <w:cantSplit/>
        </w:trPr>
        <w:tc>
          <w:tcPr>
            <w:tcW w:w="3227" w:type="dxa"/>
          </w:tcPr>
          <w:p w14:paraId="52AE5162" w14:textId="77777777" w:rsidR="004079B4" w:rsidRPr="004C23F4" w:rsidRDefault="002E0D61" w:rsidP="00D571E4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0474F7CB" w14:textId="415D9B1D" w:rsidR="002E0D61" w:rsidRPr="00DD2F9B" w:rsidRDefault="00553EF6" w:rsidP="00D571E4">
            <w:pPr>
              <w:pStyle w:val="Tablefont"/>
            </w:pPr>
            <w:r w:rsidRPr="00553EF6">
              <w:t>Carcinogenicity – 2</w:t>
            </w:r>
            <w:r>
              <w:t xml:space="preserve">, </w:t>
            </w:r>
            <w:r w:rsidRPr="00553EF6">
              <w:t>H (skin)</w:t>
            </w:r>
            <w:r>
              <w:t xml:space="preserve">, </w:t>
            </w:r>
            <w:r w:rsidRPr="00553EF6">
              <w:t>Sh (dermal sensitiser)</w:t>
            </w:r>
          </w:p>
        </w:tc>
      </w:tr>
      <w:tr w:rsidR="002E0D61" w:rsidRPr="004C23F4" w14:paraId="68E81C97" w14:textId="77777777" w:rsidTr="00773EAF">
        <w:trPr>
          <w:cantSplit/>
        </w:trPr>
        <w:tc>
          <w:tcPr>
            <w:tcW w:w="3227" w:type="dxa"/>
          </w:tcPr>
          <w:p w14:paraId="03DDEAA2" w14:textId="77777777" w:rsidR="004079B4" w:rsidRPr="004C23F4" w:rsidRDefault="002E0D61" w:rsidP="00D571E4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737EF774" w14:textId="17AB7E68" w:rsidR="002E0D61" w:rsidRPr="00DD2F9B" w:rsidRDefault="004967C7" w:rsidP="00D571E4">
            <w:pPr>
              <w:pStyle w:val="Tablefont"/>
            </w:pPr>
            <w:r>
              <w:t>NA</w:t>
            </w:r>
          </w:p>
        </w:tc>
      </w:tr>
      <w:tr w:rsidR="002E0D61" w:rsidRPr="004C23F4" w14:paraId="5675D62E" w14:textId="77777777" w:rsidTr="00773EAF">
        <w:trPr>
          <w:cantSplit/>
        </w:trPr>
        <w:tc>
          <w:tcPr>
            <w:tcW w:w="3227" w:type="dxa"/>
          </w:tcPr>
          <w:p w14:paraId="2B9DCC03" w14:textId="77777777" w:rsidR="004079B4" w:rsidRDefault="002E0D61" w:rsidP="00D571E4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5FA84BEE" w14:textId="6C7864F5" w:rsidR="002E0D61" w:rsidRPr="00DD2F9B" w:rsidRDefault="007E7050" w:rsidP="00D571E4">
            <w:pPr>
              <w:pStyle w:val="Tablefont"/>
            </w:pPr>
            <w:r>
              <w:t>NA</w:t>
            </w:r>
          </w:p>
        </w:tc>
      </w:tr>
      <w:tr w:rsidR="00386093" w:rsidRPr="004C23F4" w14:paraId="5AA42733" w14:textId="77777777" w:rsidTr="00773EAF">
        <w:trPr>
          <w:cantSplit/>
        </w:trPr>
        <w:tc>
          <w:tcPr>
            <w:tcW w:w="3227" w:type="dxa"/>
          </w:tcPr>
          <w:p w14:paraId="01A6920F" w14:textId="77777777" w:rsidR="004079B4" w:rsidRDefault="00386093" w:rsidP="00D571E4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E3DF9C7" w14:textId="066D3156" w:rsidR="00386093" w:rsidRPr="00DD2F9B" w:rsidRDefault="00922BEA" w:rsidP="00D571E4">
            <w:r>
              <w:t>Carcinogenicity – Group 2B</w:t>
            </w:r>
          </w:p>
        </w:tc>
      </w:tr>
      <w:tr w:rsidR="00386093" w:rsidRPr="004C23F4" w14:paraId="1DCB84DA" w14:textId="77777777" w:rsidTr="00773EAF">
        <w:trPr>
          <w:cantSplit/>
        </w:trPr>
        <w:tc>
          <w:tcPr>
            <w:tcW w:w="3227" w:type="dxa"/>
          </w:tcPr>
          <w:p w14:paraId="6680C816" w14:textId="77777777" w:rsidR="004079B4" w:rsidRDefault="00386093" w:rsidP="00D571E4">
            <w:pPr>
              <w:pStyle w:val="Tablefont"/>
            </w:pPr>
            <w:r>
              <w:t>US NIOSH</w:t>
            </w:r>
          </w:p>
        </w:tc>
        <w:tc>
          <w:tcPr>
            <w:tcW w:w="6015" w:type="dxa"/>
          </w:tcPr>
          <w:p w14:paraId="7588D7CB" w14:textId="33A68FCA" w:rsidR="00386093" w:rsidRPr="00DD2F9B" w:rsidRDefault="00922BEA" w:rsidP="00D571E4">
            <w:pPr>
              <w:pStyle w:val="Tablefont"/>
            </w:pPr>
            <w:r>
              <w:t>NA</w:t>
            </w:r>
          </w:p>
        </w:tc>
      </w:tr>
    </w:tbl>
    <w:bookmarkEnd w:id="2"/>
    <w:p w14:paraId="23B46DA6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BDF3399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05E01F5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CCB5A90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</w:tbl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3909"/>
        <w:gridCol w:w="1164"/>
        <w:gridCol w:w="1164"/>
        <w:gridCol w:w="2789"/>
      </w:tblGrid>
      <w:tr w:rsidR="00375772" w14:paraId="3BA68414" w14:textId="77777777" w:rsidTr="00375772">
        <w:trPr>
          <w:trHeight w:val="342"/>
        </w:trPr>
        <w:tc>
          <w:tcPr>
            <w:tcW w:w="216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bookmarkEnd w:id="3"/>
          <w:p w14:paraId="29F3AB69" w14:textId="77777777" w:rsidR="00375772" w:rsidRDefault="00375772">
            <w:pPr>
              <w:spacing w:after="0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Adverse effects in human case study: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14:paraId="0403A900" w14:textId="77777777" w:rsidR="00375772" w:rsidRDefault="00375772">
            <w:pPr>
              <w:jc w:val="center"/>
              <w:rPr>
                <w:rFonts w:ascii="Segoe UI" w:hAnsi="Segoe UI" w:cs="Segoe UI"/>
                <w:color w:val="9C6500"/>
                <w:sz w:val="18"/>
                <w:szCs w:val="18"/>
              </w:rPr>
            </w:pPr>
            <w:r>
              <w:rPr>
                <w:rFonts w:ascii="Segoe UI" w:hAnsi="Segoe UI" w:cs="Segoe UI"/>
                <w:color w:val="9C6500"/>
                <w:sz w:val="18"/>
                <w:szCs w:val="18"/>
              </w:rPr>
              <w:t>yes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B770DEA" w14:textId="77777777" w:rsidR="00375772" w:rsidRDefault="00375772">
            <w:pPr>
              <w:jc w:val="right"/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4.00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15D843A" w14:textId="77777777" w:rsidR="00375772" w:rsidRDefault="00375772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375772" w14:paraId="272D6B30" w14:textId="77777777" w:rsidTr="00375772">
        <w:trPr>
          <w:trHeight w:val="342"/>
        </w:trPr>
        <w:tc>
          <w:tcPr>
            <w:tcW w:w="216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E25D964" w14:textId="77777777" w:rsidR="00375772" w:rsidRDefault="00375772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Dermal LD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vertAlign w:val="subscript"/>
              </w:rPr>
              <w:t>50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≤1000 mg/kg: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D11C146" w14:textId="77777777" w:rsidR="00375772" w:rsidRDefault="00375772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no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D305C4A" w14:textId="77777777" w:rsidR="00375772" w:rsidRDefault="00375772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351761F" w14:textId="77777777" w:rsidR="00375772" w:rsidRDefault="00375772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375772" w14:paraId="7F7F608F" w14:textId="77777777" w:rsidTr="00375772">
        <w:trPr>
          <w:trHeight w:val="342"/>
        </w:trPr>
        <w:tc>
          <w:tcPr>
            <w:tcW w:w="216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475E7CF" w14:textId="77777777" w:rsidR="00375772" w:rsidRDefault="00375772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Dermal repeat-dose NOAEL ≤200 mg/kg: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A4A9BBC" w14:textId="77777777" w:rsidR="00375772" w:rsidRDefault="00375772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B45433A" w14:textId="77777777" w:rsidR="00375772" w:rsidRDefault="00375772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B30F04B" w14:textId="77777777" w:rsidR="00375772" w:rsidRDefault="00375772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375772" w14:paraId="73C268F7" w14:textId="77777777" w:rsidTr="00375772">
        <w:trPr>
          <w:trHeight w:val="342"/>
        </w:trPr>
        <w:tc>
          <w:tcPr>
            <w:tcW w:w="216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4A83CB1" w14:textId="77777777" w:rsidR="00375772" w:rsidRDefault="00375772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Dermal LD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vertAlign w:val="subscript"/>
              </w:rPr>
              <w:t>50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/Inhalation LD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vertAlign w:val="subscript"/>
              </w:rPr>
              <w:t>50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&lt;10: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52D3E1F" w14:textId="77777777" w:rsidR="00375772" w:rsidRDefault="00375772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3B513B6" w14:textId="77777777" w:rsidR="00375772" w:rsidRDefault="00375772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4C20EE7" w14:textId="77777777" w:rsidR="00375772" w:rsidRDefault="00375772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375772" w14:paraId="2B99A6C0" w14:textId="77777777" w:rsidTr="00375772">
        <w:trPr>
          <w:trHeight w:val="342"/>
        </w:trPr>
        <w:tc>
          <w:tcPr>
            <w:tcW w:w="216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441BCA7" w14:textId="77777777" w:rsidR="00375772" w:rsidRDefault="00375772">
            <w:pPr>
              <w:jc w:val="right"/>
              <w:rPr>
                <w:rFonts w:ascii="Segoe UI" w:hAnsi="Segoe UI" w:cs="Segoe U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i/>
                <w:iCs/>
                <w:color w:val="000000"/>
                <w:sz w:val="18"/>
                <w:szCs w:val="18"/>
              </w:rPr>
              <w:t>In vivo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dermal absorption rate &gt;10%: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8EEFBF4" w14:textId="77777777" w:rsidR="00375772" w:rsidRDefault="00375772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3449CB4" w14:textId="77777777" w:rsidR="00375772" w:rsidRDefault="00375772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A3C6FCB" w14:textId="77777777" w:rsidR="00375772" w:rsidRDefault="00375772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375772" w14:paraId="460FC530" w14:textId="77777777" w:rsidTr="00375772">
        <w:trPr>
          <w:trHeight w:val="342"/>
        </w:trPr>
        <w:tc>
          <w:tcPr>
            <w:tcW w:w="216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09ECBB9" w14:textId="77777777" w:rsidR="00375772" w:rsidRDefault="00375772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Estimated dermal exposure at WES &gt;10%: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14:paraId="26FA45FC" w14:textId="77777777" w:rsidR="00375772" w:rsidRDefault="00375772">
            <w:pPr>
              <w:jc w:val="center"/>
              <w:rPr>
                <w:rFonts w:ascii="Segoe UI" w:hAnsi="Segoe UI" w:cs="Segoe UI"/>
                <w:color w:val="9C6500"/>
                <w:sz w:val="18"/>
                <w:szCs w:val="18"/>
              </w:rPr>
            </w:pPr>
            <w:r>
              <w:rPr>
                <w:rFonts w:ascii="Segoe UI" w:hAnsi="Segoe UI" w:cs="Segoe UI"/>
                <w:color w:val="9C6500"/>
                <w:sz w:val="18"/>
                <w:szCs w:val="18"/>
              </w:rPr>
              <w:t>yes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A5B9CDA" w14:textId="77777777" w:rsidR="00375772" w:rsidRDefault="00375772">
            <w:pPr>
              <w:jc w:val="right"/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2.00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79D3BE6" w14:textId="77777777" w:rsidR="00375772" w:rsidRDefault="00375772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375772" w14:paraId="4E71F885" w14:textId="77777777" w:rsidTr="00375772">
        <w:trPr>
          <w:trHeight w:val="342"/>
        </w:trPr>
        <w:tc>
          <w:tcPr>
            <w:tcW w:w="216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60CAC16" w14:textId="77777777" w:rsidR="00375772" w:rsidRDefault="00375772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F32A62E" w14:textId="77777777" w:rsidR="00375772" w:rsidRDefault="00375772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51DF28D" w14:textId="77777777" w:rsidR="00375772" w:rsidRDefault="00375772">
            <w:pPr>
              <w:jc w:val="right"/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2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8EEDBC6" w14:textId="77777777" w:rsidR="00375772" w:rsidRDefault="00375772">
            <w:pP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a skin notation is warranted</w:t>
            </w:r>
          </w:p>
        </w:tc>
      </w:tr>
    </w:tbl>
    <w:p w14:paraId="442512CC" w14:textId="0557EBFF" w:rsidR="00EB3D1B" w:rsidRDefault="00375772" w:rsidP="00EB3D1B">
      <w:pPr>
        <w:pStyle w:val="Heading3"/>
      </w:pPr>
      <w:r>
        <w:t xml:space="preserve"> </w:t>
      </w:r>
      <w:r w:rsidR="00EB3D1B"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C54FE36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D4EF593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92FDD99" w14:textId="47C5DD33" w:rsidR="00EB3D1B" w:rsidRDefault="008E08A8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63A95055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627C263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17BAA5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041AC4F" w14:textId="40343BCF" w:rsidR="001B79E5" w:rsidRDefault="00EB4253" w:rsidP="001B79E5">
                <w:pPr>
                  <w:pStyle w:val="Tablefont"/>
                </w:pPr>
                <w:r>
                  <w:t>150.17</w:t>
                </w:r>
              </w:p>
            </w:tc>
          </w:sdtContent>
        </w:sdt>
      </w:tr>
      <w:tr w:rsidR="00A31D99" w:rsidRPr="004C23F4" w14:paraId="5E19994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FD406A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410A86A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70674B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719865E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944949F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680EC33" w14:textId="77777777" w:rsidTr="00EA6243">
        <w:trPr>
          <w:cantSplit/>
        </w:trPr>
        <w:tc>
          <w:tcPr>
            <w:tcW w:w="4077" w:type="dxa"/>
            <w:vAlign w:val="center"/>
          </w:tcPr>
          <w:p w14:paraId="7DB9AD2F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735D032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97716F9" w14:textId="77777777" w:rsidTr="00EA6243">
        <w:trPr>
          <w:cantSplit/>
        </w:trPr>
        <w:tc>
          <w:tcPr>
            <w:tcW w:w="4077" w:type="dxa"/>
            <w:vAlign w:val="center"/>
          </w:tcPr>
          <w:p w14:paraId="5AF238CB" w14:textId="77777777" w:rsidR="00687890" w:rsidRPr="00263255" w:rsidRDefault="00687890" w:rsidP="00263255">
            <w:pPr>
              <w:pStyle w:val="Tablefont"/>
            </w:pPr>
            <w:r w:rsidRPr="00263255">
              <w:lastRenderedPageBreak/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9799C8A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BF988FF" w14:textId="77777777" w:rsidTr="00EA6243">
        <w:trPr>
          <w:cantSplit/>
        </w:trPr>
        <w:tc>
          <w:tcPr>
            <w:tcW w:w="4077" w:type="dxa"/>
            <w:vAlign w:val="center"/>
          </w:tcPr>
          <w:p w14:paraId="18B93B2E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5201CB2" w14:textId="77777777" w:rsidR="00E06F40" w:rsidRPr="00A006A0" w:rsidRDefault="009E6591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7F09582E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E91BE76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488C9BC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EAFEFDD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3B640F5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8449228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9A7C179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61E6D676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FBE5670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74070444" w14:textId="5C84A9B7" w:rsidR="008E4F1F" w:rsidRDefault="008E4F1F" w:rsidP="008E4F1F">
      <w:r w:rsidRPr="002022B6">
        <w:t>Deutsche Forschungsgemeinschaft (DFG)</w:t>
      </w:r>
      <w:r>
        <w:t xml:space="preserve"> (</w:t>
      </w:r>
      <w:r w:rsidR="008E08A8">
        <w:t>1992</w:t>
      </w:r>
      <w:r>
        <w:t xml:space="preserve">) </w:t>
      </w:r>
      <w:r w:rsidR="008E08A8" w:rsidRPr="008E08A8">
        <w:t>Phenyl glycidyl ether</w:t>
      </w:r>
      <w:r>
        <w:t xml:space="preserve"> – MAK value documentation.</w:t>
      </w:r>
    </w:p>
    <w:p w14:paraId="686FA9AB" w14:textId="71E24641" w:rsidR="007C71AE" w:rsidRDefault="00AE6E59" w:rsidP="008E4F1F">
      <w:r w:rsidRPr="00AE6E59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23EACFCB" w14:textId="504F1B6A" w:rsidR="008E4F1F" w:rsidRDefault="008E4F1F" w:rsidP="008E4F1F">
      <w:pPr>
        <w:rPr>
          <w:b/>
        </w:rPr>
      </w:pPr>
      <w:r w:rsidRPr="002022B6">
        <w:t>Health Council of the Netherlands</w:t>
      </w:r>
      <w:r>
        <w:t xml:space="preserve"> (HCOTN) (</w:t>
      </w:r>
      <w:r w:rsidR="008E08A8">
        <w:t>2002</w:t>
      </w:r>
      <w:r>
        <w:t xml:space="preserve">) </w:t>
      </w:r>
      <w:r w:rsidR="008E08A8" w:rsidRPr="008E08A8">
        <w:t>Phenyl glycidyl ether</w:t>
      </w:r>
      <w:r w:rsidRPr="005F7416">
        <w:t xml:space="preserve">. </w:t>
      </w:r>
      <w:r w:rsidR="008E08A8" w:rsidRPr="008E08A8">
        <w:t>Evaluation of the carcinogenicity and genotoxicity</w:t>
      </w:r>
      <w:r w:rsidRPr="005F7416">
        <w:t xml:space="preserve">. The Hague: Health Council of the Netherlands; publication no. </w:t>
      </w:r>
      <w:r w:rsidR="008E08A8">
        <w:t>2002/06OSH</w:t>
      </w:r>
      <w:r>
        <w:t>.</w:t>
      </w:r>
    </w:p>
    <w:p w14:paraId="2FCF7949" w14:textId="03757EF7" w:rsidR="008E08A8" w:rsidRDefault="008E08A8" w:rsidP="008E4F1F">
      <w:r w:rsidRPr="008E08A8">
        <w:t>International Agency for Research on Cancer (IARC) (1999) Volume 71</w:t>
      </w:r>
      <w:r>
        <w:t>,</w:t>
      </w:r>
      <w:r w:rsidRPr="008E08A8">
        <w:t xml:space="preserve"> re-evaluation of some organic chemicals, hydrazine and hydrogen peroxide. IARC Monographs on the evaluation of the carcinogenic risk to humans.</w:t>
      </w:r>
    </w:p>
    <w:p w14:paraId="629FA2D0" w14:textId="611E1EA2" w:rsidR="008E4F1F" w:rsidRDefault="008E4F1F" w:rsidP="008E4F1F">
      <w:pPr>
        <w:rPr>
          <w:b/>
        </w:rPr>
      </w:pPr>
      <w:r w:rsidRPr="002022B6">
        <w:t>National Industrial Chemicals Notification and Assessment Scheme (NICNAS)</w:t>
      </w:r>
      <w:r>
        <w:t xml:space="preserve"> (</w:t>
      </w:r>
      <w:r w:rsidR="00AE6E59">
        <w:t>2013</w:t>
      </w:r>
      <w:r>
        <w:t xml:space="preserve">) </w:t>
      </w:r>
      <w:r w:rsidR="00AE6E59">
        <w:t>Oxirane, (phenoxymethyl)</w:t>
      </w:r>
      <w:r w:rsidRPr="0071660C">
        <w:t xml:space="preserve">: Human health </w:t>
      </w:r>
      <w:sdt>
        <w:sdtPr>
          <w:id w:val="-1295753243"/>
          <w:placeholder>
            <w:docPart w:val="A070BFA618804340AABDA79FF681FE29"/>
          </w:placeholder>
          <w:temporary/>
          <w:showingPlcHdr/>
        </w:sdtPr>
        <w:sdtEndPr/>
        <w:sdtContent>
          <w:r w:rsidRPr="00AE6E59">
            <w:rPr>
              <w:color w:val="000000" w:themeColor="text1"/>
            </w:rPr>
            <w:t>tier II</w:t>
          </w:r>
        </w:sdtContent>
      </w:sdt>
      <w:r>
        <w:t xml:space="preserve"> </w:t>
      </w:r>
      <w:r w:rsidRPr="0071660C">
        <w:t>assessment</w:t>
      </w:r>
      <w:r>
        <w:t xml:space="preserve"> – IMAP report.</w:t>
      </w:r>
    </w:p>
    <w:p w14:paraId="0417B640" w14:textId="77777777" w:rsidR="00331C89" w:rsidRPr="00AE6E59" w:rsidRDefault="00331C89" w:rsidP="00331C89">
      <w:r w:rsidRPr="00AE6E59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2135F091" w14:textId="40D0E092" w:rsidR="008E4F1F" w:rsidRDefault="008E4F1F" w:rsidP="008E4F1F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sdt>
        <w:sdtPr>
          <w:id w:val="-1194999823"/>
          <w:placeholder>
            <w:docPart w:val="FB0307FD2095404C9CFBE1E594ADF091"/>
          </w:placeholder>
          <w:temporary/>
          <w:showingPlcHdr/>
        </w:sdtPr>
        <w:sdtEndPr/>
        <w:sdtContent>
          <w:r w:rsidRPr="00AE6E59">
            <w:rPr>
              <w:color w:val="000000" w:themeColor="text1"/>
            </w:rPr>
            <w:t>1994</w:t>
          </w:r>
        </w:sdtContent>
      </w:sdt>
      <w:r>
        <w:t xml:space="preserve">) Immediately dangerous to life or health concentrations – </w:t>
      </w:r>
      <w:r w:rsidR="00AE6E59">
        <w:t>p</w:t>
      </w:r>
      <w:r w:rsidR="00AE6E59" w:rsidRPr="00AE6E59">
        <w:t>henyl glycidyl ether</w:t>
      </w:r>
      <w:r>
        <w:t>.</w:t>
      </w:r>
    </w:p>
    <w:p w14:paraId="2D5A9D7B" w14:textId="77777777" w:rsidR="008E4F1F" w:rsidRPr="00351FE0" w:rsidRDefault="008E4F1F" w:rsidP="00084859"/>
    <w:sectPr w:rsidR="008E4F1F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BE8F1" w14:textId="77777777" w:rsidR="00203DF3" w:rsidRDefault="00203DF3" w:rsidP="00F43AD5">
      <w:pPr>
        <w:spacing w:after="0" w:line="240" w:lineRule="auto"/>
      </w:pPr>
      <w:r>
        <w:separator/>
      </w:r>
    </w:p>
  </w:endnote>
  <w:endnote w:type="continuationSeparator" w:id="0">
    <w:p w14:paraId="1472ED50" w14:textId="77777777" w:rsidR="00203DF3" w:rsidRDefault="00203DF3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82CAB" w14:textId="77777777" w:rsidR="00773EAF" w:rsidRDefault="00773E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C441D22" w14:textId="3E99A03D" w:rsidR="008A36CF" w:rsidRDefault="00450DBA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Phenyl glycidyl ether (PGE)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122-60-1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</w:t>
        </w:r>
        <w:r w:rsidR="00C3611A">
          <w:rPr>
            <w:sz w:val="18"/>
            <w:szCs w:val="18"/>
          </w:rPr>
          <w:t>2020</w:t>
        </w:r>
      </w:p>
      <w:p w14:paraId="6C1E77AB" w14:textId="7E2BBE53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010AA4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3B06E" w14:textId="77777777" w:rsidR="00773EAF" w:rsidRDefault="00773E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F2387B" w14:textId="77777777" w:rsidR="00203DF3" w:rsidRDefault="00203DF3" w:rsidP="00F43AD5">
      <w:pPr>
        <w:spacing w:after="0" w:line="240" w:lineRule="auto"/>
      </w:pPr>
      <w:r>
        <w:separator/>
      </w:r>
    </w:p>
  </w:footnote>
  <w:footnote w:type="continuationSeparator" w:id="0">
    <w:p w14:paraId="416949B7" w14:textId="77777777" w:rsidR="00203DF3" w:rsidRDefault="00203DF3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81C2A" w14:textId="4FDE01F6" w:rsidR="00773EAF" w:rsidRDefault="00773E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BB514" w14:textId="12FE1568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3CE0050B" wp14:editId="792E5015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07461" w14:textId="745DDC6C" w:rsidR="00773EAF" w:rsidRDefault="00773EA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00E6C" w14:textId="552F29BD" w:rsidR="00773EAF" w:rsidRDefault="00773EAF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8028F" w14:textId="0D610BE2" w:rsidR="008A36CF" w:rsidRDefault="00773EAF" w:rsidP="00F43AD5">
    <w:pPr>
      <w:pStyle w:val="Header"/>
      <w:jc w:val="right"/>
    </w:pPr>
    <w:r>
      <w:rPr>
        <w:noProof/>
      </w:rPr>
      <w:drawing>
        <wp:inline distT="0" distB="0" distL="0" distR="0" wp14:anchorId="7A9B82AB" wp14:editId="3AF0DCCC">
          <wp:extent cx="2938145" cy="59436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8418D" w14:textId="388804DB" w:rsidR="00773EAF" w:rsidRDefault="00773E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040F4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AD36580"/>
    <w:multiLevelType w:val="hybridMultilevel"/>
    <w:tmpl w:val="4928D22A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599098530">
    <w:abstractNumId w:val="0"/>
  </w:num>
  <w:num w:numId="2" w16cid:durableId="1396315859">
    <w:abstractNumId w:val="0"/>
  </w:num>
  <w:num w:numId="3" w16cid:durableId="1337071111">
    <w:abstractNumId w:val="0"/>
  </w:num>
  <w:num w:numId="4" w16cid:durableId="890531702">
    <w:abstractNumId w:val="0"/>
  </w:num>
  <w:num w:numId="5" w16cid:durableId="2106800049">
    <w:abstractNumId w:val="0"/>
  </w:num>
  <w:num w:numId="6" w16cid:durableId="2108961849">
    <w:abstractNumId w:val="0"/>
  </w:num>
  <w:num w:numId="7" w16cid:durableId="1622149195">
    <w:abstractNumId w:val="0"/>
  </w:num>
  <w:num w:numId="8" w16cid:durableId="1071192570">
    <w:abstractNumId w:val="0"/>
  </w:num>
  <w:num w:numId="9" w16cid:durableId="733430404">
    <w:abstractNumId w:val="0"/>
  </w:num>
  <w:num w:numId="10" w16cid:durableId="1746806209">
    <w:abstractNumId w:val="0"/>
  </w:num>
  <w:num w:numId="11" w16cid:durableId="15771264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81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0AA4"/>
    <w:rsid w:val="000110C8"/>
    <w:rsid w:val="00013A22"/>
    <w:rsid w:val="00014C3F"/>
    <w:rsid w:val="00017C82"/>
    <w:rsid w:val="00021C51"/>
    <w:rsid w:val="00032B88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7180E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C2D4D"/>
    <w:rsid w:val="000D291C"/>
    <w:rsid w:val="000D3F9D"/>
    <w:rsid w:val="000D7445"/>
    <w:rsid w:val="000E5A54"/>
    <w:rsid w:val="000E63D3"/>
    <w:rsid w:val="000E67CF"/>
    <w:rsid w:val="0010461E"/>
    <w:rsid w:val="00106FAA"/>
    <w:rsid w:val="00113443"/>
    <w:rsid w:val="0012508B"/>
    <w:rsid w:val="001269A7"/>
    <w:rsid w:val="00131092"/>
    <w:rsid w:val="00140E6A"/>
    <w:rsid w:val="00146545"/>
    <w:rsid w:val="00146B75"/>
    <w:rsid w:val="0015266D"/>
    <w:rsid w:val="0015288A"/>
    <w:rsid w:val="00160F47"/>
    <w:rsid w:val="00163160"/>
    <w:rsid w:val="00177CA1"/>
    <w:rsid w:val="00181272"/>
    <w:rsid w:val="00183823"/>
    <w:rsid w:val="00183942"/>
    <w:rsid w:val="001915F6"/>
    <w:rsid w:val="001A009E"/>
    <w:rsid w:val="001A1287"/>
    <w:rsid w:val="001A3859"/>
    <w:rsid w:val="001A3C9D"/>
    <w:rsid w:val="001A43F8"/>
    <w:rsid w:val="001B5BD2"/>
    <w:rsid w:val="001B6BAB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3DF3"/>
    <w:rsid w:val="002046A6"/>
    <w:rsid w:val="00204956"/>
    <w:rsid w:val="00213640"/>
    <w:rsid w:val="00216243"/>
    <w:rsid w:val="00221547"/>
    <w:rsid w:val="002216FC"/>
    <w:rsid w:val="00222533"/>
    <w:rsid w:val="00222F30"/>
    <w:rsid w:val="00224EE2"/>
    <w:rsid w:val="00227EC7"/>
    <w:rsid w:val="00236207"/>
    <w:rsid w:val="00244AD1"/>
    <w:rsid w:val="0024523D"/>
    <w:rsid w:val="002463BC"/>
    <w:rsid w:val="002465CE"/>
    <w:rsid w:val="00254988"/>
    <w:rsid w:val="0025734A"/>
    <w:rsid w:val="00263255"/>
    <w:rsid w:val="00276494"/>
    <w:rsid w:val="00277B0C"/>
    <w:rsid w:val="00294681"/>
    <w:rsid w:val="00297CC4"/>
    <w:rsid w:val="002B1A2C"/>
    <w:rsid w:val="002B7890"/>
    <w:rsid w:val="002C34F2"/>
    <w:rsid w:val="002C58FF"/>
    <w:rsid w:val="002C7AFE"/>
    <w:rsid w:val="002D05D2"/>
    <w:rsid w:val="002D7878"/>
    <w:rsid w:val="002E0D61"/>
    <w:rsid w:val="002E4C7B"/>
    <w:rsid w:val="002F1B6F"/>
    <w:rsid w:val="0030740C"/>
    <w:rsid w:val="00315833"/>
    <w:rsid w:val="003215EE"/>
    <w:rsid w:val="003224BF"/>
    <w:rsid w:val="003241A8"/>
    <w:rsid w:val="003253F0"/>
    <w:rsid w:val="00331C89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70E0E"/>
    <w:rsid w:val="00373BA9"/>
    <w:rsid w:val="00375772"/>
    <w:rsid w:val="00386093"/>
    <w:rsid w:val="003904A4"/>
    <w:rsid w:val="00391841"/>
    <w:rsid w:val="00391B6D"/>
    <w:rsid w:val="00394922"/>
    <w:rsid w:val="003A0E32"/>
    <w:rsid w:val="003A2B94"/>
    <w:rsid w:val="003B2673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0DBA"/>
    <w:rsid w:val="004515EE"/>
    <w:rsid w:val="0045205F"/>
    <w:rsid w:val="004529F0"/>
    <w:rsid w:val="00460A03"/>
    <w:rsid w:val="00462098"/>
    <w:rsid w:val="00464D95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67C7"/>
    <w:rsid w:val="00497984"/>
    <w:rsid w:val="004A5088"/>
    <w:rsid w:val="004B6AC8"/>
    <w:rsid w:val="004C1E3F"/>
    <w:rsid w:val="004C23F4"/>
    <w:rsid w:val="004C3475"/>
    <w:rsid w:val="004C58B6"/>
    <w:rsid w:val="004C695F"/>
    <w:rsid w:val="004C6B5F"/>
    <w:rsid w:val="004D16A3"/>
    <w:rsid w:val="004D37A8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17762"/>
    <w:rsid w:val="005272E2"/>
    <w:rsid w:val="0053108F"/>
    <w:rsid w:val="00532B56"/>
    <w:rsid w:val="00534B10"/>
    <w:rsid w:val="00540AD9"/>
    <w:rsid w:val="005446A2"/>
    <w:rsid w:val="00544D2F"/>
    <w:rsid w:val="00551BD8"/>
    <w:rsid w:val="00553EF6"/>
    <w:rsid w:val="00581055"/>
    <w:rsid w:val="00584268"/>
    <w:rsid w:val="0058549E"/>
    <w:rsid w:val="005918A9"/>
    <w:rsid w:val="00591E38"/>
    <w:rsid w:val="005A19C5"/>
    <w:rsid w:val="005A3034"/>
    <w:rsid w:val="005A462D"/>
    <w:rsid w:val="005B253B"/>
    <w:rsid w:val="005B6A73"/>
    <w:rsid w:val="005B771D"/>
    <w:rsid w:val="005C5D16"/>
    <w:rsid w:val="005D3193"/>
    <w:rsid w:val="005D420A"/>
    <w:rsid w:val="005D4A6E"/>
    <w:rsid w:val="005E6979"/>
    <w:rsid w:val="005E75CB"/>
    <w:rsid w:val="005F50F7"/>
    <w:rsid w:val="006013C1"/>
    <w:rsid w:val="0060669E"/>
    <w:rsid w:val="00610F2E"/>
    <w:rsid w:val="00611399"/>
    <w:rsid w:val="00624C4E"/>
    <w:rsid w:val="00625200"/>
    <w:rsid w:val="00625B05"/>
    <w:rsid w:val="006363A8"/>
    <w:rsid w:val="00636DB7"/>
    <w:rsid w:val="00641C99"/>
    <w:rsid w:val="00650905"/>
    <w:rsid w:val="006512C1"/>
    <w:rsid w:val="006532ED"/>
    <w:rsid w:val="006549F2"/>
    <w:rsid w:val="00654D47"/>
    <w:rsid w:val="006567B7"/>
    <w:rsid w:val="00657BFB"/>
    <w:rsid w:val="0066333C"/>
    <w:rsid w:val="006639B4"/>
    <w:rsid w:val="006650FE"/>
    <w:rsid w:val="0067305D"/>
    <w:rsid w:val="00677D9B"/>
    <w:rsid w:val="00681789"/>
    <w:rsid w:val="006867F3"/>
    <w:rsid w:val="00687890"/>
    <w:rsid w:val="006901A2"/>
    <w:rsid w:val="00690368"/>
    <w:rsid w:val="0069079C"/>
    <w:rsid w:val="00690B53"/>
    <w:rsid w:val="00695B72"/>
    <w:rsid w:val="006A0368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4B1A"/>
    <w:rsid w:val="00765F14"/>
    <w:rsid w:val="00770E31"/>
    <w:rsid w:val="00773EAF"/>
    <w:rsid w:val="00774E4F"/>
    <w:rsid w:val="007770F1"/>
    <w:rsid w:val="00783FB1"/>
    <w:rsid w:val="00785CDD"/>
    <w:rsid w:val="00791847"/>
    <w:rsid w:val="007925F0"/>
    <w:rsid w:val="007939B3"/>
    <w:rsid w:val="0079509C"/>
    <w:rsid w:val="00796708"/>
    <w:rsid w:val="007A1641"/>
    <w:rsid w:val="007B1B42"/>
    <w:rsid w:val="007C30EB"/>
    <w:rsid w:val="007C668F"/>
    <w:rsid w:val="007C693B"/>
    <w:rsid w:val="007C71AE"/>
    <w:rsid w:val="007E063C"/>
    <w:rsid w:val="007E2A4B"/>
    <w:rsid w:val="007E307D"/>
    <w:rsid w:val="007E6A4E"/>
    <w:rsid w:val="007E6C94"/>
    <w:rsid w:val="007E7050"/>
    <w:rsid w:val="007F1005"/>
    <w:rsid w:val="007F25E0"/>
    <w:rsid w:val="007F5328"/>
    <w:rsid w:val="00804F5A"/>
    <w:rsid w:val="00810C6D"/>
    <w:rsid w:val="00810DAE"/>
    <w:rsid w:val="00811E36"/>
    <w:rsid w:val="00812887"/>
    <w:rsid w:val="00826F21"/>
    <w:rsid w:val="00834CC8"/>
    <w:rsid w:val="00835E00"/>
    <w:rsid w:val="00837113"/>
    <w:rsid w:val="008414E4"/>
    <w:rsid w:val="00843E21"/>
    <w:rsid w:val="0084508E"/>
    <w:rsid w:val="00856896"/>
    <w:rsid w:val="00857A8A"/>
    <w:rsid w:val="008630EE"/>
    <w:rsid w:val="00864D13"/>
    <w:rsid w:val="00871CD5"/>
    <w:rsid w:val="00872322"/>
    <w:rsid w:val="008745A2"/>
    <w:rsid w:val="008768A8"/>
    <w:rsid w:val="0088798F"/>
    <w:rsid w:val="00887E4B"/>
    <w:rsid w:val="008915C8"/>
    <w:rsid w:val="008930A8"/>
    <w:rsid w:val="008938EE"/>
    <w:rsid w:val="008A36CF"/>
    <w:rsid w:val="008A3BC4"/>
    <w:rsid w:val="008A6657"/>
    <w:rsid w:val="008B3BED"/>
    <w:rsid w:val="008B403C"/>
    <w:rsid w:val="008B7983"/>
    <w:rsid w:val="008C2511"/>
    <w:rsid w:val="008D026D"/>
    <w:rsid w:val="008D23AB"/>
    <w:rsid w:val="008D4B8B"/>
    <w:rsid w:val="008D5A78"/>
    <w:rsid w:val="008E08A8"/>
    <w:rsid w:val="008E4F1F"/>
    <w:rsid w:val="008E7B64"/>
    <w:rsid w:val="008F40D4"/>
    <w:rsid w:val="008F5DCD"/>
    <w:rsid w:val="00900951"/>
    <w:rsid w:val="00902F95"/>
    <w:rsid w:val="009118A6"/>
    <w:rsid w:val="00916909"/>
    <w:rsid w:val="00916EC0"/>
    <w:rsid w:val="00920467"/>
    <w:rsid w:val="0092179E"/>
    <w:rsid w:val="00921DE7"/>
    <w:rsid w:val="00922BEA"/>
    <w:rsid w:val="00926F42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3EF0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A4077"/>
    <w:rsid w:val="009A5C50"/>
    <w:rsid w:val="009B2FF2"/>
    <w:rsid w:val="009B380C"/>
    <w:rsid w:val="009B4843"/>
    <w:rsid w:val="009B6543"/>
    <w:rsid w:val="009C199D"/>
    <w:rsid w:val="009C278F"/>
    <w:rsid w:val="009C2B94"/>
    <w:rsid w:val="009C5874"/>
    <w:rsid w:val="009D213A"/>
    <w:rsid w:val="009D3B5A"/>
    <w:rsid w:val="009D7A47"/>
    <w:rsid w:val="009E0C05"/>
    <w:rsid w:val="009E0D1C"/>
    <w:rsid w:val="009E2214"/>
    <w:rsid w:val="009E355A"/>
    <w:rsid w:val="009E372C"/>
    <w:rsid w:val="009E63E2"/>
    <w:rsid w:val="009E6591"/>
    <w:rsid w:val="009F04D2"/>
    <w:rsid w:val="009F05CF"/>
    <w:rsid w:val="009F07F7"/>
    <w:rsid w:val="009F0F3A"/>
    <w:rsid w:val="009F1192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04E8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D7624"/>
    <w:rsid w:val="00AE2745"/>
    <w:rsid w:val="00AE2F64"/>
    <w:rsid w:val="00AE513A"/>
    <w:rsid w:val="00AE6E59"/>
    <w:rsid w:val="00AF42CB"/>
    <w:rsid w:val="00AF483F"/>
    <w:rsid w:val="00AF4FBC"/>
    <w:rsid w:val="00AF5E07"/>
    <w:rsid w:val="00AF5F06"/>
    <w:rsid w:val="00B00A25"/>
    <w:rsid w:val="00B01131"/>
    <w:rsid w:val="00B1422A"/>
    <w:rsid w:val="00B1765C"/>
    <w:rsid w:val="00B213C4"/>
    <w:rsid w:val="00B40C60"/>
    <w:rsid w:val="00B479A9"/>
    <w:rsid w:val="00B52EDF"/>
    <w:rsid w:val="00B66A5B"/>
    <w:rsid w:val="00B71188"/>
    <w:rsid w:val="00B73002"/>
    <w:rsid w:val="00B73B05"/>
    <w:rsid w:val="00B746DF"/>
    <w:rsid w:val="00B76A41"/>
    <w:rsid w:val="00B87D4C"/>
    <w:rsid w:val="00B93646"/>
    <w:rsid w:val="00BA0B38"/>
    <w:rsid w:val="00BA1DBB"/>
    <w:rsid w:val="00BA4510"/>
    <w:rsid w:val="00BA529A"/>
    <w:rsid w:val="00BB612A"/>
    <w:rsid w:val="00BD0CAE"/>
    <w:rsid w:val="00BD499F"/>
    <w:rsid w:val="00BD56DE"/>
    <w:rsid w:val="00BF2406"/>
    <w:rsid w:val="00C06E43"/>
    <w:rsid w:val="00C16315"/>
    <w:rsid w:val="00C16533"/>
    <w:rsid w:val="00C3091E"/>
    <w:rsid w:val="00C3611A"/>
    <w:rsid w:val="00C3696D"/>
    <w:rsid w:val="00C40FF1"/>
    <w:rsid w:val="00C419E2"/>
    <w:rsid w:val="00C5020E"/>
    <w:rsid w:val="00C57452"/>
    <w:rsid w:val="00C61EDF"/>
    <w:rsid w:val="00C6239D"/>
    <w:rsid w:val="00C63A21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43A6"/>
    <w:rsid w:val="00CB6BC1"/>
    <w:rsid w:val="00CB6CB8"/>
    <w:rsid w:val="00CC1A68"/>
    <w:rsid w:val="00CC2123"/>
    <w:rsid w:val="00CD2BFD"/>
    <w:rsid w:val="00CE10CD"/>
    <w:rsid w:val="00CE5AD6"/>
    <w:rsid w:val="00CE617F"/>
    <w:rsid w:val="00CE6666"/>
    <w:rsid w:val="00CE78EF"/>
    <w:rsid w:val="00D048F7"/>
    <w:rsid w:val="00D0517E"/>
    <w:rsid w:val="00D05CFE"/>
    <w:rsid w:val="00D140FC"/>
    <w:rsid w:val="00D21D8C"/>
    <w:rsid w:val="00D24646"/>
    <w:rsid w:val="00D31357"/>
    <w:rsid w:val="00D31578"/>
    <w:rsid w:val="00D33220"/>
    <w:rsid w:val="00D334D1"/>
    <w:rsid w:val="00D44C89"/>
    <w:rsid w:val="00D516CD"/>
    <w:rsid w:val="00D571E4"/>
    <w:rsid w:val="00D668E6"/>
    <w:rsid w:val="00D70670"/>
    <w:rsid w:val="00D72E75"/>
    <w:rsid w:val="00D74D80"/>
    <w:rsid w:val="00D76624"/>
    <w:rsid w:val="00D87570"/>
    <w:rsid w:val="00D91CB9"/>
    <w:rsid w:val="00D97989"/>
    <w:rsid w:val="00D97D8D"/>
    <w:rsid w:val="00DA352E"/>
    <w:rsid w:val="00DC1B68"/>
    <w:rsid w:val="00DC7694"/>
    <w:rsid w:val="00DD1BF6"/>
    <w:rsid w:val="00DD2F9B"/>
    <w:rsid w:val="00DD7D44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4657"/>
    <w:rsid w:val="00E46BCB"/>
    <w:rsid w:val="00E51CAF"/>
    <w:rsid w:val="00E51D46"/>
    <w:rsid w:val="00E57A5E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5C62"/>
    <w:rsid w:val="00E96077"/>
    <w:rsid w:val="00EA0A06"/>
    <w:rsid w:val="00EA6243"/>
    <w:rsid w:val="00EA74AB"/>
    <w:rsid w:val="00EB3D1B"/>
    <w:rsid w:val="00EB4253"/>
    <w:rsid w:val="00EC5CF3"/>
    <w:rsid w:val="00ED1259"/>
    <w:rsid w:val="00ED1D89"/>
    <w:rsid w:val="00ED6258"/>
    <w:rsid w:val="00ED66BC"/>
    <w:rsid w:val="00EF233A"/>
    <w:rsid w:val="00EF303E"/>
    <w:rsid w:val="00EF3A40"/>
    <w:rsid w:val="00EF7F78"/>
    <w:rsid w:val="00F01B08"/>
    <w:rsid w:val="00F01C4D"/>
    <w:rsid w:val="00F041ED"/>
    <w:rsid w:val="00F053FA"/>
    <w:rsid w:val="00F10C97"/>
    <w:rsid w:val="00F11C71"/>
    <w:rsid w:val="00F16019"/>
    <w:rsid w:val="00F20E68"/>
    <w:rsid w:val="00F22093"/>
    <w:rsid w:val="00F236DF"/>
    <w:rsid w:val="00F307D2"/>
    <w:rsid w:val="00F43AD5"/>
    <w:rsid w:val="00F4402E"/>
    <w:rsid w:val="00F56DD0"/>
    <w:rsid w:val="00F6491C"/>
    <w:rsid w:val="00F67BBB"/>
    <w:rsid w:val="00F75B23"/>
    <w:rsid w:val="00F87D92"/>
    <w:rsid w:val="00F90AA7"/>
    <w:rsid w:val="00F92498"/>
    <w:rsid w:val="00F9496B"/>
    <w:rsid w:val="00F95EB4"/>
    <w:rsid w:val="00F970C9"/>
    <w:rsid w:val="00FA06A8"/>
    <w:rsid w:val="00FA3DF5"/>
    <w:rsid w:val="00FA741F"/>
    <w:rsid w:val="00FB4E07"/>
    <w:rsid w:val="00FB755A"/>
    <w:rsid w:val="00FC60A2"/>
    <w:rsid w:val="00FD159E"/>
    <w:rsid w:val="00FD1871"/>
    <w:rsid w:val="00FD3110"/>
    <w:rsid w:val="00FD45E5"/>
    <w:rsid w:val="00FD7B6D"/>
    <w:rsid w:val="00FF50C9"/>
    <w:rsid w:val="00FF5C3D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9"/>
    <o:shapelayout v:ext="edit">
      <o:idmap v:ext="edit" data="1"/>
    </o:shapelayout>
  </w:shapeDefaults>
  <w:decimalSymbol w:val="."/>
  <w:listSeparator w:val=","/>
  <w14:docId w14:val="052209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2549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498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4988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49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4988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45205F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00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A070BFA618804340AABDA79FF681FE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FEC806-D89B-43A1-9033-9237B76EF2C7}"/>
      </w:docPartPr>
      <w:docPartBody>
        <w:p w:rsidR="008F695B" w:rsidRDefault="00347D16" w:rsidP="00347D16">
          <w:pPr>
            <w:pStyle w:val="A070BFA618804340AABDA79FF681FE29"/>
          </w:pPr>
          <w:r>
            <w:rPr>
              <w:color w:val="00B050"/>
            </w:rPr>
            <w:t>tier </w:t>
          </w:r>
          <w:r w:rsidRPr="0071660C">
            <w:rPr>
              <w:color w:val="00B050"/>
            </w:rPr>
            <w:t>II</w:t>
          </w:r>
        </w:p>
      </w:docPartBody>
    </w:docPart>
    <w:docPart>
      <w:docPartPr>
        <w:name w:val="FB0307FD2095404C9CFBE1E594ADF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25C447-0BA0-4090-95C6-CC9FF0695D56}"/>
      </w:docPartPr>
      <w:docPartBody>
        <w:p w:rsidR="008F695B" w:rsidRDefault="00347D16" w:rsidP="00347D16">
          <w:pPr>
            <w:pStyle w:val="FB0307FD2095404C9CFBE1E594ADF091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CF6FD813FFFE477FA22716FB46E857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B9E1D8-BD4E-47BD-A99B-7A46CB6E2FFE}"/>
      </w:docPartPr>
      <w:docPartBody>
        <w:p w:rsidR="0084042F" w:rsidRDefault="00135C6A" w:rsidP="00135C6A">
          <w:pPr>
            <w:pStyle w:val="CF6FD813FFFE477FA22716FB46E8575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1E27D8E79F8442A6B015557EB7798D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A49230-87CB-42EE-9AE6-6ED6630E9B7A}"/>
      </w:docPartPr>
      <w:docPartBody>
        <w:p w:rsidR="00FC4DAD" w:rsidRDefault="00087D34" w:rsidP="00087D34">
          <w:pPr>
            <w:pStyle w:val="1E27D8E79F8442A6B015557EB7798D44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87D34"/>
    <w:rsid w:val="00135C6A"/>
    <w:rsid w:val="00347D16"/>
    <w:rsid w:val="003E0149"/>
    <w:rsid w:val="0084042F"/>
    <w:rsid w:val="008F695B"/>
    <w:rsid w:val="00BE7F21"/>
    <w:rsid w:val="00D05CFE"/>
    <w:rsid w:val="00D21A9F"/>
    <w:rsid w:val="00FC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87D34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20BC8D26515A4C11AC6304FB75A7CBAD">
    <w:name w:val="20BC8D26515A4C11AC6304FB75A7CBAD"/>
  </w:style>
  <w:style w:type="paragraph" w:customStyle="1" w:styleId="EA32968BF93744FAABC5FC124DBE04BD">
    <w:name w:val="EA32968BF93744FAABC5FC124DBE04BD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A070BFA618804340AABDA79FF681FE29">
    <w:name w:val="A070BFA618804340AABDA79FF681FE29"/>
    <w:rsid w:val="00347D16"/>
    <w:rPr>
      <w:lang w:val="en-US" w:eastAsia="en-US"/>
    </w:rPr>
  </w:style>
  <w:style w:type="paragraph" w:customStyle="1" w:styleId="FB0307FD2095404C9CFBE1E594ADF091">
    <w:name w:val="FB0307FD2095404C9CFBE1E594ADF091"/>
    <w:rsid w:val="00347D16"/>
    <w:rPr>
      <w:lang w:val="en-US" w:eastAsia="en-US"/>
    </w:rPr>
  </w:style>
  <w:style w:type="paragraph" w:customStyle="1" w:styleId="CF6FD813FFFE477FA22716FB46E8575C">
    <w:name w:val="CF6FD813FFFE477FA22716FB46E8575C"/>
    <w:rsid w:val="00135C6A"/>
  </w:style>
  <w:style w:type="paragraph" w:customStyle="1" w:styleId="1E27D8E79F8442A6B015557EB7798D44">
    <w:name w:val="1E27D8E79F8442A6B015557EB7798D44"/>
    <w:rsid w:val="00087D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AF2B75-48BC-4FCD-9C68-F036B51512D8}">
  <ds:schemaRefs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elements/1.1/"/>
    <ds:schemaRef ds:uri="http://schemas.openxmlformats.org/package/2006/metadata/core-properties"/>
    <ds:schemaRef ds:uri="bf54d604-3e62-4e70-ba33-9e9084b96a66"/>
  </ds:schemaRefs>
</ds:datastoreItem>
</file>

<file path=customXml/itemProps2.xml><?xml version="1.0" encoding="utf-8"?>
<ds:datastoreItem xmlns:ds="http://schemas.openxmlformats.org/officeDocument/2006/customXml" ds:itemID="{6D0A1434-9129-4FDD-A069-BA7759F340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F64DC95-C0FC-43DA-BAB9-CCBA3FEA5031}"/>
</file>

<file path=customXml/itemProps4.xml><?xml version="1.0" encoding="utf-8"?>
<ds:datastoreItem xmlns:ds="http://schemas.openxmlformats.org/officeDocument/2006/customXml" ds:itemID="{E9AF4564-2178-444A-B299-E8FC77F0FF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1388</Words>
  <Characters>7916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2020-02-11T06:41:00Z</dcterms:created>
  <dcterms:modified xsi:type="dcterms:W3CDTF">2026-01-02T05:23:00Z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2026-01-02T05:23:20Z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10bced7d-6042-4dce-b9d4-bc95dac2adee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