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EndPr/>
      <w:sdtContent>
        <w:p w14:paraId="4FE8D252" w14:textId="73BF4CEF" w:rsidR="00BD499F" w:rsidRPr="000B4E26" w:rsidRDefault="00D27637" w:rsidP="00B40C60">
          <w:pPr>
            <w:pStyle w:val="Heading1"/>
            <w:jc w:val="center"/>
            <w:rPr>
              <w:rFonts w:ascii="Arial" w:hAnsi="Arial" w:cs="Arial"/>
            </w:rPr>
          </w:pPr>
          <w:r w:rsidRPr="000B4E26">
            <w:rPr>
              <w:rFonts w:ascii="Arial" w:hAnsi="Arial" w:cs="Arial"/>
            </w:rPr>
            <w:t xml:space="preserve">Perfluorooctanoic acid (PFOA) </w:t>
          </w:r>
          <w:r w:rsidR="00233541" w:rsidRPr="000B4E26">
            <w:rPr>
              <w:rFonts w:ascii="Arial" w:hAnsi="Arial" w:cs="Arial"/>
            </w:rPr>
            <w:t xml:space="preserve">AND </w:t>
          </w:r>
          <w:r w:rsidRPr="000B4E26">
            <w:rPr>
              <w:rFonts w:ascii="Arial" w:hAnsi="Arial" w:cs="Arial"/>
            </w:rPr>
            <w:t>its inorganic salts</w:t>
          </w:r>
          <w:r w:rsidR="00233541" w:rsidRPr="000B4E26">
            <w:rPr>
              <w:rFonts w:ascii="Arial" w:hAnsi="Arial" w:cs="Arial"/>
            </w:rPr>
            <w:t xml:space="preserve"> (EXCl</w:t>
          </w:r>
          <w:r w:rsidR="004C3E48" w:rsidRPr="000B4E26">
            <w:rPr>
              <w:rFonts w:ascii="Arial" w:hAnsi="Arial" w:cs="Arial"/>
            </w:rPr>
            <w:t>uding</w:t>
          </w:r>
          <w:r w:rsidR="00233541" w:rsidRPr="000B4E26">
            <w:rPr>
              <w:rFonts w:ascii="Arial" w:hAnsi="Arial" w:cs="Arial"/>
            </w:rPr>
            <w:t xml:space="preserve"> APFO)</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87"/>
        <w:gridCol w:w="5039"/>
      </w:tblGrid>
      <w:tr w:rsidR="00F43AD5" w:rsidRPr="004C23F4" w14:paraId="1E961EFF" w14:textId="77777777" w:rsidTr="00DE6B4E">
        <w:trPr>
          <w:cantSplit/>
          <w:tblHeader/>
        </w:trPr>
        <w:tc>
          <w:tcPr>
            <w:tcW w:w="3987" w:type="dxa"/>
          </w:tcPr>
          <w:p w14:paraId="31D978CB" w14:textId="202D74C5" w:rsidR="00F43AD5" w:rsidRPr="00921DE7" w:rsidRDefault="00CB1CB1" w:rsidP="00B76A41">
            <w:pPr>
              <w:pStyle w:val="Tablerowright"/>
            </w:pPr>
            <w:r w:rsidRPr="00921DE7">
              <w:t>CAS number</w:t>
            </w:r>
            <w:r w:rsidR="003576EF">
              <w:t>s</w:t>
            </w:r>
            <w:r w:rsidRPr="00921DE7">
              <w:t>:</w:t>
            </w:r>
          </w:p>
        </w:tc>
        <w:tc>
          <w:tcPr>
            <w:tcW w:w="5039" w:type="dxa"/>
          </w:tcPr>
          <w:p w14:paraId="5B2CAA7B" w14:textId="304B6314" w:rsidR="007E158E" w:rsidRDefault="007E158E" w:rsidP="00B76A41">
            <w:pPr>
              <w:pStyle w:val="Tablefont"/>
            </w:pPr>
            <w:r>
              <w:t xml:space="preserve">Carboxylic acid (PFOA): </w:t>
            </w:r>
            <w:r w:rsidR="00890FA0" w:rsidRPr="00890FA0">
              <w:t>335-67-1</w:t>
            </w:r>
          </w:p>
          <w:p w14:paraId="13664476" w14:textId="77777777" w:rsidR="007E158E" w:rsidRDefault="007E158E" w:rsidP="00B76A41">
            <w:pPr>
              <w:pStyle w:val="Tablefont"/>
            </w:pPr>
            <w:r>
              <w:t>Sodium carboxylate (</w:t>
            </w:r>
            <w:proofErr w:type="spellStart"/>
            <w:r>
              <w:t>NaPFO</w:t>
            </w:r>
            <w:proofErr w:type="spellEnd"/>
            <w:r>
              <w:t>): 335-95-5</w:t>
            </w:r>
          </w:p>
          <w:p w14:paraId="7EFBD7E3" w14:textId="171168D7" w:rsidR="007E158E" w:rsidRPr="00717D45" w:rsidRDefault="007E158E" w:rsidP="00B76A41">
            <w:pPr>
              <w:pStyle w:val="Tablefont"/>
            </w:pPr>
            <w:r>
              <w:t>Potassiu</w:t>
            </w:r>
            <w:r w:rsidR="00AF49CF">
              <w:t>m carboxylate (KPFO): 2395-00-8</w:t>
            </w:r>
          </w:p>
        </w:tc>
      </w:tr>
      <w:tr w:rsidR="00F43AD5" w:rsidRPr="004C23F4" w14:paraId="14A873E7" w14:textId="77777777" w:rsidTr="00DE6B4E">
        <w:trPr>
          <w:cantSplit/>
        </w:trPr>
        <w:tc>
          <w:tcPr>
            <w:tcW w:w="3987" w:type="dxa"/>
          </w:tcPr>
          <w:p w14:paraId="002FD61C" w14:textId="77777777" w:rsidR="00F43AD5" w:rsidRPr="00921DE7" w:rsidRDefault="00CB1CB1" w:rsidP="00B76A41">
            <w:pPr>
              <w:pStyle w:val="Tablerowright"/>
            </w:pPr>
            <w:r w:rsidRPr="00921DE7">
              <w:t>Synonyms:</w:t>
            </w:r>
          </w:p>
        </w:tc>
        <w:tc>
          <w:tcPr>
            <w:tcW w:w="5039" w:type="dxa"/>
          </w:tcPr>
          <w:p w14:paraId="4635AFDC" w14:textId="50F6F1DB" w:rsidR="00F43AD5" w:rsidRPr="00717D45" w:rsidRDefault="0000140F" w:rsidP="00B76A41">
            <w:pPr>
              <w:pStyle w:val="Tablefont"/>
            </w:pPr>
            <w:r>
              <w:t>PFAS</w:t>
            </w:r>
            <w:r w:rsidR="00FB24AD">
              <w:t>, PFOS</w:t>
            </w:r>
          </w:p>
        </w:tc>
      </w:tr>
      <w:tr w:rsidR="00F43AD5" w:rsidRPr="00D47666" w14:paraId="4BEF3F60" w14:textId="77777777" w:rsidTr="00DE6B4E">
        <w:trPr>
          <w:cantSplit/>
        </w:trPr>
        <w:tc>
          <w:tcPr>
            <w:tcW w:w="3987" w:type="dxa"/>
          </w:tcPr>
          <w:p w14:paraId="1D7312C7" w14:textId="669DCD12" w:rsidR="00F43AD5" w:rsidRPr="004F30B8" w:rsidRDefault="00CB1CB1" w:rsidP="00B76A41">
            <w:pPr>
              <w:pStyle w:val="Tablerowright"/>
            </w:pPr>
            <w:r w:rsidRPr="004F30B8">
              <w:t>Chemical formula:</w:t>
            </w:r>
          </w:p>
        </w:tc>
        <w:tc>
          <w:tcPr>
            <w:tcW w:w="5039" w:type="dxa"/>
          </w:tcPr>
          <w:p w14:paraId="6BC5D50E" w14:textId="77777777" w:rsidR="00F43AD5" w:rsidRPr="00981731" w:rsidRDefault="007E158E" w:rsidP="00B76A41">
            <w:pPr>
              <w:pStyle w:val="Tablefont"/>
              <w:rPr>
                <w:vertAlign w:val="subscript"/>
                <w:lang w:val="it-IT"/>
              </w:rPr>
            </w:pPr>
            <w:r w:rsidRPr="00981731">
              <w:rPr>
                <w:lang w:val="it-IT"/>
              </w:rPr>
              <w:t xml:space="preserve">PFOA: </w:t>
            </w:r>
            <w:r w:rsidR="00454081" w:rsidRPr="00981731">
              <w:rPr>
                <w:lang w:val="it-IT"/>
              </w:rPr>
              <w:t>C</w:t>
            </w:r>
            <w:r w:rsidR="00454081" w:rsidRPr="00981731">
              <w:rPr>
                <w:vertAlign w:val="subscript"/>
                <w:lang w:val="it-IT"/>
              </w:rPr>
              <w:t>8</w:t>
            </w:r>
            <w:r w:rsidR="00454081" w:rsidRPr="00981731">
              <w:rPr>
                <w:lang w:val="it-IT"/>
              </w:rPr>
              <w:t>HF</w:t>
            </w:r>
            <w:r w:rsidR="00454081" w:rsidRPr="00981731">
              <w:rPr>
                <w:vertAlign w:val="subscript"/>
                <w:lang w:val="it-IT"/>
              </w:rPr>
              <w:t>15</w:t>
            </w:r>
            <w:r w:rsidR="00454081" w:rsidRPr="00981731">
              <w:rPr>
                <w:lang w:val="it-IT"/>
              </w:rPr>
              <w:t>O</w:t>
            </w:r>
            <w:r w:rsidR="00454081" w:rsidRPr="00981731">
              <w:rPr>
                <w:vertAlign w:val="subscript"/>
                <w:lang w:val="it-IT"/>
              </w:rPr>
              <w:t>2</w:t>
            </w:r>
          </w:p>
          <w:p w14:paraId="2DE0EE94" w14:textId="1370B621" w:rsidR="007E158E" w:rsidRPr="00981731" w:rsidRDefault="007E158E" w:rsidP="00B76A41">
            <w:pPr>
              <w:pStyle w:val="Tablefont"/>
              <w:rPr>
                <w:lang w:val="it-IT"/>
              </w:rPr>
            </w:pPr>
            <w:r w:rsidRPr="00981731">
              <w:rPr>
                <w:lang w:val="it-IT"/>
              </w:rPr>
              <w:t>NaPFO: C</w:t>
            </w:r>
            <w:r w:rsidRPr="00981731">
              <w:rPr>
                <w:vertAlign w:val="subscript"/>
                <w:lang w:val="it-IT"/>
              </w:rPr>
              <w:t>8</w:t>
            </w:r>
            <w:r w:rsidRPr="00981731">
              <w:rPr>
                <w:lang w:val="it-IT"/>
              </w:rPr>
              <w:t>F</w:t>
            </w:r>
            <w:r w:rsidRPr="00981731">
              <w:rPr>
                <w:vertAlign w:val="subscript"/>
                <w:lang w:val="it-IT"/>
              </w:rPr>
              <w:t>15</w:t>
            </w:r>
            <w:r w:rsidRPr="00981731">
              <w:rPr>
                <w:lang w:val="it-IT"/>
              </w:rPr>
              <w:t>O</w:t>
            </w:r>
            <w:r w:rsidRPr="00981731">
              <w:rPr>
                <w:vertAlign w:val="subscript"/>
                <w:lang w:val="it-IT"/>
              </w:rPr>
              <w:t>2</w:t>
            </w:r>
            <w:r w:rsidRPr="00981731">
              <w:rPr>
                <w:lang w:val="it-IT"/>
              </w:rPr>
              <w:t>Na</w:t>
            </w:r>
          </w:p>
          <w:p w14:paraId="62A41610" w14:textId="1D2AA2FE" w:rsidR="007E158E" w:rsidRPr="00981731" w:rsidRDefault="007E158E" w:rsidP="00B76A41">
            <w:pPr>
              <w:pStyle w:val="Tablefont"/>
              <w:rPr>
                <w:lang w:val="it-IT"/>
              </w:rPr>
            </w:pPr>
            <w:r w:rsidRPr="00981731">
              <w:rPr>
                <w:lang w:val="it-IT"/>
              </w:rPr>
              <w:t>KPFO: C</w:t>
            </w:r>
            <w:r w:rsidRPr="00981731">
              <w:rPr>
                <w:vertAlign w:val="subscript"/>
                <w:lang w:val="it-IT"/>
              </w:rPr>
              <w:t>8</w:t>
            </w:r>
            <w:r w:rsidRPr="00981731">
              <w:rPr>
                <w:lang w:val="it-IT"/>
              </w:rPr>
              <w:t>F</w:t>
            </w:r>
            <w:r w:rsidRPr="00981731">
              <w:rPr>
                <w:vertAlign w:val="subscript"/>
                <w:lang w:val="it-IT"/>
              </w:rPr>
              <w:t>15</w:t>
            </w:r>
            <w:r w:rsidRPr="00981731">
              <w:rPr>
                <w:lang w:val="it-IT"/>
              </w:rPr>
              <w:t>O</w:t>
            </w:r>
            <w:r w:rsidRPr="00981731">
              <w:rPr>
                <w:vertAlign w:val="subscript"/>
                <w:lang w:val="it-IT"/>
              </w:rPr>
              <w:t>2</w:t>
            </w:r>
            <w:r w:rsidR="00AF49CF" w:rsidRPr="00981731">
              <w:rPr>
                <w:lang w:val="it-IT"/>
              </w:rPr>
              <w:t>K</w:t>
            </w:r>
          </w:p>
        </w:tc>
      </w:tr>
    </w:tbl>
    <w:p w14:paraId="29472E87" w14:textId="0DC9738F"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361322">
            <w:rPr>
              <w:rStyle w:val="WESstatus"/>
            </w:rPr>
            <w:t>(interim)</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05"/>
        <w:gridCol w:w="5021"/>
      </w:tblGrid>
      <w:tr w:rsidR="002C7AFE" w:rsidRPr="004C23F4" w14:paraId="397F4E56" w14:textId="77777777" w:rsidTr="00223639">
        <w:trPr>
          <w:cantSplit/>
          <w:tblHeader/>
        </w:trPr>
        <w:tc>
          <w:tcPr>
            <w:tcW w:w="4005" w:type="dxa"/>
            <w:vAlign w:val="center"/>
          </w:tcPr>
          <w:p w14:paraId="2AD0AF76" w14:textId="77777777" w:rsidR="002C7AFE" w:rsidRPr="002C58FF" w:rsidRDefault="00921DE7" w:rsidP="00921DE7">
            <w:pPr>
              <w:pStyle w:val="Tablerowright"/>
            </w:pPr>
            <w:r>
              <w:t>TWA:</w:t>
            </w:r>
          </w:p>
        </w:tc>
        <w:tc>
          <w:tcPr>
            <w:tcW w:w="5021" w:type="dxa"/>
          </w:tcPr>
          <w:p w14:paraId="22E8011C" w14:textId="14ACA0DA" w:rsidR="002C7AFE" w:rsidRPr="00B73564" w:rsidRDefault="00DE6B4E" w:rsidP="00017C82">
            <w:pPr>
              <w:pStyle w:val="Tablefont"/>
              <w:rPr>
                <w:b/>
              </w:rPr>
            </w:pPr>
            <w:r>
              <w:rPr>
                <w:b/>
              </w:rPr>
              <w:t>—</w:t>
            </w:r>
          </w:p>
        </w:tc>
      </w:tr>
      <w:tr w:rsidR="002C7AFE" w:rsidRPr="004C23F4" w14:paraId="1B0E187A" w14:textId="77777777" w:rsidTr="00223639">
        <w:trPr>
          <w:cantSplit/>
        </w:trPr>
        <w:tc>
          <w:tcPr>
            <w:tcW w:w="4005" w:type="dxa"/>
            <w:vAlign w:val="center"/>
          </w:tcPr>
          <w:p w14:paraId="63ED17CD" w14:textId="77777777" w:rsidR="002C7AFE" w:rsidRPr="002C58FF" w:rsidRDefault="002C7AFE" w:rsidP="00921DE7">
            <w:pPr>
              <w:pStyle w:val="Tablerowright"/>
            </w:pPr>
            <w:r w:rsidRPr="002C58FF">
              <w:t>STEL</w:t>
            </w:r>
            <w:r w:rsidR="00921DE7">
              <w:t>:</w:t>
            </w:r>
          </w:p>
        </w:tc>
        <w:tc>
          <w:tcPr>
            <w:tcW w:w="5021" w:type="dxa"/>
          </w:tcPr>
          <w:p w14:paraId="19B6F628" w14:textId="6E89DF4F" w:rsidR="002C7AFE" w:rsidRPr="00EB3D1B" w:rsidRDefault="00223639" w:rsidP="00017C82">
            <w:pPr>
              <w:pStyle w:val="Tablefont"/>
              <w:rPr>
                <w:b/>
              </w:rPr>
            </w:pPr>
            <w:r>
              <w:rPr>
                <w:b/>
              </w:rPr>
              <w:t>—</w:t>
            </w:r>
          </w:p>
        </w:tc>
      </w:tr>
      <w:tr w:rsidR="002C7AFE" w:rsidRPr="004C23F4" w14:paraId="184A828E" w14:textId="77777777" w:rsidTr="00223639">
        <w:trPr>
          <w:cantSplit/>
        </w:trPr>
        <w:tc>
          <w:tcPr>
            <w:tcW w:w="4005" w:type="dxa"/>
            <w:vAlign w:val="center"/>
          </w:tcPr>
          <w:p w14:paraId="06CDBFCA" w14:textId="77777777" w:rsidR="002C7AFE" w:rsidRPr="002C58FF" w:rsidRDefault="00921DE7" w:rsidP="00921DE7">
            <w:pPr>
              <w:pStyle w:val="Tablerowright"/>
            </w:pPr>
            <w:r>
              <w:t>Peak limitation:</w:t>
            </w:r>
          </w:p>
        </w:tc>
        <w:tc>
          <w:tcPr>
            <w:tcW w:w="5021" w:type="dxa"/>
          </w:tcPr>
          <w:p w14:paraId="1E435617" w14:textId="4DD753D9" w:rsidR="002C7AFE" w:rsidRPr="00EB3D1B" w:rsidRDefault="00223639" w:rsidP="00017C82">
            <w:pPr>
              <w:pStyle w:val="Tablefont"/>
              <w:rPr>
                <w:b/>
              </w:rPr>
            </w:pPr>
            <w:r>
              <w:rPr>
                <w:b/>
              </w:rPr>
              <w:t>—</w:t>
            </w:r>
          </w:p>
        </w:tc>
      </w:tr>
      <w:tr w:rsidR="002C7AFE" w:rsidRPr="004C23F4" w14:paraId="7A6709F7" w14:textId="77777777" w:rsidTr="00223639">
        <w:trPr>
          <w:cantSplit/>
        </w:trPr>
        <w:tc>
          <w:tcPr>
            <w:tcW w:w="4005" w:type="dxa"/>
          </w:tcPr>
          <w:p w14:paraId="7D7F3F06" w14:textId="77777777" w:rsidR="002C7AFE" w:rsidRPr="002C58FF" w:rsidRDefault="00A2073D" w:rsidP="003241A8">
            <w:pPr>
              <w:pStyle w:val="Tablerowright"/>
            </w:pPr>
            <w:r>
              <w:rPr>
                <w:b w:val="0"/>
                <w:bCs/>
                <w:color w:val="000000" w:themeColor="text1"/>
              </w:rPr>
              <w:tab/>
            </w:r>
            <w:r w:rsidR="00921DE7" w:rsidRPr="003241A8">
              <w:t>Notations</w:t>
            </w:r>
            <w:r w:rsidR="00921DE7">
              <w:t>:</w:t>
            </w:r>
          </w:p>
        </w:tc>
        <w:tc>
          <w:tcPr>
            <w:tcW w:w="5021" w:type="dxa"/>
          </w:tcPr>
          <w:p w14:paraId="15A1C749" w14:textId="2DB88173" w:rsidR="002C7AFE" w:rsidRPr="00EB3D1B" w:rsidRDefault="002F21C0" w:rsidP="008A36CF">
            <w:pPr>
              <w:pStyle w:val="Tablefont"/>
              <w:rPr>
                <w:b/>
              </w:rPr>
            </w:pPr>
            <w:proofErr w:type="spellStart"/>
            <w:r>
              <w:rPr>
                <w:b/>
              </w:rPr>
              <w:t>Carc</w:t>
            </w:r>
            <w:proofErr w:type="spellEnd"/>
            <w:r>
              <w:rPr>
                <w:b/>
              </w:rPr>
              <w:t xml:space="preserve"> 2, Sk. </w:t>
            </w:r>
          </w:p>
        </w:tc>
      </w:tr>
      <w:tr w:rsidR="002C7AFE" w:rsidRPr="004C23F4" w14:paraId="386AA752" w14:textId="77777777" w:rsidTr="00223639">
        <w:trPr>
          <w:cantSplit/>
        </w:trPr>
        <w:tc>
          <w:tcPr>
            <w:tcW w:w="4005" w:type="dxa"/>
            <w:vAlign w:val="center"/>
          </w:tcPr>
          <w:p w14:paraId="5DF64FC0" w14:textId="77777777" w:rsidR="00F10C97" w:rsidRPr="002C58FF" w:rsidRDefault="00921DE7" w:rsidP="009F04D2">
            <w:pPr>
              <w:pStyle w:val="Tablerowright"/>
            </w:pPr>
            <w:r>
              <w:t>IDLH:</w:t>
            </w:r>
          </w:p>
        </w:tc>
        <w:tc>
          <w:tcPr>
            <w:tcW w:w="5021" w:type="dxa"/>
          </w:tcPr>
          <w:p w14:paraId="4D5E5EE0" w14:textId="383BFC69" w:rsidR="002C7AFE" w:rsidRPr="00EB3D1B" w:rsidRDefault="00454081" w:rsidP="00017C82">
            <w:pPr>
              <w:pStyle w:val="Tablefont"/>
              <w:rPr>
                <w:b/>
              </w:rPr>
            </w:pPr>
            <w:r w:rsidRPr="000C2A5E">
              <w:t>—</w:t>
            </w:r>
          </w:p>
        </w:tc>
      </w:tr>
      <w:tr w:rsidR="00223639" w:rsidRPr="004C23F4" w14:paraId="42FA757E" w14:textId="77777777" w:rsidTr="0078490E">
        <w:trPr>
          <w:cantSplit/>
        </w:trPr>
        <w:tc>
          <w:tcPr>
            <w:tcW w:w="9026" w:type="dxa"/>
            <w:gridSpan w:val="2"/>
            <w:vAlign w:val="center"/>
          </w:tcPr>
          <w:p w14:paraId="4CE331CD" w14:textId="0A09FFA3" w:rsidR="00223639" w:rsidRPr="00EB3D1B" w:rsidRDefault="00223639" w:rsidP="00223639">
            <w:pPr>
              <w:pStyle w:val="Tablefont"/>
              <w:rPr>
                <w:b/>
              </w:rPr>
            </w:pPr>
            <w:r w:rsidRPr="00C9508E">
              <w:rPr>
                <w:b/>
              </w:rPr>
              <w:t>Sampling and analysis:</w:t>
            </w:r>
            <w:r w:rsidRPr="00EC521E">
              <w:rPr>
                <w:rStyle w:val="WESstatus"/>
                <w:color w:val="auto"/>
              </w:rPr>
              <w:t xml:space="preserve"> </w:t>
            </w:r>
            <w:sdt>
              <w:sdtPr>
                <w:rPr>
                  <w:rStyle w:val="WESstatus"/>
                  <w:color w:val="auto"/>
                </w:rPr>
                <w:id w:val="-2105258949"/>
                <w:placeholder>
                  <w:docPart w:val="538157ED622A42EB9A43372CF36F14E2"/>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EndPr>
                <w:rPr>
                  <w:rStyle w:val="WESstatus"/>
                </w:rPr>
              </w:sdtEndPr>
              <w:sdtContent>
                <w:r>
                  <w:rPr>
                    <w:rStyle w:val="WESstatus"/>
                    <w:color w:val="auto"/>
                  </w:rPr>
                  <w:t xml:space="preserve">The recommended value is quantifiable through available sampling and analysis techniques. </w:t>
                </w:r>
              </w:sdtContent>
            </w:sdt>
          </w:p>
        </w:tc>
      </w:tr>
    </w:tbl>
    <w:p w14:paraId="1D7A2B75" w14:textId="77777777" w:rsidR="00CB1CB1" w:rsidRPr="003365A5" w:rsidRDefault="00F10C97" w:rsidP="003365A5">
      <w:pPr>
        <w:pStyle w:val="Heading2"/>
      </w:pPr>
      <w:r>
        <w:t>Recommendation and basis for workplace exposure standard</w:t>
      </w:r>
    </w:p>
    <w:p w14:paraId="72E1E252" w14:textId="2D74C49F" w:rsidR="006639B4" w:rsidRDefault="00DE6B4E" w:rsidP="000C139A">
      <w:pPr>
        <w:rPr>
          <w:rFonts w:cs="Arial"/>
        </w:rPr>
      </w:pPr>
      <w:r w:rsidRPr="00DE6B4E">
        <w:rPr>
          <w:rFonts w:cs="Arial"/>
        </w:rPr>
        <w:t>A TWA is not recommended due to a lack of reliable human inhalation</w:t>
      </w:r>
      <w:r w:rsidR="000D15AA">
        <w:rPr>
          <w:rFonts w:cs="Arial"/>
        </w:rPr>
        <w:t xml:space="preserve"> exposure</w:t>
      </w:r>
      <w:r w:rsidRPr="00DE6B4E">
        <w:rPr>
          <w:rFonts w:cs="Arial"/>
        </w:rPr>
        <w:t xml:space="preserve"> data</w:t>
      </w:r>
      <w:r w:rsidR="00150CC0">
        <w:rPr>
          <w:rFonts w:cs="Arial"/>
        </w:rPr>
        <w:t>.</w:t>
      </w:r>
    </w:p>
    <w:p w14:paraId="4D973823" w14:textId="337CFDCC" w:rsidR="00231A8C" w:rsidRPr="004C23F4" w:rsidRDefault="00231A8C" w:rsidP="000C139A">
      <w:pPr>
        <w:rPr>
          <w:rFonts w:cs="Arial"/>
        </w:rPr>
      </w:pPr>
      <w:r>
        <w:rPr>
          <w:rFonts w:cs="Arial"/>
        </w:rPr>
        <w:t>Given the limited data available from the primary sources, it is recommended that a review of additional sources be conducted at the next scheduled review.</w:t>
      </w:r>
    </w:p>
    <w:p w14:paraId="5EB4542E" w14:textId="77777777" w:rsidR="00C7155E" w:rsidRPr="004C23F4" w:rsidRDefault="00F10C97" w:rsidP="003365A5">
      <w:pPr>
        <w:pStyle w:val="Heading2"/>
      </w:pPr>
      <w:r>
        <w:t>Discussion and conclusions</w:t>
      </w:r>
    </w:p>
    <w:p w14:paraId="146795CD" w14:textId="31A82B70" w:rsidR="00137F02" w:rsidRDefault="00C433C3" w:rsidP="001D590B">
      <w:pPr>
        <w:rPr>
          <w:rFonts w:cs="Arial"/>
        </w:rPr>
      </w:pPr>
      <w:r>
        <w:rPr>
          <w:rFonts w:cs="Arial"/>
        </w:rPr>
        <w:t xml:space="preserve">Perfluorooctanoic acid </w:t>
      </w:r>
      <w:r w:rsidR="00BA0E55">
        <w:rPr>
          <w:rFonts w:cs="Arial"/>
        </w:rPr>
        <w:t xml:space="preserve">(PFOA) </w:t>
      </w:r>
      <w:r w:rsidR="00AF49CF">
        <w:rPr>
          <w:rFonts w:cs="Arial"/>
        </w:rPr>
        <w:t>and its inorganic salts are</w:t>
      </w:r>
      <w:r>
        <w:rPr>
          <w:rFonts w:cs="Arial"/>
        </w:rPr>
        <w:t xml:space="preserve"> u</w:t>
      </w:r>
      <w:r w:rsidR="001D590B">
        <w:rPr>
          <w:rFonts w:cs="Arial"/>
        </w:rPr>
        <w:t xml:space="preserve">sed </w:t>
      </w:r>
      <w:r>
        <w:rPr>
          <w:rFonts w:cs="Arial"/>
        </w:rPr>
        <w:t xml:space="preserve">in the production of </w:t>
      </w:r>
      <w:r w:rsidR="001D590B">
        <w:rPr>
          <w:rFonts w:cs="Arial"/>
        </w:rPr>
        <w:t xml:space="preserve">non-stick cookware, </w:t>
      </w:r>
      <w:r>
        <w:rPr>
          <w:rFonts w:cs="Arial"/>
        </w:rPr>
        <w:t>fluoropolymer</w:t>
      </w:r>
      <w:r w:rsidR="001D590B">
        <w:rPr>
          <w:rFonts w:cs="Arial"/>
        </w:rPr>
        <w:t xml:space="preserve"> paints, firefighting foams</w:t>
      </w:r>
      <w:r w:rsidR="001D590B" w:rsidRPr="001D590B">
        <w:rPr>
          <w:rFonts w:cs="Arial"/>
        </w:rPr>
        <w:t xml:space="preserve"> and</w:t>
      </w:r>
      <w:r w:rsidR="001D590B">
        <w:rPr>
          <w:rFonts w:cs="Arial"/>
        </w:rPr>
        <w:t xml:space="preserve"> </w:t>
      </w:r>
      <w:r w:rsidR="001D590B" w:rsidRPr="001D590B">
        <w:rPr>
          <w:rFonts w:cs="Arial"/>
        </w:rPr>
        <w:t>in</w:t>
      </w:r>
      <w:r>
        <w:rPr>
          <w:rFonts w:cs="Arial"/>
        </w:rPr>
        <w:t xml:space="preserve"> weather resistant </w:t>
      </w:r>
      <w:r w:rsidR="001D590B" w:rsidRPr="001D590B">
        <w:rPr>
          <w:rFonts w:cs="Arial"/>
        </w:rPr>
        <w:t xml:space="preserve">textile </w:t>
      </w:r>
      <w:r>
        <w:rPr>
          <w:rFonts w:cs="Arial"/>
        </w:rPr>
        <w:t>coatings</w:t>
      </w:r>
      <w:r w:rsidR="001D590B">
        <w:rPr>
          <w:rFonts w:cs="Arial"/>
        </w:rPr>
        <w:t>.</w:t>
      </w:r>
      <w:r w:rsidR="00595A0C">
        <w:rPr>
          <w:rFonts w:cs="Arial"/>
        </w:rPr>
        <w:t xml:space="preserve"> This evaluation is for </w:t>
      </w:r>
      <w:r w:rsidR="00FB24AD">
        <w:rPr>
          <w:rFonts w:cs="Arial"/>
        </w:rPr>
        <w:t>p</w:t>
      </w:r>
      <w:r w:rsidR="00595A0C">
        <w:rPr>
          <w:rFonts w:cs="Arial"/>
        </w:rPr>
        <w:t>erfluorooctanoic acid (PFOA) and its inorganic salts. Evaluation of ammonium perfluorooctanoate (APFO) is included in the APFO report.</w:t>
      </w:r>
    </w:p>
    <w:p w14:paraId="4FFE2B1A" w14:textId="3DB594CA" w:rsidR="00C3133D" w:rsidRDefault="00AF49CF" w:rsidP="001D590B">
      <w:pPr>
        <w:rPr>
          <w:rFonts w:cs="Arial"/>
        </w:rPr>
      </w:pPr>
      <w:r>
        <w:rPr>
          <w:rFonts w:cs="Arial"/>
        </w:rPr>
        <w:t>The c</w:t>
      </w:r>
      <w:r w:rsidR="00C433C3">
        <w:rPr>
          <w:rFonts w:cs="Arial"/>
        </w:rPr>
        <w:t xml:space="preserve">ritical </w:t>
      </w:r>
      <w:r>
        <w:rPr>
          <w:rFonts w:cs="Arial"/>
        </w:rPr>
        <w:t xml:space="preserve">effect </w:t>
      </w:r>
      <w:r w:rsidR="00FB24AD">
        <w:rPr>
          <w:rFonts w:cs="Arial"/>
        </w:rPr>
        <w:t xml:space="preserve">of exposure in animals </w:t>
      </w:r>
      <w:r>
        <w:rPr>
          <w:rFonts w:cs="Arial"/>
        </w:rPr>
        <w:t>is</w:t>
      </w:r>
      <w:r w:rsidR="00C433C3">
        <w:rPr>
          <w:rFonts w:cs="Arial"/>
        </w:rPr>
        <w:t xml:space="preserve"> </w:t>
      </w:r>
      <w:r>
        <w:rPr>
          <w:rFonts w:cs="Arial"/>
        </w:rPr>
        <w:t>liver damage as reported in chronic and sub</w:t>
      </w:r>
      <w:r w:rsidR="0078490E">
        <w:rPr>
          <w:rFonts w:cs="Arial"/>
        </w:rPr>
        <w:t>-</w:t>
      </w:r>
      <w:r>
        <w:rPr>
          <w:rFonts w:cs="Arial"/>
        </w:rPr>
        <w:t>chronic</w:t>
      </w:r>
      <w:r w:rsidR="00FB24AD">
        <w:rPr>
          <w:rFonts w:cs="Arial"/>
        </w:rPr>
        <w:t xml:space="preserve"> feeding studies</w:t>
      </w:r>
      <w:r>
        <w:rPr>
          <w:rFonts w:cs="Arial"/>
        </w:rPr>
        <w:t xml:space="preserve">. </w:t>
      </w:r>
      <w:r w:rsidR="00C3133D">
        <w:rPr>
          <w:rFonts w:cs="Arial"/>
        </w:rPr>
        <w:t xml:space="preserve">Carcinogenicity </w:t>
      </w:r>
      <w:r w:rsidR="00FB24AD">
        <w:rPr>
          <w:rFonts w:cs="Arial"/>
        </w:rPr>
        <w:t xml:space="preserve">endpoints </w:t>
      </w:r>
      <w:r w:rsidR="00C3133D">
        <w:rPr>
          <w:rFonts w:cs="Arial"/>
        </w:rPr>
        <w:t>observed in animals</w:t>
      </w:r>
      <w:r w:rsidR="00386A4E">
        <w:rPr>
          <w:rFonts w:cs="Arial"/>
        </w:rPr>
        <w:t xml:space="preserve"> </w:t>
      </w:r>
      <w:r w:rsidR="00FB24AD">
        <w:rPr>
          <w:rFonts w:cs="Arial"/>
        </w:rPr>
        <w:t>are</w:t>
      </w:r>
      <w:r w:rsidR="00C3133D">
        <w:rPr>
          <w:rFonts w:cs="Arial"/>
        </w:rPr>
        <w:t xml:space="preserve"> </w:t>
      </w:r>
      <w:r w:rsidR="004F30B8">
        <w:rPr>
          <w:rFonts w:cs="Arial"/>
        </w:rPr>
        <w:t xml:space="preserve">not </w:t>
      </w:r>
      <w:r w:rsidR="0041613D">
        <w:rPr>
          <w:rFonts w:cs="Arial"/>
        </w:rPr>
        <w:t xml:space="preserve">confirmed </w:t>
      </w:r>
      <w:r w:rsidR="00C3133D">
        <w:rPr>
          <w:rFonts w:cs="Arial"/>
        </w:rPr>
        <w:t>in humans.</w:t>
      </w:r>
    </w:p>
    <w:p w14:paraId="493D1BE4" w14:textId="79BA4654" w:rsidR="00675EEE" w:rsidRDefault="000257C8" w:rsidP="00675EEE">
      <w:pPr>
        <w:rPr>
          <w:rFonts w:cs="Arial"/>
        </w:rPr>
      </w:pPr>
      <w:r>
        <w:rPr>
          <w:rFonts w:cs="Arial"/>
        </w:rPr>
        <w:t>Human dat</w:t>
      </w:r>
      <w:r w:rsidR="00137E5C">
        <w:rPr>
          <w:rFonts w:cs="Arial"/>
        </w:rPr>
        <w:t>a are limited to epidemiological</w:t>
      </w:r>
      <w:r>
        <w:rPr>
          <w:rFonts w:cs="Arial"/>
        </w:rPr>
        <w:t xml:space="preserve"> studies, which lack </w:t>
      </w:r>
      <w:r w:rsidR="00B1605A">
        <w:rPr>
          <w:rFonts w:cs="Arial"/>
        </w:rPr>
        <w:t xml:space="preserve">inhalational </w:t>
      </w:r>
      <w:r>
        <w:rPr>
          <w:rFonts w:cs="Arial"/>
        </w:rPr>
        <w:t>exposure information</w:t>
      </w:r>
      <w:r w:rsidR="00B1605A">
        <w:rPr>
          <w:rFonts w:cs="Arial"/>
        </w:rPr>
        <w:t xml:space="preserve"> and generally infer exposure from serum </w:t>
      </w:r>
      <w:r w:rsidR="00F02188">
        <w:rPr>
          <w:rFonts w:cs="Arial"/>
        </w:rPr>
        <w:t xml:space="preserve">PFOA </w:t>
      </w:r>
      <w:r w:rsidR="00B1605A">
        <w:rPr>
          <w:rFonts w:cs="Arial"/>
        </w:rPr>
        <w:t>levels</w:t>
      </w:r>
      <w:r w:rsidR="00C6393E">
        <w:rPr>
          <w:rFonts w:cs="Arial"/>
        </w:rPr>
        <w:t>. The results of the</w:t>
      </w:r>
      <w:r w:rsidR="00B1605A">
        <w:rPr>
          <w:rFonts w:cs="Arial"/>
        </w:rPr>
        <w:t>se</w:t>
      </w:r>
      <w:r w:rsidR="00C6393E">
        <w:rPr>
          <w:rFonts w:cs="Arial"/>
        </w:rPr>
        <w:t xml:space="preserve"> studies are </w:t>
      </w:r>
      <w:r w:rsidR="00137E5C">
        <w:rPr>
          <w:rFonts w:cs="Arial"/>
        </w:rPr>
        <w:t xml:space="preserve">equivocal for </w:t>
      </w:r>
      <w:r w:rsidR="00223639">
        <w:rPr>
          <w:rFonts w:cs="Arial"/>
        </w:rPr>
        <w:t xml:space="preserve">liver, kidney and testicular </w:t>
      </w:r>
      <w:r w:rsidR="00B1605A">
        <w:rPr>
          <w:rFonts w:cs="Arial"/>
        </w:rPr>
        <w:t xml:space="preserve">toxicity, including </w:t>
      </w:r>
      <w:r w:rsidR="00223639">
        <w:rPr>
          <w:rFonts w:cs="Arial"/>
        </w:rPr>
        <w:t>carcinogenesis</w:t>
      </w:r>
      <w:r w:rsidR="00E35D7E">
        <w:rPr>
          <w:rFonts w:cs="Arial"/>
        </w:rPr>
        <w:t xml:space="preserve">. </w:t>
      </w:r>
      <w:r w:rsidR="00187F5D">
        <w:rPr>
          <w:rFonts w:cs="Arial"/>
        </w:rPr>
        <w:t>However, t</w:t>
      </w:r>
      <w:r w:rsidR="00E35D7E">
        <w:rPr>
          <w:rFonts w:cs="Arial"/>
        </w:rPr>
        <w:t xml:space="preserve">here is non-linear correlation between exposure and carcinogenic </w:t>
      </w:r>
      <w:r w:rsidR="003D28E4">
        <w:rPr>
          <w:rFonts w:cs="Arial"/>
        </w:rPr>
        <w:t>effects in these studies, which means the results are not reliable for carcinogenic risk in humans</w:t>
      </w:r>
      <w:r w:rsidR="000400FF">
        <w:rPr>
          <w:rFonts w:cs="Arial"/>
        </w:rPr>
        <w:t xml:space="preserve"> </w:t>
      </w:r>
      <w:r>
        <w:rPr>
          <w:rFonts w:cs="Arial"/>
        </w:rPr>
        <w:t>(DFG, 2006; HCOTN, 2013</w:t>
      </w:r>
      <w:r w:rsidR="00137E5C">
        <w:rPr>
          <w:rFonts w:cs="Arial"/>
        </w:rPr>
        <w:t>; IARC, 2017</w:t>
      </w:r>
      <w:r w:rsidR="00BA0E55">
        <w:rPr>
          <w:rFonts w:cs="Arial"/>
        </w:rPr>
        <w:t>).</w:t>
      </w:r>
      <w:r w:rsidR="00B1605A">
        <w:rPr>
          <w:rFonts w:cs="Arial"/>
        </w:rPr>
        <w:t xml:space="preserve"> </w:t>
      </w:r>
      <w:r w:rsidR="00365FE1">
        <w:rPr>
          <w:rFonts w:cs="Arial"/>
        </w:rPr>
        <w:t xml:space="preserve">The highest average serum level </w:t>
      </w:r>
      <w:r w:rsidR="00B1605A">
        <w:rPr>
          <w:rFonts w:cs="Arial"/>
        </w:rPr>
        <w:t>of 6.4 </w:t>
      </w:r>
      <w:r w:rsidR="00365FE1">
        <w:rPr>
          <w:rFonts w:cs="Arial"/>
        </w:rPr>
        <w:t xml:space="preserve">mg/L PFOA </w:t>
      </w:r>
      <w:r w:rsidR="00FB24AD">
        <w:rPr>
          <w:rFonts w:cs="Arial"/>
        </w:rPr>
        <w:t>i</w:t>
      </w:r>
      <w:r w:rsidR="00462684">
        <w:rPr>
          <w:rFonts w:cs="Arial"/>
        </w:rPr>
        <w:t>s</w:t>
      </w:r>
      <w:r w:rsidR="00365FE1">
        <w:rPr>
          <w:rFonts w:cs="Arial"/>
        </w:rPr>
        <w:t xml:space="preserve"> </w:t>
      </w:r>
      <w:r w:rsidR="00462684">
        <w:rPr>
          <w:rFonts w:cs="Arial"/>
        </w:rPr>
        <w:t>reported</w:t>
      </w:r>
      <w:r w:rsidR="00365FE1">
        <w:rPr>
          <w:rFonts w:cs="Arial"/>
        </w:rPr>
        <w:t xml:space="preserve"> in workers of a production plant</w:t>
      </w:r>
      <w:r w:rsidR="00B1605A">
        <w:rPr>
          <w:rFonts w:cs="Arial"/>
        </w:rPr>
        <w:t xml:space="preserve"> </w:t>
      </w:r>
      <w:r w:rsidR="00365FE1">
        <w:rPr>
          <w:rFonts w:cs="Arial"/>
        </w:rPr>
        <w:t xml:space="preserve">(DFG, 2006). </w:t>
      </w:r>
      <w:r w:rsidR="007464AA">
        <w:rPr>
          <w:rFonts w:cs="Arial"/>
        </w:rPr>
        <w:t>A NOAEL of 0.06</w:t>
      </w:r>
      <w:r w:rsidR="002E6299">
        <w:rPr>
          <w:rFonts w:cs="Arial"/>
        </w:rPr>
        <w:t> </w:t>
      </w:r>
      <w:r w:rsidR="007464AA">
        <w:rPr>
          <w:rFonts w:cs="Arial"/>
        </w:rPr>
        <w:t>mg/kg/d</w:t>
      </w:r>
      <w:r w:rsidR="00223639">
        <w:rPr>
          <w:rFonts w:cs="Arial"/>
        </w:rPr>
        <w:t>ay</w:t>
      </w:r>
      <w:r w:rsidR="007464AA">
        <w:rPr>
          <w:rFonts w:cs="Arial"/>
        </w:rPr>
        <w:t xml:space="preserve"> for liver cell hypertrophy</w:t>
      </w:r>
      <w:r w:rsidR="005547EE" w:rsidRPr="005547EE">
        <w:rPr>
          <w:rFonts w:cs="Arial"/>
        </w:rPr>
        <w:t xml:space="preserve"> </w:t>
      </w:r>
      <w:r w:rsidR="005547EE">
        <w:rPr>
          <w:rFonts w:cs="Arial"/>
        </w:rPr>
        <w:t>is reported in a sub</w:t>
      </w:r>
      <w:r w:rsidR="0078490E">
        <w:rPr>
          <w:rFonts w:cs="Arial"/>
        </w:rPr>
        <w:t>-</w:t>
      </w:r>
      <w:r w:rsidR="005547EE">
        <w:rPr>
          <w:rFonts w:cs="Arial"/>
        </w:rPr>
        <w:t>chronic feeding study</w:t>
      </w:r>
      <w:r w:rsidR="00FB24AD">
        <w:rPr>
          <w:rFonts w:cs="Arial"/>
        </w:rPr>
        <w:t xml:space="preserve"> in</w:t>
      </w:r>
      <w:r w:rsidR="005547EE">
        <w:rPr>
          <w:rFonts w:cs="Arial"/>
        </w:rPr>
        <w:t xml:space="preserve"> rats</w:t>
      </w:r>
      <w:r w:rsidR="008E72EE">
        <w:rPr>
          <w:rFonts w:cs="Arial"/>
        </w:rPr>
        <w:t>.</w:t>
      </w:r>
      <w:r w:rsidR="00BA0E55">
        <w:rPr>
          <w:rFonts w:cs="Arial"/>
        </w:rPr>
        <w:t xml:space="preserve"> </w:t>
      </w:r>
      <w:r w:rsidR="00675EEE">
        <w:rPr>
          <w:rFonts w:cs="Arial"/>
        </w:rPr>
        <w:t>N</w:t>
      </w:r>
      <w:r w:rsidR="00BC66F4">
        <w:rPr>
          <w:rFonts w:cs="Arial"/>
        </w:rPr>
        <w:t xml:space="preserve">o experimentally determined NOAEL is </w:t>
      </w:r>
      <w:r w:rsidR="002E112B">
        <w:rPr>
          <w:rFonts w:cs="Arial"/>
        </w:rPr>
        <w:t>available</w:t>
      </w:r>
      <w:r w:rsidR="00BC66F4">
        <w:rPr>
          <w:rFonts w:cs="Arial"/>
        </w:rPr>
        <w:t xml:space="preserve"> for monkeys</w:t>
      </w:r>
      <w:r w:rsidR="00675EEE">
        <w:rPr>
          <w:rFonts w:cs="Arial"/>
        </w:rPr>
        <w:t>.</w:t>
      </w:r>
      <w:r w:rsidR="00675EEE" w:rsidRPr="00675EEE">
        <w:rPr>
          <w:rFonts w:cs="Arial"/>
        </w:rPr>
        <w:t xml:space="preserve"> </w:t>
      </w:r>
      <w:r w:rsidR="009B3DE8">
        <w:rPr>
          <w:rFonts w:cs="Arial"/>
        </w:rPr>
        <w:t>A</w:t>
      </w:r>
      <w:r w:rsidR="002E112B">
        <w:rPr>
          <w:rFonts w:cs="Arial"/>
        </w:rPr>
        <w:t xml:space="preserve"> NOAEL o</w:t>
      </w:r>
      <w:r w:rsidR="00F02188">
        <w:rPr>
          <w:rFonts w:cs="Arial"/>
        </w:rPr>
        <w:t xml:space="preserve">f </w:t>
      </w:r>
      <w:r w:rsidR="002E112B">
        <w:rPr>
          <w:rFonts w:cs="Arial"/>
        </w:rPr>
        <w:t>7</w:t>
      </w:r>
      <w:r w:rsidR="00F02188">
        <w:rPr>
          <w:rFonts w:cs="Arial"/>
        </w:rPr>
        <w:t> </w:t>
      </w:r>
      <w:r w:rsidR="002E112B">
        <w:rPr>
          <w:rFonts w:cs="Arial"/>
        </w:rPr>
        <w:t>mg/L</w:t>
      </w:r>
      <w:r w:rsidR="009B3DE8">
        <w:rPr>
          <w:rFonts w:cs="Arial"/>
        </w:rPr>
        <w:t xml:space="preserve"> </w:t>
      </w:r>
      <w:r w:rsidR="00F02188">
        <w:rPr>
          <w:rFonts w:cs="Arial"/>
        </w:rPr>
        <w:t>serum PFOA</w:t>
      </w:r>
      <w:r w:rsidR="002E112B">
        <w:rPr>
          <w:rFonts w:cs="Arial"/>
        </w:rPr>
        <w:t xml:space="preserve"> for </w:t>
      </w:r>
      <w:r w:rsidR="002E112B">
        <w:rPr>
          <w:rFonts w:cs="Arial"/>
        </w:rPr>
        <w:lastRenderedPageBreak/>
        <w:t>liver toxicity in monkeys</w:t>
      </w:r>
      <w:r w:rsidR="009B3DE8">
        <w:rPr>
          <w:rFonts w:cs="Arial"/>
        </w:rPr>
        <w:t xml:space="preserve"> </w:t>
      </w:r>
      <w:r w:rsidR="002E6299">
        <w:rPr>
          <w:rFonts w:cs="Arial"/>
        </w:rPr>
        <w:t xml:space="preserve">is </w:t>
      </w:r>
      <w:r w:rsidR="009B3DE8">
        <w:rPr>
          <w:rFonts w:cs="Arial"/>
        </w:rPr>
        <w:t xml:space="preserve">extrapolated </w:t>
      </w:r>
      <w:r w:rsidR="002E112B">
        <w:rPr>
          <w:rFonts w:cs="Arial"/>
        </w:rPr>
        <w:t>from toxicokinetic data in rats</w:t>
      </w:r>
      <w:r w:rsidR="009B3DE8">
        <w:rPr>
          <w:rFonts w:cs="Arial"/>
        </w:rPr>
        <w:t xml:space="preserve"> by DFG (2006) and assumed to be representative of the NOAEL in humans</w:t>
      </w:r>
      <w:r w:rsidR="002E112B">
        <w:rPr>
          <w:rFonts w:cs="Arial"/>
        </w:rPr>
        <w:t>.</w:t>
      </w:r>
      <w:r w:rsidR="009B3DE8">
        <w:rPr>
          <w:rFonts w:cs="Arial"/>
        </w:rPr>
        <w:t xml:space="preserve"> This</w:t>
      </w:r>
      <w:r w:rsidR="002E112B">
        <w:rPr>
          <w:rFonts w:cs="Arial"/>
        </w:rPr>
        <w:t xml:space="preserve"> </w:t>
      </w:r>
      <w:r w:rsidR="009B3DE8">
        <w:rPr>
          <w:rFonts w:cs="Arial"/>
        </w:rPr>
        <w:t xml:space="preserve">blood </w:t>
      </w:r>
      <w:r w:rsidR="00137E5C">
        <w:rPr>
          <w:rFonts w:cs="Arial"/>
        </w:rPr>
        <w:t>level</w:t>
      </w:r>
      <w:r w:rsidR="009B3DE8">
        <w:rPr>
          <w:rFonts w:cs="Arial"/>
        </w:rPr>
        <w:t xml:space="preserve"> is </w:t>
      </w:r>
      <w:r w:rsidR="004F30B8">
        <w:rPr>
          <w:rFonts w:cs="Arial"/>
        </w:rPr>
        <w:t xml:space="preserve">calculated to be associated with </w:t>
      </w:r>
      <w:r w:rsidR="009B3DE8">
        <w:rPr>
          <w:rFonts w:cs="Arial"/>
        </w:rPr>
        <w:t>an air concentration of 0.005 mg/m</w:t>
      </w:r>
      <w:r w:rsidR="009B3DE8">
        <w:rPr>
          <w:rFonts w:cs="Arial"/>
          <w:vertAlign w:val="superscript"/>
        </w:rPr>
        <w:t>3</w:t>
      </w:r>
      <w:r w:rsidR="009B3DE8">
        <w:rPr>
          <w:rFonts w:cs="Arial"/>
        </w:rPr>
        <w:t xml:space="preserve"> </w:t>
      </w:r>
      <w:r w:rsidR="00B37320">
        <w:rPr>
          <w:rFonts w:cs="Arial"/>
        </w:rPr>
        <w:t xml:space="preserve">and likely represents a conservative estimate </w:t>
      </w:r>
      <w:r w:rsidR="009B3DE8">
        <w:rPr>
          <w:rFonts w:cs="Arial"/>
        </w:rPr>
        <w:t xml:space="preserve">(DFG, 2006). </w:t>
      </w:r>
      <w:r w:rsidR="002E6299">
        <w:rPr>
          <w:rFonts w:cs="Arial"/>
        </w:rPr>
        <w:t>I</w:t>
      </w:r>
      <w:r w:rsidR="00244E30">
        <w:rPr>
          <w:rFonts w:cs="Arial"/>
        </w:rPr>
        <w:t xml:space="preserve">t should be noted that this bioavailability and systemic toxicity data is not derived from inhalation toxicity studies. </w:t>
      </w:r>
    </w:p>
    <w:p w14:paraId="3A7BBDF1" w14:textId="289CA483" w:rsidR="005547EE" w:rsidRDefault="00EC5F40" w:rsidP="001D590B">
      <w:pPr>
        <w:rPr>
          <w:rFonts w:cs="Arial"/>
        </w:rPr>
      </w:pPr>
      <w:r>
        <w:rPr>
          <w:rFonts w:cs="Arial"/>
        </w:rPr>
        <w:t>Additionally, t</w:t>
      </w:r>
      <w:r w:rsidR="00675EEE">
        <w:rPr>
          <w:rFonts w:cs="Arial"/>
        </w:rPr>
        <w:t xml:space="preserve">here are considerable differences between </w:t>
      </w:r>
      <w:r>
        <w:rPr>
          <w:rFonts w:cs="Arial"/>
        </w:rPr>
        <w:t xml:space="preserve">reported </w:t>
      </w:r>
      <w:r w:rsidR="00675EEE">
        <w:rPr>
          <w:rFonts w:cs="Arial"/>
        </w:rPr>
        <w:t xml:space="preserve">serum half-lives of PFOA in various species (DFG, 2006). This discrepancy </w:t>
      </w:r>
      <w:r>
        <w:rPr>
          <w:rFonts w:cs="Arial"/>
        </w:rPr>
        <w:t>further</w:t>
      </w:r>
      <w:r w:rsidR="00675EEE">
        <w:rPr>
          <w:rFonts w:cs="Arial"/>
        </w:rPr>
        <w:t xml:space="preserve"> complicates the comparison of animal and human toxicity data. </w:t>
      </w:r>
      <w:r>
        <w:rPr>
          <w:rFonts w:cs="Arial"/>
        </w:rPr>
        <w:t>Carcinogenic activity is confirmed in chronically fed rodents. However, the presumed mechanism of action is of unknown relevance to humans (HCOTN, 2013; IARC, 2017).</w:t>
      </w:r>
    </w:p>
    <w:p w14:paraId="384A2028" w14:textId="2F746A96" w:rsidR="009B3DE8" w:rsidRDefault="00B40728" w:rsidP="001D590B">
      <w:pPr>
        <w:rPr>
          <w:rFonts w:cs="Arial"/>
        </w:rPr>
      </w:pPr>
      <w:r>
        <w:rPr>
          <w:rFonts w:cs="Arial"/>
        </w:rPr>
        <w:t xml:space="preserve">The uncommon approach </w:t>
      </w:r>
      <w:r w:rsidR="00231A8C">
        <w:rPr>
          <w:rFonts w:cs="Arial"/>
        </w:rPr>
        <w:t xml:space="preserve">used </w:t>
      </w:r>
      <w:r>
        <w:rPr>
          <w:rFonts w:cs="Arial"/>
        </w:rPr>
        <w:t xml:space="preserve">to derive the </w:t>
      </w:r>
      <w:r w:rsidR="00231A8C">
        <w:rPr>
          <w:rFonts w:cs="Arial"/>
        </w:rPr>
        <w:t xml:space="preserve">DFG (2006) </w:t>
      </w:r>
      <w:r>
        <w:rPr>
          <w:rFonts w:cs="Arial"/>
        </w:rPr>
        <w:t xml:space="preserve">MAK indicates considerable uncertainty in the available dataset. Specifically, a NOAEL for liver toxicity in humans or monkeys is not directly determined </w:t>
      </w:r>
      <w:r w:rsidR="00675EEE">
        <w:rPr>
          <w:rFonts w:cs="Arial"/>
        </w:rPr>
        <w:t>and large interspecies variations in half-life</w:t>
      </w:r>
      <w:r>
        <w:rPr>
          <w:rFonts w:cs="Arial"/>
        </w:rPr>
        <w:t xml:space="preserve"> </w:t>
      </w:r>
      <w:r w:rsidR="00675EEE">
        <w:rPr>
          <w:rFonts w:cs="Arial"/>
        </w:rPr>
        <w:t xml:space="preserve">of PFOA are not understood (DFG, 2006). </w:t>
      </w:r>
      <w:r w:rsidR="00675EEE" w:rsidRPr="003209BE">
        <w:rPr>
          <w:rFonts w:cs="Arial"/>
        </w:rPr>
        <w:t>Due to these uncertainties</w:t>
      </w:r>
      <w:r w:rsidR="00154151">
        <w:rPr>
          <w:rFonts w:cs="Arial"/>
        </w:rPr>
        <w:t xml:space="preserve"> with the single primary source TWA value</w:t>
      </w:r>
      <w:r w:rsidR="00675EEE" w:rsidRPr="003209BE">
        <w:rPr>
          <w:rFonts w:cs="Arial"/>
        </w:rPr>
        <w:t xml:space="preserve"> and i</w:t>
      </w:r>
      <w:r w:rsidR="009B3DE8" w:rsidRPr="003209BE">
        <w:rPr>
          <w:rFonts w:cs="Arial"/>
        </w:rPr>
        <w:t xml:space="preserve">n the absence of robust quantitative human exposure data, </w:t>
      </w:r>
      <w:r w:rsidR="00154151">
        <w:rPr>
          <w:rFonts w:cs="Arial"/>
        </w:rPr>
        <w:t>a</w:t>
      </w:r>
      <w:r w:rsidR="00154151" w:rsidRPr="003209BE">
        <w:rPr>
          <w:rFonts w:cs="Arial"/>
        </w:rPr>
        <w:t xml:space="preserve"> </w:t>
      </w:r>
      <w:r w:rsidR="009B3DE8" w:rsidRPr="003209BE">
        <w:rPr>
          <w:rFonts w:cs="Arial"/>
        </w:rPr>
        <w:t xml:space="preserve">TWA is </w:t>
      </w:r>
      <w:r w:rsidR="00154151">
        <w:rPr>
          <w:rFonts w:cs="Arial"/>
        </w:rPr>
        <w:t xml:space="preserve">not </w:t>
      </w:r>
      <w:r w:rsidR="004F30B8" w:rsidRPr="003209BE">
        <w:rPr>
          <w:rFonts w:cs="Arial"/>
        </w:rPr>
        <w:t>recommended</w:t>
      </w:r>
      <w:r w:rsidR="005547EE" w:rsidRPr="003209BE">
        <w:rPr>
          <w:rFonts w:cs="Arial"/>
        </w:rPr>
        <w:t>.</w:t>
      </w:r>
      <w:r w:rsidR="009B3DE8">
        <w:rPr>
          <w:rFonts w:cs="Arial"/>
        </w:rPr>
        <w:t xml:space="preserve"> </w:t>
      </w:r>
      <w:r w:rsidR="00142F93">
        <w:rPr>
          <w:rFonts w:cs="Arial"/>
        </w:rPr>
        <w:t>A review of additional data sources is recommended</w:t>
      </w:r>
      <w:r w:rsidR="00142F93" w:rsidRPr="008B2EF7">
        <w:rPr>
          <w:rFonts w:cs="Arial"/>
        </w:rPr>
        <w:t xml:space="preserve"> at </w:t>
      </w:r>
      <w:r w:rsidR="00142F93">
        <w:rPr>
          <w:rFonts w:cs="Arial"/>
        </w:rPr>
        <w:t>subsequent reviews</w:t>
      </w:r>
      <w:r w:rsidR="00142F93" w:rsidRPr="008B2EF7">
        <w:rPr>
          <w:rFonts w:cs="Arial"/>
        </w:rPr>
        <w:t xml:space="preserve"> </w:t>
      </w:r>
      <w:r w:rsidR="00142F93">
        <w:rPr>
          <w:rFonts w:cs="Arial"/>
        </w:rPr>
        <w:t xml:space="preserve">to identify </w:t>
      </w:r>
      <w:r w:rsidR="00150CC0">
        <w:rPr>
          <w:rFonts w:cs="Arial"/>
        </w:rPr>
        <w:t>d</w:t>
      </w:r>
      <w:r w:rsidR="00137E5C">
        <w:rPr>
          <w:rFonts w:cs="Arial"/>
        </w:rPr>
        <w:t>ata</w:t>
      </w:r>
      <w:r w:rsidR="00150CC0">
        <w:rPr>
          <w:rFonts w:cs="Arial"/>
        </w:rPr>
        <w:t xml:space="preserve"> on </w:t>
      </w:r>
      <w:r w:rsidR="005F1F33">
        <w:rPr>
          <w:rFonts w:cs="Arial"/>
        </w:rPr>
        <w:t xml:space="preserve">human inhalational toxicity and </w:t>
      </w:r>
      <w:r w:rsidR="00150CC0">
        <w:rPr>
          <w:rFonts w:cs="Arial"/>
        </w:rPr>
        <w:t>carcinogenic activity</w:t>
      </w:r>
      <w:r w:rsidR="005F1F33">
        <w:rPr>
          <w:rFonts w:cs="Arial"/>
        </w:rPr>
        <w:t xml:space="preserve">. </w:t>
      </w:r>
    </w:p>
    <w:p w14:paraId="0A2B75A6" w14:textId="7AA5BFC5" w:rsidR="004C3E48" w:rsidRPr="004C23F4" w:rsidRDefault="005547EE" w:rsidP="001D590B">
      <w:pPr>
        <w:rPr>
          <w:rFonts w:cs="Arial"/>
        </w:rPr>
      </w:pPr>
      <w:r>
        <w:rPr>
          <w:rFonts w:cs="Arial"/>
        </w:rPr>
        <w:t>Additionally, t</w:t>
      </w:r>
      <w:r w:rsidR="00110E6A">
        <w:rPr>
          <w:rFonts w:cs="Arial"/>
        </w:rPr>
        <w:t xml:space="preserve">he available toxicological </w:t>
      </w:r>
      <w:r w:rsidR="001929E4">
        <w:rPr>
          <w:rFonts w:cs="Arial"/>
        </w:rPr>
        <w:t>database</w:t>
      </w:r>
      <w:r w:rsidR="00110E6A">
        <w:rPr>
          <w:rFonts w:cs="Arial"/>
        </w:rPr>
        <w:t xml:space="preserve"> indicate</w:t>
      </w:r>
      <w:r w:rsidR="001929E4">
        <w:rPr>
          <w:rFonts w:cs="Arial"/>
        </w:rPr>
        <w:t>s</w:t>
      </w:r>
      <w:r w:rsidR="00110E6A">
        <w:rPr>
          <w:rFonts w:cs="Arial"/>
        </w:rPr>
        <w:t xml:space="preserve"> that</w:t>
      </w:r>
      <w:r w:rsidR="001929E4">
        <w:rPr>
          <w:rFonts w:cs="Arial"/>
        </w:rPr>
        <w:t xml:space="preserve"> inorganic </w:t>
      </w:r>
      <w:r w:rsidR="00BA0E55">
        <w:rPr>
          <w:rFonts w:cs="Arial"/>
        </w:rPr>
        <w:t>PFOA</w:t>
      </w:r>
      <w:r w:rsidR="00BA0E55" w:rsidDel="00BA0E55">
        <w:rPr>
          <w:rFonts w:cs="Arial"/>
        </w:rPr>
        <w:t xml:space="preserve"> </w:t>
      </w:r>
      <w:r w:rsidR="001929E4">
        <w:rPr>
          <w:rFonts w:cs="Arial"/>
        </w:rPr>
        <w:t>salts, including APFO, are converted to PFOA under p</w:t>
      </w:r>
      <w:r w:rsidR="00F66C73">
        <w:rPr>
          <w:rFonts w:cs="Arial"/>
        </w:rPr>
        <w:t>hysiological conditions</w:t>
      </w:r>
      <w:r w:rsidR="004F30B8">
        <w:rPr>
          <w:rFonts w:cs="Arial"/>
        </w:rPr>
        <w:t xml:space="preserve"> and </w:t>
      </w:r>
      <w:r w:rsidR="001929E4">
        <w:rPr>
          <w:rFonts w:cs="Arial"/>
        </w:rPr>
        <w:t xml:space="preserve">the </w:t>
      </w:r>
      <w:r w:rsidR="00BA0E55">
        <w:rPr>
          <w:rFonts w:cs="Arial"/>
        </w:rPr>
        <w:t>PFOA</w:t>
      </w:r>
      <w:r w:rsidR="00BA0E55" w:rsidDel="00BA0E55">
        <w:rPr>
          <w:rFonts w:cs="Arial"/>
        </w:rPr>
        <w:t xml:space="preserve"> </w:t>
      </w:r>
      <w:r w:rsidR="001929E4">
        <w:rPr>
          <w:rFonts w:cs="Arial"/>
        </w:rPr>
        <w:t xml:space="preserve">anion is of primary </w:t>
      </w:r>
      <w:r w:rsidR="004F30B8">
        <w:rPr>
          <w:rFonts w:cs="Arial"/>
        </w:rPr>
        <w:t xml:space="preserve">toxicological </w:t>
      </w:r>
      <w:r w:rsidR="001929E4">
        <w:rPr>
          <w:rFonts w:cs="Arial"/>
        </w:rPr>
        <w:t>concern (DFG, 2006; NICNAS,</w:t>
      </w:r>
      <w:r w:rsidR="004F30B8">
        <w:rPr>
          <w:rFonts w:cs="Arial"/>
        </w:rPr>
        <w:t> </w:t>
      </w:r>
      <w:r w:rsidR="001929E4">
        <w:rPr>
          <w:rFonts w:cs="Arial"/>
        </w:rPr>
        <w:t>2015).</w:t>
      </w:r>
      <w:r w:rsidR="005F1F33">
        <w:rPr>
          <w:rFonts w:cs="Arial"/>
        </w:rPr>
        <w:t xml:space="preserve"> </w:t>
      </w:r>
      <w:r w:rsidR="00F66C73">
        <w:rPr>
          <w:rFonts w:cs="Arial"/>
        </w:rPr>
        <w:t>For this reason, the inclusion of APFO in the grouped</w:t>
      </w:r>
      <w:r w:rsidR="001929E4">
        <w:rPr>
          <w:rFonts w:cs="Arial"/>
        </w:rPr>
        <w:t xml:space="preserve"> assessment</w:t>
      </w:r>
      <w:r w:rsidR="00F66C73" w:rsidRPr="00F66C73">
        <w:rPr>
          <w:rFonts w:cs="Arial"/>
        </w:rPr>
        <w:t xml:space="preserve"> </w:t>
      </w:r>
      <w:r w:rsidR="00F66C73">
        <w:rPr>
          <w:rFonts w:cs="Arial"/>
        </w:rPr>
        <w:t xml:space="preserve">of PFOA and its inorganic salts </w:t>
      </w:r>
      <w:r w:rsidR="001929E4">
        <w:rPr>
          <w:rFonts w:cs="Arial"/>
        </w:rPr>
        <w:t>should</w:t>
      </w:r>
      <w:r w:rsidR="00F66C73">
        <w:rPr>
          <w:rFonts w:cs="Arial"/>
        </w:rPr>
        <w:t xml:space="preserve"> </w:t>
      </w:r>
      <w:r w:rsidR="001929E4">
        <w:rPr>
          <w:rFonts w:cs="Arial"/>
        </w:rPr>
        <w:t xml:space="preserve">also be considered at the next scheduled review of the WES. </w:t>
      </w:r>
    </w:p>
    <w:p w14:paraId="0BC24E61" w14:textId="77777777" w:rsidR="004529F0" w:rsidRPr="004C23F4" w:rsidRDefault="004529F0" w:rsidP="004529F0">
      <w:pPr>
        <w:pStyle w:val="Heading2"/>
      </w:pPr>
      <w:r>
        <w:t>Recommendation for notations</w:t>
      </w:r>
    </w:p>
    <w:p w14:paraId="13462672" w14:textId="1107D4AB" w:rsidR="00C3133D" w:rsidRPr="00C3133D" w:rsidRDefault="00C3133D" w:rsidP="00C3133D">
      <w:pPr>
        <w:rPr>
          <w:rFonts w:cs="Arial"/>
        </w:rPr>
      </w:pPr>
      <w:r w:rsidRPr="00C3133D">
        <w:rPr>
          <w:rFonts w:cs="Arial"/>
        </w:rPr>
        <w:t>Classified as a category 2 carcinogen according to the Globally Harmonized System of Classification and Labelling of Chemicals (GHS).</w:t>
      </w:r>
      <w:r w:rsidR="00661887">
        <w:rPr>
          <w:rFonts w:cs="Arial"/>
        </w:rPr>
        <w:t xml:space="preserve"> There are inconsistencies in the carcinogenicity notation across the available source material. Further review of this notation is recommended during the next scheduled review.</w:t>
      </w:r>
    </w:p>
    <w:p w14:paraId="053DA282" w14:textId="77777777" w:rsidR="00C3133D" w:rsidRPr="00C3133D" w:rsidRDefault="00C3133D" w:rsidP="00C3133D">
      <w:pPr>
        <w:rPr>
          <w:rFonts w:cs="Arial"/>
        </w:rPr>
      </w:pPr>
      <w:r w:rsidRPr="00C3133D">
        <w:rPr>
          <w:rFonts w:cs="Arial"/>
        </w:rPr>
        <w:t>Not classified as a skin sensitiser or respiratory sensitiser according to the GHS.</w:t>
      </w:r>
    </w:p>
    <w:p w14:paraId="11080BB9" w14:textId="7CB3D910" w:rsidR="005E6979" w:rsidRPr="004C23F4" w:rsidRDefault="007464AA">
      <w:pPr>
        <w:rPr>
          <w:rFonts w:cs="Arial"/>
        </w:rPr>
        <w:sectPr w:rsidR="005E6979" w:rsidRPr="004C23F4" w:rsidSect="00B479A9">
          <w:headerReference w:type="default" r:id="rId11"/>
          <w:footerReference w:type="default" r:id="rId12"/>
          <w:pgSz w:w="11906" w:h="16838"/>
          <w:pgMar w:top="1985" w:right="1440" w:bottom="1440" w:left="1440" w:header="708" w:footer="283" w:gutter="0"/>
          <w:cols w:space="708"/>
          <w:docGrid w:linePitch="360"/>
        </w:sectPr>
      </w:pPr>
      <w:r w:rsidRPr="007464AA">
        <w:rPr>
          <w:rFonts w:cs="Arial"/>
        </w:rPr>
        <w:t xml:space="preserve">A skin notation is recommended due to evidence of adverse systemic effects </w:t>
      </w:r>
      <w:r>
        <w:rPr>
          <w:rFonts w:cs="Arial"/>
        </w:rPr>
        <w:t xml:space="preserve">from </w:t>
      </w:r>
      <w:r w:rsidRPr="007464AA">
        <w:rPr>
          <w:rFonts w:cs="Arial"/>
        </w:rPr>
        <w:t xml:space="preserve">dermal absorption </w:t>
      </w:r>
      <w:r>
        <w:rPr>
          <w:rFonts w:cs="Arial"/>
        </w:rPr>
        <w:t>in animals</w:t>
      </w:r>
      <w:r w:rsidRPr="007464AA">
        <w:rPr>
          <w:rFonts w:cs="Arial"/>
        </w:rPr>
        <w:t>.</w:t>
      </w:r>
    </w:p>
    <w:p w14:paraId="7CB67B1D"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7F9E0F9A"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20" w:firstRow="1" w:lastRow="0" w:firstColumn="0" w:lastColumn="0" w:noHBand="1" w:noVBand="1"/>
        <w:tblCaption w:val="Table"/>
        <w:tblDescription w:val="Listing primary sources with reports"/>
      </w:tblPr>
      <w:tblGrid>
        <w:gridCol w:w="9006"/>
        <w:gridCol w:w="14"/>
      </w:tblGrid>
      <w:tr w:rsidR="00C978F0" w:rsidRPr="00DA352E" w14:paraId="668397DC" w14:textId="77777777" w:rsidTr="008B1015">
        <w:trPr>
          <w:gridAfter w:val="1"/>
          <w:cnfStyle w:val="100000000000" w:firstRow="1" w:lastRow="0" w:firstColumn="0" w:lastColumn="0" w:oddVBand="0" w:evenVBand="0" w:oddHBand="0" w:evenHBand="0" w:firstRowFirstColumn="0" w:firstRowLastColumn="0" w:lastRowFirstColumn="0" w:lastRowLastColumn="0"/>
          <w:wAfter w:w="8" w:type="pct"/>
          <w:trHeight w:val="393"/>
          <w:tblHeader/>
        </w:trPr>
        <w:tc>
          <w:tcPr>
            <w:tcW w:w="4992" w:type="pct"/>
            <w:shd w:val="clear" w:color="auto" w:fill="BFBFBF" w:themeFill="background1" w:themeFillShade="BF"/>
            <w:vAlign w:val="center"/>
          </w:tcPr>
          <w:p w14:paraId="6DC981C0"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19D74A82" w14:textId="77777777" w:rsidTr="008B1015">
        <w:tc>
          <w:tcPr>
            <w:tcW w:w="5000" w:type="pct"/>
            <w:gridSpan w:val="2"/>
            <w:shd w:val="clear" w:color="auto" w:fill="F2F2F2" w:themeFill="background1" w:themeFillShade="F2"/>
          </w:tcPr>
          <w:p w14:paraId="6165CF87" w14:textId="4DE25D17"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text/>
              </w:sdtPr>
              <w:sdtEndPr/>
              <w:sdtContent>
                <w:r w:rsidR="00C433C3">
                  <w:t>NA</w:t>
                </w:r>
              </w:sdtContent>
            </w:sdt>
            <w:r w:rsidRPr="003365A5">
              <w:tab/>
            </w:r>
            <w:r>
              <w:tab/>
            </w:r>
            <w:sdt>
              <w:sdtPr>
                <w:alias w:val="SWA WES"/>
                <w:tag w:val="SWA WES"/>
                <w:id w:val="857077202"/>
                <w:placeholder>
                  <w:docPart w:val="81CFEC2FDBC5451289F394E66D92D1A0"/>
                </w:placeholder>
              </w:sdtPr>
              <w:sdtEndPr/>
              <w:sdtContent>
                <w:proofErr w:type="spellStart"/>
                <w:r w:rsidR="00C433C3">
                  <w:t>NA</w:t>
                </w:r>
                <w:proofErr w:type="spellEnd"/>
              </w:sdtContent>
            </w:sdt>
          </w:p>
        </w:tc>
      </w:tr>
      <w:tr w:rsidR="00C978F0" w:rsidRPr="00DA352E" w14:paraId="2F2C517E" w14:textId="77777777" w:rsidTr="008B1015">
        <w:trPr>
          <w:gridAfter w:val="1"/>
          <w:wAfter w:w="8" w:type="pct"/>
        </w:trPr>
        <w:tc>
          <w:tcPr>
            <w:tcW w:w="4992" w:type="pct"/>
          </w:tcPr>
          <w:p w14:paraId="7352163F" w14:textId="43CA422D" w:rsidR="00C978F0" w:rsidRPr="00DA352E" w:rsidRDefault="00C433C3" w:rsidP="003365A5">
            <w:pPr>
              <w:pStyle w:val="Tabletextprimarysource"/>
            </w:pPr>
            <w:r>
              <w:t>No report</w:t>
            </w:r>
            <w:r w:rsidR="00E75466">
              <w:t xml:space="preserve"> for PFOA </w:t>
            </w:r>
            <w:r w:rsidR="00C52C0E">
              <w:t xml:space="preserve">(refer to </w:t>
            </w:r>
            <w:r w:rsidR="00E75466">
              <w:t>APFO</w:t>
            </w:r>
            <w:r w:rsidR="00C52C0E">
              <w:t xml:space="preserve"> evaluation report for details on APFO).</w:t>
            </w:r>
          </w:p>
        </w:tc>
      </w:tr>
      <w:tr w:rsidR="00C978F0" w:rsidRPr="00DA352E" w14:paraId="5C3F5E1E" w14:textId="77777777" w:rsidTr="008B1015">
        <w:trPr>
          <w:gridAfter w:val="1"/>
          <w:wAfter w:w="8" w:type="pct"/>
        </w:trPr>
        <w:tc>
          <w:tcPr>
            <w:tcW w:w="4992" w:type="pct"/>
            <w:shd w:val="clear" w:color="auto" w:fill="F2F2F2" w:themeFill="background1" w:themeFillShade="F2"/>
          </w:tcPr>
          <w:p w14:paraId="523F2A1C" w14:textId="322454D8" w:rsidR="00C978F0" w:rsidRPr="00DA352E" w:rsidRDefault="00DA352E" w:rsidP="0051509C">
            <w:pPr>
              <w:pStyle w:val="Tablerowheadingitalic"/>
              <w:tabs>
                <w:tab w:val="clear" w:pos="2268"/>
                <w:tab w:val="clear" w:pos="5670"/>
                <w:tab w:val="left" w:pos="1418"/>
                <w:tab w:val="left" w:pos="2552"/>
              </w:tabs>
            </w:pPr>
            <w:r w:rsidRPr="00DA352E">
              <w:t>ACGIH</w:t>
            </w:r>
            <w:r w:rsidR="00916EC0">
              <w:t xml:space="preserve"> </w:t>
            </w:r>
            <w:r w:rsidR="00916EC0" w:rsidRPr="003365A5">
              <w:tab/>
            </w:r>
            <w:sdt>
              <w:sdtPr>
                <w:id w:val="444816450"/>
                <w:placeholder>
                  <w:docPart w:val="C8FBF9621EB94FE084F687C8955AF85F"/>
                </w:placeholder>
                <w:text/>
              </w:sdtPr>
              <w:sdtEndPr/>
              <w:sdtContent>
                <w:r w:rsidR="00CF210E">
                  <w:t>NA</w:t>
                </w:r>
              </w:sdtContent>
            </w:sdt>
            <w:r w:rsidR="00916EC0" w:rsidRPr="003365A5">
              <w:tab/>
            </w:r>
            <w:r w:rsidR="0051509C">
              <w:tab/>
            </w:r>
            <w:sdt>
              <w:sdtPr>
                <w:alias w:val="ACGIH WES equivalent"/>
                <w:tag w:val="ACGIH WES equivalent"/>
                <w:id w:val="-1676410403"/>
                <w:placeholder>
                  <w:docPart w:val="522022AAE76B4622AC0DF750489702EB"/>
                </w:placeholder>
              </w:sdtPr>
              <w:sdtEndPr/>
              <w:sdtContent>
                <w:proofErr w:type="spellStart"/>
                <w:r w:rsidR="00CF210E">
                  <w:t>NA</w:t>
                </w:r>
                <w:proofErr w:type="spellEnd"/>
              </w:sdtContent>
            </w:sdt>
          </w:p>
        </w:tc>
      </w:tr>
      <w:tr w:rsidR="00C978F0" w:rsidRPr="00DA352E" w14:paraId="6080F2B8" w14:textId="77777777" w:rsidTr="008B1015">
        <w:trPr>
          <w:gridAfter w:val="1"/>
          <w:wAfter w:w="8" w:type="pct"/>
        </w:trPr>
        <w:tc>
          <w:tcPr>
            <w:tcW w:w="4992" w:type="pct"/>
          </w:tcPr>
          <w:p w14:paraId="060A9EF6" w14:textId="02B82519" w:rsidR="00C978F0" w:rsidRPr="00DA352E" w:rsidRDefault="00CF210E" w:rsidP="003365A5">
            <w:pPr>
              <w:pStyle w:val="Tabletextprimarysource"/>
            </w:pPr>
            <w:r>
              <w:t>No report</w:t>
            </w:r>
            <w:r w:rsidR="00595A0C">
              <w:t xml:space="preserve"> for PFOA </w:t>
            </w:r>
            <w:r w:rsidR="00C52C0E">
              <w:t xml:space="preserve">(refer to </w:t>
            </w:r>
            <w:r w:rsidR="00595A0C">
              <w:t>APFO</w:t>
            </w:r>
            <w:r w:rsidR="00C52C0E">
              <w:t xml:space="preserve"> evaluation report for details on APFO)</w:t>
            </w:r>
            <w:r w:rsidR="00595A0C">
              <w:t>.</w:t>
            </w:r>
          </w:p>
        </w:tc>
      </w:tr>
      <w:tr w:rsidR="00C978F0" w:rsidRPr="00DA352E" w14:paraId="035B147C" w14:textId="77777777" w:rsidTr="008B1015">
        <w:trPr>
          <w:gridAfter w:val="1"/>
          <w:wAfter w:w="8" w:type="pct"/>
        </w:trPr>
        <w:tc>
          <w:tcPr>
            <w:tcW w:w="4992" w:type="pct"/>
            <w:shd w:val="clear" w:color="auto" w:fill="F2F2F2" w:themeFill="background1" w:themeFillShade="F2"/>
          </w:tcPr>
          <w:p w14:paraId="4DEC7541" w14:textId="511D35EC" w:rsidR="00C978F0" w:rsidRPr="00DA352E" w:rsidRDefault="00DA352E" w:rsidP="0051509C">
            <w:pPr>
              <w:pStyle w:val="Tablerowheadingitalic"/>
              <w:tabs>
                <w:tab w:val="clear" w:pos="2268"/>
                <w:tab w:val="clear" w:pos="5670"/>
                <w:tab w:val="left" w:pos="1418"/>
                <w:tab w:val="left" w:pos="2552"/>
              </w:tabs>
            </w:pPr>
            <w:r w:rsidRPr="00DA352E">
              <w:t>DFG</w:t>
            </w:r>
            <w:r w:rsidR="00916EC0" w:rsidRPr="003365A5">
              <w:t xml:space="preserve"> </w:t>
            </w:r>
            <w:r w:rsidR="00916EC0" w:rsidRPr="003365A5">
              <w:tab/>
            </w:r>
            <w:sdt>
              <w:sdtPr>
                <w:id w:val="272751712"/>
                <w:placeholder>
                  <w:docPart w:val="6918C77959FE4E2CB3B6BD78ABC69E19"/>
                </w:placeholder>
                <w:text/>
              </w:sdtPr>
              <w:sdtEndPr/>
              <w:sdtContent>
                <w:r w:rsidR="00CF210E">
                  <w:t>2005</w:t>
                </w:r>
              </w:sdtContent>
            </w:sdt>
            <w:r w:rsidR="00916EC0" w:rsidRPr="003365A5">
              <w:tab/>
            </w:r>
            <w:r w:rsidR="0051509C">
              <w:tab/>
            </w:r>
            <w:sdt>
              <w:sdtPr>
                <w:alias w:val="DFG WES equivalent"/>
                <w:tag w:val="DFG WES equivalent"/>
                <w:id w:val="-736175395"/>
                <w:placeholder>
                  <w:docPart w:val="1ED9AEC91FDC4528B51A567B2B19EB9F"/>
                </w:placeholder>
              </w:sdtPr>
              <w:sdtEndPr/>
              <w:sdtContent>
                <w:r w:rsidR="00CF210E">
                  <w:t xml:space="preserve">MAK: 0.005 </w:t>
                </w:r>
                <w:r w:rsidR="00555E4C">
                  <w:t>mg/m</w:t>
                </w:r>
                <w:r w:rsidR="00555E4C">
                  <w:rPr>
                    <w:vertAlign w:val="superscript"/>
                  </w:rPr>
                  <w:t>3</w:t>
                </w:r>
              </w:sdtContent>
            </w:sdt>
            <w:r w:rsidR="00B73564">
              <w:t xml:space="preserve"> (inhalable fraction)</w:t>
            </w:r>
          </w:p>
        </w:tc>
      </w:tr>
      <w:tr w:rsidR="00C978F0" w:rsidRPr="00DA352E" w14:paraId="676077BF" w14:textId="77777777" w:rsidTr="008B1015">
        <w:trPr>
          <w:gridAfter w:val="1"/>
          <w:wAfter w:w="8" w:type="pct"/>
        </w:trPr>
        <w:tc>
          <w:tcPr>
            <w:tcW w:w="4992" w:type="pct"/>
          </w:tcPr>
          <w:p w14:paraId="5D5E1A2C" w14:textId="490CC11A" w:rsidR="004467AF" w:rsidRDefault="004467AF" w:rsidP="00C21DC3">
            <w:pPr>
              <w:pStyle w:val="Tabletextprimarysource"/>
              <w:spacing w:before="80" w:after="80" w:line="23" w:lineRule="atLeast"/>
            </w:pPr>
            <w:r>
              <w:t>Summary of information</w:t>
            </w:r>
            <w:r w:rsidR="000D64EE">
              <w:t>:</w:t>
            </w:r>
          </w:p>
          <w:p w14:paraId="4BCD92AC" w14:textId="6E1D09EF" w:rsidR="000D64EE" w:rsidRDefault="000D64EE" w:rsidP="00C21DC3">
            <w:pPr>
              <w:pStyle w:val="Tabletextprimarysource"/>
              <w:spacing w:before="80" w:after="80" w:line="23" w:lineRule="atLeast"/>
            </w:pPr>
            <w:r>
              <w:t xml:space="preserve">Absorbed APFO is converted to- and distributed through the organism as PFOA under physiological conditions; exposure data for APFO and PFOA are used interchangeably for </w:t>
            </w:r>
            <w:r w:rsidR="00E92259">
              <w:t>DFG</w:t>
            </w:r>
            <w:r>
              <w:t xml:space="preserve"> evaluation.</w:t>
            </w:r>
          </w:p>
          <w:p w14:paraId="4DFF1C61" w14:textId="65997941" w:rsidR="004F30B8" w:rsidRDefault="009566AE" w:rsidP="00C21DC3">
            <w:pPr>
              <w:pStyle w:val="Tabletextprimarysource"/>
              <w:spacing w:before="80" w:after="80" w:line="23" w:lineRule="atLeast"/>
            </w:pPr>
            <w:r>
              <w:t>Liver</w:t>
            </w:r>
            <w:r w:rsidR="003A0596">
              <w:t xml:space="preserve"> damage is the critical effect. </w:t>
            </w:r>
          </w:p>
          <w:p w14:paraId="7D1E0A66" w14:textId="539E009B" w:rsidR="004F30B8" w:rsidRDefault="003A0596" w:rsidP="00C21DC3">
            <w:pPr>
              <w:pStyle w:val="Tabletextprimarysource"/>
              <w:spacing w:before="80" w:after="80" w:line="23" w:lineRule="atLeast"/>
            </w:pPr>
            <w:r>
              <w:t>Systemic effects</w:t>
            </w:r>
            <w:r w:rsidR="00AF49CF">
              <w:t xml:space="preserve"> on liver, testes, mammary glands and pancreas</w:t>
            </w:r>
            <w:r w:rsidR="005F2BD5">
              <w:t xml:space="preserve"> observed in animals </w:t>
            </w:r>
            <w:r w:rsidR="004F30B8">
              <w:t>may occur</w:t>
            </w:r>
            <w:r>
              <w:t xml:space="preserve"> </w:t>
            </w:r>
            <w:r w:rsidR="00923725">
              <w:t xml:space="preserve">in humans </w:t>
            </w:r>
            <w:r w:rsidR="005F2BD5">
              <w:t xml:space="preserve">at high </w:t>
            </w:r>
            <w:r w:rsidR="004F30B8">
              <w:t>concentrations.</w:t>
            </w:r>
            <w:r w:rsidR="00A76EB8">
              <w:t xml:space="preserve"> </w:t>
            </w:r>
            <w:r w:rsidR="004F30B8">
              <w:t>However</w:t>
            </w:r>
            <w:r w:rsidR="009F55C5">
              <w:t>,</w:t>
            </w:r>
            <w:r w:rsidR="004F30B8">
              <w:t xml:space="preserve"> it has not been confirmed </w:t>
            </w:r>
            <w:r w:rsidR="005F2BD5">
              <w:t xml:space="preserve">by epidemiological </w:t>
            </w:r>
            <w:r w:rsidR="004F30B8">
              <w:t xml:space="preserve">studies </w:t>
            </w:r>
            <w:r w:rsidR="00110E6A">
              <w:t xml:space="preserve">of workers exposed to </w:t>
            </w:r>
            <w:r w:rsidR="001929E4">
              <w:t>APFO</w:t>
            </w:r>
            <w:r w:rsidR="00110E6A">
              <w:t xml:space="preserve">. </w:t>
            </w:r>
          </w:p>
          <w:p w14:paraId="14E9875C" w14:textId="51F098B6" w:rsidR="009F55C5" w:rsidRDefault="003C4F0D" w:rsidP="00C21DC3">
            <w:pPr>
              <w:pStyle w:val="Tabletextprimarysource"/>
              <w:spacing w:before="80" w:after="80" w:line="23" w:lineRule="atLeast"/>
            </w:pPr>
            <w:r>
              <w:t xml:space="preserve">Epidemiological data insufficient to derive a MAK. </w:t>
            </w:r>
          </w:p>
          <w:p w14:paraId="0E4B02D7" w14:textId="0E61AD49" w:rsidR="009A78FC" w:rsidRDefault="007559C7" w:rsidP="00C21DC3">
            <w:pPr>
              <w:pStyle w:val="ListBullet"/>
              <w:spacing w:after="80"/>
              <w:ind w:left="714" w:hanging="357"/>
              <w:contextualSpacing w:val="0"/>
            </w:pPr>
            <w:r>
              <w:t>T</w:t>
            </w:r>
            <w:r w:rsidR="009A78FC">
              <w:t xml:space="preserve">he derivation of the MAK is based on a 13-wk </w:t>
            </w:r>
            <w:r w:rsidR="00981731">
              <w:t xml:space="preserve">rat </w:t>
            </w:r>
            <w:r w:rsidR="009A78FC">
              <w:t xml:space="preserve">study with a NOAEL of 0.06 mg/kg/d for liver cell hypertrophy </w:t>
            </w:r>
            <w:r w:rsidR="00FB24AD">
              <w:t>and</w:t>
            </w:r>
            <w:r w:rsidR="009A78FC">
              <w:t xml:space="preserve"> related to serum concentrations</w:t>
            </w:r>
            <w:r w:rsidR="00DB3817">
              <w:t xml:space="preserve"> of 7 mg/L</w:t>
            </w:r>
          </w:p>
          <w:p w14:paraId="6EB8AD12" w14:textId="54418A7B" w:rsidR="009A78FC" w:rsidRDefault="00981731" w:rsidP="00C21DC3">
            <w:pPr>
              <w:pStyle w:val="ListBullet"/>
              <w:spacing w:after="80"/>
              <w:ind w:left="714" w:hanging="357"/>
              <w:contextualSpacing w:val="0"/>
            </w:pPr>
            <w:r>
              <w:t>D</w:t>
            </w:r>
            <w:r w:rsidR="009A78FC">
              <w:t xml:space="preserve">ue to </w:t>
            </w:r>
            <w:r w:rsidR="00DB3817">
              <w:t xml:space="preserve">large </w:t>
            </w:r>
            <w:r w:rsidR="009A78FC">
              <w:t xml:space="preserve">differences </w:t>
            </w:r>
            <w:r w:rsidR="00DB3817">
              <w:t xml:space="preserve">in half-life </w:t>
            </w:r>
            <w:r w:rsidR="009A78FC">
              <w:t xml:space="preserve">between rats and humans, it is more relevant the MAK be based on serum concentrations rather than a dose related to </w:t>
            </w:r>
            <w:proofErr w:type="spellStart"/>
            <w:r w:rsidR="00FB24AD">
              <w:t>bw</w:t>
            </w:r>
            <w:proofErr w:type="spellEnd"/>
          </w:p>
          <w:p w14:paraId="5AB38E67" w14:textId="77777777" w:rsidR="00FB24AD" w:rsidRDefault="00981731" w:rsidP="00C21DC3">
            <w:pPr>
              <w:pStyle w:val="ListBullet"/>
              <w:spacing w:after="80"/>
              <w:ind w:left="714" w:hanging="357"/>
              <w:contextualSpacing w:val="0"/>
            </w:pPr>
            <w:r>
              <w:t>C</w:t>
            </w:r>
            <w:r w:rsidR="009A78FC">
              <w:t>orrelation of serum PFOA concentrations with liver cell hypertrophy in rats and monkeys indicates these species react similarly to this endpoint</w:t>
            </w:r>
          </w:p>
          <w:p w14:paraId="3DD489DE" w14:textId="70F14927" w:rsidR="009A78FC" w:rsidRDefault="00FB24AD" w:rsidP="00C21DC3">
            <w:pPr>
              <w:pStyle w:val="ListBullet"/>
              <w:spacing w:after="80"/>
              <w:ind w:left="1071" w:hanging="357"/>
              <w:contextualSpacing w:val="0"/>
            </w:pPr>
            <w:r>
              <w:t>t</w:t>
            </w:r>
            <w:r w:rsidR="00DB3817">
              <w:t xml:space="preserve">he LOAEL of 41 mg/L for </w:t>
            </w:r>
            <w:r w:rsidR="00F60644">
              <w:t xml:space="preserve">a </w:t>
            </w:r>
            <w:r w:rsidR="00DB3817">
              <w:t xml:space="preserve">liver weight increase </w:t>
            </w:r>
            <w:r w:rsidR="00F60644">
              <w:t>of</w:t>
            </w:r>
            <w:r w:rsidR="00DB3817">
              <w:t xml:space="preserve"> 5% in rats corresponds to an 8% increase in liver weight in monkeys</w:t>
            </w:r>
          </w:p>
          <w:p w14:paraId="6A0B107E" w14:textId="77777777" w:rsidR="00FB24AD" w:rsidRDefault="00981731" w:rsidP="00C21DC3">
            <w:pPr>
              <w:pStyle w:val="ListBullet"/>
              <w:spacing w:after="80"/>
              <w:ind w:left="714" w:hanging="357"/>
              <w:contextualSpacing w:val="0"/>
            </w:pPr>
            <w:r>
              <w:t>L</w:t>
            </w:r>
            <w:r w:rsidR="009A78FC">
              <w:t xml:space="preserve">inear extrapolation </w:t>
            </w:r>
            <w:r w:rsidR="007559C7">
              <w:t xml:space="preserve">to </w:t>
            </w:r>
            <w:r w:rsidR="009A78FC">
              <w:t>7 mg/</w:t>
            </w:r>
            <w:r w:rsidR="00F60644">
              <w:t>L</w:t>
            </w:r>
            <w:r w:rsidR="009A78FC">
              <w:t xml:space="preserve"> serum </w:t>
            </w:r>
            <w:r w:rsidR="007559C7">
              <w:t xml:space="preserve">PFOA </w:t>
            </w:r>
            <w:r w:rsidR="009A78FC">
              <w:t>for monkeys corresponds to a liver PFOA concentration (0.57 mg PFOA</w:t>
            </w:r>
            <w:r w:rsidR="00737AAC">
              <w:t>/</w:t>
            </w:r>
            <w:r w:rsidR="009A78FC">
              <w:t>kg liver) associated with an increase in the relative liver weight of 1%</w:t>
            </w:r>
          </w:p>
          <w:p w14:paraId="1DB9ED15" w14:textId="5099824A" w:rsidR="009A78FC" w:rsidRDefault="009A78FC" w:rsidP="00C21DC3">
            <w:pPr>
              <w:pStyle w:val="ListBullet"/>
              <w:spacing w:after="80"/>
              <w:ind w:left="1071" w:hanging="357"/>
              <w:contextualSpacing w:val="0"/>
            </w:pPr>
            <w:r>
              <w:t>7 mg/L is regarded as</w:t>
            </w:r>
            <w:r w:rsidR="007559C7">
              <w:t xml:space="preserve"> the</w:t>
            </w:r>
            <w:r>
              <w:t xml:space="preserve"> NOAEL for monkeys</w:t>
            </w:r>
          </w:p>
          <w:p w14:paraId="00C8F388" w14:textId="1A805DF4" w:rsidR="009A78FC" w:rsidRDefault="00981731" w:rsidP="00C21DC3">
            <w:pPr>
              <w:pStyle w:val="ListBullet"/>
              <w:spacing w:after="80"/>
              <w:ind w:left="714" w:hanging="357"/>
              <w:contextualSpacing w:val="0"/>
            </w:pPr>
            <w:r>
              <w:t>A</w:t>
            </w:r>
            <w:r w:rsidR="009A78FC">
              <w:t xml:space="preserve">ssuming linear kinetics, </w:t>
            </w:r>
            <w:r w:rsidR="00F60644">
              <w:t>the</w:t>
            </w:r>
            <w:r w:rsidR="009A78FC">
              <w:t xml:space="preserve"> NOAEL of 7 mg/</w:t>
            </w:r>
            <w:r w:rsidR="00F60644">
              <w:t>L is applied to</w:t>
            </w:r>
            <w:r w:rsidR="009A78FC">
              <w:t xml:space="preserve"> </w:t>
            </w:r>
            <w:r>
              <w:t xml:space="preserve">humans </w:t>
            </w:r>
            <w:r w:rsidR="00FB24AD">
              <w:t>and</w:t>
            </w:r>
            <w:r w:rsidR="00FB24AD" w:rsidRPr="00EF1F2C">
              <w:t xml:space="preserve"> </w:t>
            </w:r>
            <w:r w:rsidR="009A78FC" w:rsidRPr="00EF1F2C">
              <w:t>is likely a conservative estimate and no further safety factors are applied.</w:t>
            </w:r>
          </w:p>
          <w:p w14:paraId="02E14995" w14:textId="45A166AB" w:rsidR="005F2212" w:rsidRDefault="00182278" w:rsidP="00C21DC3">
            <w:pPr>
              <w:pStyle w:val="Tabletextprimarysource"/>
              <w:spacing w:before="80" w:after="80" w:line="23" w:lineRule="atLeast"/>
            </w:pPr>
            <w:r>
              <w:t xml:space="preserve">The MAK is calculated as </w:t>
            </w:r>
            <w:r w:rsidR="009F55C5">
              <w:t xml:space="preserve">an </w:t>
            </w:r>
            <w:r w:rsidR="00923725">
              <w:t>air concentration</w:t>
            </w:r>
            <w:r w:rsidR="009F55C5">
              <w:t xml:space="preserve"> exposure</w:t>
            </w:r>
            <w:r w:rsidR="001D0D0C">
              <w:t xml:space="preserve"> (</w:t>
            </w:r>
            <w:proofErr w:type="spellStart"/>
            <w:r w:rsidR="001D0D0C">
              <w:t>c</w:t>
            </w:r>
            <w:r w:rsidR="001D0D0C">
              <w:rPr>
                <w:vertAlign w:val="subscript"/>
              </w:rPr>
              <w:t>air</w:t>
            </w:r>
            <w:proofErr w:type="spellEnd"/>
            <w:r w:rsidR="001D0D0C">
              <w:t>)</w:t>
            </w:r>
            <w:r w:rsidR="00923725">
              <w:t xml:space="preserve"> </w:t>
            </w:r>
            <w:r>
              <w:t>of 0.005 mg/</w:t>
            </w:r>
            <w:r w:rsidRPr="00182278">
              <w:t>m</w:t>
            </w:r>
            <w:r w:rsidRPr="00182278">
              <w:rPr>
                <w:vertAlign w:val="superscript"/>
              </w:rPr>
              <w:t>3</w:t>
            </w:r>
            <w:r w:rsidRPr="00182278">
              <w:t xml:space="preserve"> </w:t>
            </w:r>
            <w:r w:rsidR="00923725" w:rsidRPr="00182278">
              <w:t xml:space="preserve">that </w:t>
            </w:r>
            <w:r w:rsidR="00923725">
              <w:t>would result in a serum</w:t>
            </w:r>
            <w:r w:rsidR="00555E4C">
              <w:t xml:space="preserve"> concentration </w:t>
            </w:r>
            <w:r w:rsidR="001D0D0C">
              <w:t>(</w:t>
            </w:r>
            <w:proofErr w:type="spellStart"/>
            <w:r w:rsidR="001D0D0C">
              <w:t>c</w:t>
            </w:r>
            <w:r w:rsidR="001D0D0C" w:rsidRPr="001D0D0C">
              <w:rPr>
                <w:vertAlign w:val="subscript"/>
              </w:rPr>
              <w:t>blood</w:t>
            </w:r>
            <w:proofErr w:type="spellEnd"/>
            <w:r w:rsidR="001D0D0C">
              <w:t xml:space="preserve">) </w:t>
            </w:r>
            <w:r w:rsidR="00555E4C">
              <w:t xml:space="preserve">of 7 mg/L in humans </w:t>
            </w:r>
            <w:r w:rsidR="009F55C5">
              <w:t xml:space="preserve">using </w:t>
            </w:r>
            <w:r>
              <w:t>the</w:t>
            </w:r>
            <w:r w:rsidR="009F55C5">
              <w:t xml:space="preserve"> following</w:t>
            </w:r>
            <w:r>
              <w:t xml:space="preserve"> formula</w:t>
            </w:r>
            <w:r w:rsidR="00923725">
              <w:t>:</w:t>
            </w:r>
          </w:p>
          <w:p w14:paraId="54B5FEA0" w14:textId="7B158020" w:rsidR="00923725" w:rsidRPr="005F2212" w:rsidRDefault="000015AA" w:rsidP="00C21DC3">
            <w:pPr>
              <w:pStyle w:val="Tabletextprimarysource"/>
              <w:spacing w:before="80" w:after="80" w:line="23" w:lineRule="atLeast"/>
            </w:pPr>
            <m:oMathPara>
              <m:oMathParaPr>
                <m:jc m:val="center"/>
              </m:oMathParaPr>
              <m:oMath>
                <m:sSub>
                  <m:sSubPr>
                    <m:ctrlPr>
                      <w:rPr>
                        <w:rFonts w:ascii="Cambria Math" w:hAnsi="Cambria Math"/>
                        <w:i/>
                      </w:rPr>
                    </m:ctrlPr>
                  </m:sSubPr>
                  <m:e>
                    <m:r>
                      <w:rPr>
                        <w:rFonts w:ascii="Cambria Math" w:hAnsi="Cambria Math"/>
                      </w:rPr>
                      <m:t>c</m:t>
                    </m:r>
                  </m:e>
                  <m:sub>
                    <m:r>
                      <w:rPr>
                        <w:rFonts w:ascii="Cambria Math" w:hAnsi="Cambria Math"/>
                      </w:rPr>
                      <m:t>air</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blood</m:t>
                        </m:r>
                      </m:sub>
                    </m:sSub>
                    <m:r>
                      <w:rPr>
                        <w:rFonts w:ascii="Cambria Math" w:hAnsi="Cambria Math"/>
                      </w:rPr>
                      <m:t>×distribution volume×bw</m:t>
                    </m:r>
                  </m:num>
                  <m:den>
                    <m:r>
                      <w:rPr>
                        <w:rFonts w:ascii="Cambria Math" w:hAnsi="Cambria Math"/>
                      </w:rPr>
                      <m:t>(% retention×respiratory volume×</m:t>
                    </m:r>
                    <m:f>
                      <m:fPr>
                        <m:ctrlPr>
                          <w:rPr>
                            <w:rFonts w:ascii="Cambria Math" w:hAnsi="Cambria Math"/>
                            <w:i/>
                          </w:rPr>
                        </m:ctrlPr>
                      </m:fPr>
                      <m:num>
                        <m:sSub>
                          <m:sSubPr>
                            <m:ctrlPr>
                              <w:rPr>
                                <w:rFonts w:ascii="Cambria Math" w:hAnsi="Cambria Math"/>
                                <w:i/>
                              </w:rPr>
                            </m:ctrlPr>
                          </m:sSubPr>
                          <m:e>
                            <m:r>
                              <w:rPr>
                                <w:rFonts w:ascii="Cambria Math" w:hAnsi="Cambria Math"/>
                              </w:rPr>
                              <m:t>t</m:t>
                            </m:r>
                          </m:e>
                          <m:sub>
                            <m:f>
                              <m:fPr>
                                <m:type m:val="lin"/>
                                <m:ctrlPr>
                                  <w:rPr>
                                    <w:rFonts w:ascii="Cambria Math" w:hAnsi="Cambria Math"/>
                                    <w:i/>
                                  </w:rPr>
                                </m:ctrlPr>
                              </m:fPr>
                              <m:num>
                                <m:r>
                                  <w:rPr>
                                    <w:rFonts w:ascii="Cambria Math" w:hAnsi="Cambria Math"/>
                                  </w:rPr>
                                  <m:t>1</m:t>
                                </m:r>
                              </m:num>
                              <m:den>
                                <m:r>
                                  <w:rPr>
                                    <w:rFonts w:ascii="Cambria Math" w:hAnsi="Cambria Math"/>
                                  </w:rPr>
                                  <m:t>2</m:t>
                                </m:r>
                              </m:den>
                            </m:f>
                          </m:sub>
                        </m:sSub>
                      </m:num>
                      <m:den>
                        <m:r>
                          <w:rPr>
                            <w:rFonts w:ascii="Cambria Math" w:hAnsi="Cambria Math"/>
                          </w:rPr>
                          <m:t>ln2</m:t>
                        </m:r>
                      </m:den>
                    </m:f>
                    <m:r>
                      <w:rPr>
                        <w:rFonts w:ascii="Cambria Math" w:hAnsi="Cambria Math"/>
                      </w:rPr>
                      <m:t>)×1,000</m:t>
                    </m:r>
                  </m:den>
                </m:f>
              </m:oMath>
            </m:oMathPara>
          </w:p>
          <w:p w14:paraId="1DF4D498" w14:textId="77777777" w:rsidR="00FB24AD" w:rsidRDefault="009F55C5" w:rsidP="00C21DC3">
            <w:pPr>
              <w:pStyle w:val="Tabletextprimarysource"/>
              <w:spacing w:before="80" w:after="80" w:line="23" w:lineRule="atLeast"/>
            </w:pPr>
            <w:r>
              <w:t>The calculation is b</w:t>
            </w:r>
            <w:r w:rsidR="004F30B8">
              <w:t>ased on the following assumptions</w:t>
            </w:r>
            <w:r>
              <w:t>:</w:t>
            </w:r>
            <w:r w:rsidR="004F30B8">
              <w:t xml:space="preserve"> </w:t>
            </w:r>
          </w:p>
          <w:p w14:paraId="7C0A6B1D" w14:textId="77777777" w:rsidR="00FB24AD" w:rsidRDefault="00555E4C" w:rsidP="00C21DC3">
            <w:pPr>
              <w:pStyle w:val="Tabletextprimarysource"/>
              <w:numPr>
                <w:ilvl w:val="0"/>
                <w:numId w:val="6"/>
              </w:numPr>
              <w:spacing w:before="80" w:after="80" w:line="23" w:lineRule="atLeast"/>
            </w:pPr>
            <w:r>
              <w:t>a half-life</w:t>
            </w:r>
            <w:r w:rsidR="00CB04FA">
              <w:t xml:space="preserve"> (t</w:t>
            </w:r>
            <w:r w:rsidR="00CB04FA">
              <w:rPr>
                <w:vertAlign w:val="subscript"/>
              </w:rPr>
              <w:t>1/2</w:t>
            </w:r>
            <w:r w:rsidR="00CB04FA">
              <w:t>)</w:t>
            </w:r>
            <w:r>
              <w:t xml:space="preserve"> of 3.8 yr</w:t>
            </w:r>
          </w:p>
          <w:p w14:paraId="6F9049F0" w14:textId="49A1138F" w:rsidR="00FB24AD" w:rsidRDefault="00555E4C" w:rsidP="00C21DC3">
            <w:pPr>
              <w:pStyle w:val="Tabletextprimarysource"/>
              <w:numPr>
                <w:ilvl w:val="0"/>
                <w:numId w:val="6"/>
              </w:numPr>
              <w:spacing w:before="80" w:after="80" w:line="23" w:lineRule="atLeast"/>
            </w:pPr>
            <w:r>
              <w:t>distribution volume of 0.2 L/kg</w:t>
            </w:r>
          </w:p>
          <w:p w14:paraId="51EF65D7" w14:textId="43783E73" w:rsidR="00FB24AD" w:rsidRDefault="00AA7CB9" w:rsidP="00C21DC3">
            <w:pPr>
              <w:pStyle w:val="Tabletextprimarysource"/>
              <w:numPr>
                <w:ilvl w:val="0"/>
                <w:numId w:val="6"/>
              </w:numPr>
              <w:spacing w:before="80" w:after="80" w:line="23" w:lineRule="atLeast"/>
            </w:pPr>
            <w:r>
              <w:t>100% retention</w:t>
            </w:r>
          </w:p>
          <w:p w14:paraId="1AF094D1" w14:textId="77009206" w:rsidR="00FB24AD" w:rsidRDefault="00555E4C" w:rsidP="00C21DC3">
            <w:pPr>
              <w:pStyle w:val="Tabletextprimarysource"/>
              <w:numPr>
                <w:ilvl w:val="0"/>
                <w:numId w:val="6"/>
              </w:numPr>
              <w:spacing w:before="80" w:after="80" w:line="23" w:lineRule="atLeast"/>
            </w:pPr>
            <w:r>
              <w:t>respiratory volume of 10</w:t>
            </w:r>
            <w:r w:rsidR="00CB04FA">
              <w:t> </w:t>
            </w:r>
            <w:r>
              <w:t>m</w:t>
            </w:r>
            <w:r>
              <w:rPr>
                <w:vertAlign w:val="superscript"/>
              </w:rPr>
              <w:t>3</w:t>
            </w:r>
          </w:p>
          <w:p w14:paraId="270294C1" w14:textId="2553F11D" w:rsidR="00C978F0" w:rsidRDefault="00182278" w:rsidP="00C21DC3">
            <w:pPr>
              <w:pStyle w:val="Tabletextprimarysource"/>
              <w:numPr>
                <w:ilvl w:val="0"/>
                <w:numId w:val="6"/>
              </w:numPr>
              <w:spacing w:before="80" w:after="80" w:line="23" w:lineRule="atLeast"/>
            </w:pPr>
            <w:r>
              <w:t xml:space="preserve">70 </w:t>
            </w:r>
            <w:r w:rsidR="00555E4C">
              <w:t>kg</w:t>
            </w:r>
            <w:r w:rsidR="00FB24AD">
              <w:t xml:space="preserve"> </w:t>
            </w:r>
            <w:proofErr w:type="spellStart"/>
            <w:r w:rsidR="00FB24AD">
              <w:t>bw</w:t>
            </w:r>
            <w:proofErr w:type="spellEnd"/>
            <w:r w:rsidR="00555E4C">
              <w:t>.</w:t>
            </w:r>
          </w:p>
          <w:p w14:paraId="0E669ED6" w14:textId="5FB4DB59" w:rsidR="00BD39E3" w:rsidRDefault="00BD39E3" w:rsidP="00C21DC3">
            <w:pPr>
              <w:pStyle w:val="Tabletextprimarysource"/>
              <w:spacing w:before="80" w:after="80" w:line="23" w:lineRule="atLeast"/>
            </w:pPr>
            <w:r>
              <w:lastRenderedPageBreak/>
              <w:t xml:space="preserve">Not classified as carcinogenic in humans (category 4) due to </w:t>
            </w:r>
            <w:r w:rsidR="004467AF">
              <w:t>absence of effects in organs for which tumorigenicity is observed in rats</w:t>
            </w:r>
            <w:r w:rsidR="009F55C5">
              <w:t xml:space="preserve"> with </w:t>
            </w:r>
            <w:r w:rsidR="004467AF">
              <w:t xml:space="preserve">a </w:t>
            </w:r>
            <w:r>
              <w:t>non-linear dose-response</w:t>
            </w:r>
            <w:r w:rsidR="004467AF">
              <w:t>.</w:t>
            </w:r>
          </w:p>
          <w:p w14:paraId="214D0C8F" w14:textId="119B0F93" w:rsidR="00BC6784" w:rsidRDefault="004467AF" w:rsidP="00C21DC3">
            <w:pPr>
              <w:pStyle w:val="Tabletextprimarysource"/>
              <w:spacing w:before="80" w:after="80" w:line="23" w:lineRule="atLeast"/>
            </w:pPr>
            <w:r>
              <w:t>S</w:t>
            </w:r>
            <w:r w:rsidR="00BC6784">
              <w:t xml:space="preserve">kin notation recommended based on systemic </w:t>
            </w:r>
            <w:r>
              <w:t>uptake</w:t>
            </w:r>
            <w:r w:rsidR="00BC6784">
              <w:t xml:space="preserve"> from dermal absorption in rats.</w:t>
            </w:r>
          </w:p>
          <w:p w14:paraId="7E12DDD0" w14:textId="3D1AC6FF" w:rsidR="00BC6784" w:rsidRDefault="00BC6784" w:rsidP="00C21DC3">
            <w:pPr>
              <w:pStyle w:val="Tabletextprimarysource"/>
              <w:spacing w:before="80" w:after="80" w:line="23" w:lineRule="atLeast"/>
            </w:pPr>
            <w:r>
              <w:t>Human data</w:t>
            </w:r>
            <w:r w:rsidR="00737AAC">
              <w:t>:</w:t>
            </w:r>
          </w:p>
          <w:p w14:paraId="07A35EC6" w14:textId="77777777" w:rsidR="00FB24AD" w:rsidRDefault="00385A91" w:rsidP="00C21DC3">
            <w:pPr>
              <w:pStyle w:val="Tabletextprimarysource"/>
              <w:numPr>
                <w:ilvl w:val="0"/>
                <w:numId w:val="2"/>
              </w:numPr>
              <w:spacing w:before="80" w:after="80" w:line="23" w:lineRule="atLeast"/>
            </w:pPr>
            <w:r>
              <w:t>Serum t</w:t>
            </w:r>
            <w:r>
              <w:rPr>
                <w:vertAlign w:val="subscript"/>
              </w:rPr>
              <w:t xml:space="preserve">1/2 </w:t>
            </w:r>
            <w:r>
              <w:rPr>
                <w:rFonts w:cs="Arial"/>
              </w:rPr>
              <w:t>≈</w:t>
            </w:r>
            <w:r w:rsidR="009F4A0C">
              <w:t xml:space="preserve">2.5 yr in 1 female </w:t>
            </w:r>
            <w:r>
              <w:t xml:space="preserve">production </w:t>
            </w:r>
            <w:r w:rsidR="009F4A0C">
              <w:t xml:space="preserve">worker </w:t>
            </w:r>
            <w:r>
              <w:t xml:space="preserve">with initial serum PFOA of 70 mg/L, which decreased to 39 mg/L in 18 </w:t>
            </w:r>
            <w:proofErr w:type="spellStart"/>
            <w:r>
              <w:t>mo</w:t>
            </w:r>
            <w:proofErr w:type="spellEnd"/>
            <w:r>
              <w:t xml:space="preserve"> after transferral to PFOA-free work area</w:t>
            </w:r>
          </w:p>
          <w:p w14:paraId="795A9649" w14:textId="2055A48D" w:rsidR="009F4A0C" w:rsidRDefault="00385A91" w:rsidP="00C21DC3">
            <w:pPr>
              <w:pStyle w:val="Tabletextprimarysource"/>
              <w:numPr>
                <w:ilvl w:val="1"/>
                <w:numId w:val="2"/>
              </w:numPr>
              <w:spacing w:before="80" w:after="80" w:line="23" w:lineRule="atLeast"/>
            </w:pPr>
            <w:r>
              <w:t xml:space="preserve">PFOA excretion measured in urine; initially 387 µg/d which decreased to 80 µg/d after 14 </w:t>
            </w:r>
            <w:proofErr w:type="spellStart"/>
            <w:r>
              <w:t>mo</w:t>
            </w:r>
            <w:proofErr w:type="spellEnd"/>
          </w:p>
          <w:p w14:paraId="04986D08" w14:textId="05B8ECFA" w:rsidR="003D44E3" w:rsidRDefault="00415BC6" w:rsidP="00C21DC3">
            <w:pPr>
              <w:pStyle w:val="Tabletextprimarysource"/>
              <w:numPr>
                <w:ilvl w:val="0"/>
                <w:numId w:val="2"/>
              </w:numPr>
              <w:spacing w:before="80" w:after="80" w:line="23" w:lineRule="atLeast"/>
            </w:pPr>
            <w:r>
              <w:t xml:space="preserve">Average </w:t>
            </w:r>
            <w:r w:rsidR="009F55C5">
              <w:t>t</w:t>
            </w:r>
            <w:r w:rsidR="009F55C5">
              <w:rPr>
                <w:vertAlign w:val="subscript"/>
              </w:rPr>
              <w:t>1/2</w:t>
            </w:r>
            <w:r w:rsidR="009F55C5">
              <w:t xml:space="preserve"> </w:t>
            </w:r>
            <w:r>
              <w:t>of</w:t>
            </w:r>
            <w:r w:rsidR="00BC6784">
              <w:t xml:space="preserve"> 3.8 yr</w:t>
            </w:r>
            <w:r>
              <w:t xml:space="preserve"> in retired production works (n=</w:t>
            </w:r>
            <w:r w:rsidR="00851BB4">
              <w:t xml:space="preserve">27, employed for </w:t>
            </w:r>
            <w:r w:rsidR="009F4A0C">
              <w:t xml:space="preserve">average of </w:t>
            </w:r>
            <w:r w:rsidR="00851BB4">
              <w:t>27.7 yr</w:t>
            </w:r>
            <w:r>
              <w:t>)</w:t>
            </w:r>
            <w:r w:rsidR="003D44E3">
              <w:t xml:space="preserve"> reported in 2-phase study</w:t>
            </w:r>
            <w:r w:rsidR="0041788E">
              <w:t>:</w:t>
            </w:r>
            <w:r w:rsidR="003D44E3">
              <w:t xml:space="preserve"> </w:t>
            </w:r>
          </w:p>
          <w:p w14:paraId="0B478A75" w14:textId="109685D9" w:rsidR="00BC6784" w:rsidRDefault="003D44E3" w:rsidP="00C21DC3">
            <w:pPr>
              <w:pStyle w:val="Tabletextprimarysource"/>
              <w:numPr>
                <w:ilvl w:val="1"/>
                <w:numId w:val="2"/>
              </w:numPr>
              <w:spacing w:before="80" w:after="80" w:line="23" w:lineRule="atLeast"/>
              <w:ind w:left="1434" w:hanging="357"/>
            </w:pPr>
            <w:r>
              <w:t>in phase</w:t>
            </w:r>
            <w:r w:rsidR="00FB24AD">
              <w:t>1</w:t>
            </w:r>
            <w:r>
              <w:t xml:space="preserve">, serum levels monitored every 6 </w:t>
            </w:r>
            <w:proofErr w:type="spellStart"/>
            <w:r>
              <w:t>mo</w:t>
            </w:r>
            <w:proofErr w:type="spellEnd"/>
            <w:r>
              <w:t xml:space="preserve"> for 5 yr and </w:t>
            </w:r>
            <w:r w:rsidR="00EB75A4">
              <w:t xml:space="preserve">a </w:t>
            </w:r>
            <w:r>
              <w:t>median t</w:t>
            </w:r>
            <w:r>
              <w:rPr>
                <w:vertAlign w:val="subscript"/>
              </w:rPr>
              <w:t>1/2</w:t>
            </w:r>
            <w:r>
              <w:t xml:space="preserve"> of 344 d</w:t>
            </w:r>
            <w:r w:rsidR="00EB75A4">
              <w:t xml:space="preserve"> reported</w:t>
            </w:r>
          </w:p>
          <w:p w14:paraId="5EFFA9E0" w14:textId="02047974" w:rsidR="003D44E3" w:rsidRDefault="00EB75A4" w:rsidP="00C21DC3">
            <w:pPr>
              <w:pStyle w:val="Tabletextprimarysource"/>
              <w:numPr>
                <w:ilvl w:val="1"/>
                <w:numId w:val="2"/>
              </w:numPr>
              <w:spacing w:before="80" w:after="80" w:line="23" w:lineRule="atLeast"/>
              <w:ind w:left="1434" w:hanging="357"/>
            </w:pPr>
            <w:r>
              <w:t>a mean t</w:t>
            </w:r>
            <w:r w:rsidRPr="00EB75A4">
              <w:rPr>
                <w:vertAlign w:val="subscript"/>
              </w:rPr>
              <w:t xml:space="preserve">1/2 </w:t>
            </w:r>
            <w:r w:rsidRPr="00443818">
              <w:t>of</w:t>
            </w:r>
            <w:r>
              <w:t xml:space="preserve"> 4.37 yr </w:t>
            </w:r>
            <w:r w:rsidR="003D44E3">
              <w:t xml:space="preserve">second phase of monitoring </w:t>
            </w:r>
            <w:r>
              <w:t>reported in 9 of the 27 initial subjects with</w:t>
            </w:r>
            <w:r w:rsidR="003D44E3">
              <w:t xml:space="preserve"> 4 serum measurements every 180 d to account for errors noted in the first phase</w:t>
            </w:r>
            <w:r w:rsidR="00856446">
              <w:t xml:space="preserve"> </w:t>
            </w:r>
          </w:p>
          <w:p w14:paraId="1AB49489" w14:textId="14C4CFE3" w:rsidR="00FB24AD" w:rsidRDefault="00856446" w:rsidP="00C21DC3">
            <w:pPr>
              <w:pStyle w:val="Tabletextprimarysource"/>
              <w:numPr>
                <w:ilvl w:val="1"/>
                <w:numId w:val="2"/>
              </w:numPr>
              <w:spacing w:before="80" w:after="80" w:line="23" w:lineRule="atLeast"/>
              <w:ind w:left="1434" w:hanging="357"/>
            </w:pPr>
            <w:r>
              <w:t xml:space="preserve">age, </w:t>
            </w:r>
            <w:r w:rsidR="00FB24AD">
              <w:t>BMI</w:t>
            </w:r>
            <w:r>
              <w:t>, number of years employed and number of years since retirement had no influence on t</w:t>
            </w:r>
            <w:r>
              <w:rPr>
                <w:vertAlign w:val="subscript"/>
              </w:rPr>
              <w:t>1/2</w:t>
            </w:r>
          </w:p>
          <w:p w14:paraId="6A3C4011" w14:textId="5D67FE1F" w:rsidR="00856446" w:rsidRDefault="00FB24AD" w:rsidP="00C21DC3">
            <w:pPr>
              <w:pStyle w:val="Tabletextprimarysource"/>
              <w:numPr>
                <w:ilvl w:val="1"/>
                <w:numId w:val="2"/>
              </w:numPr>
              <w:spacing w:before="80" w:after="80" w:line="23" w:lineRule="atLeast"/>
              <w:ind w:left="1434" w:hanging="357"/>
            </w:pPr>
            <w:r>
              <w:t>o</w:t>
            </w:r>
            <w:r w:rsidR="00EB75A4">
              <w:t xml:space="preserve">ne </w:t>
            </w:r>
            <w:r w:rsidR="009F4A0C">
              <w:t>subject excluded from final analysis due to likely additional exposure during the study</w:t>
            </w:r>
          </w:p>
          <w:p w14:paraId="741A5167" w14:textId="09C09A35" w:rsidR="00856446" w:rsidRDefault="0041788E" w:rsidP="00C21DC3">
            <w:pPr>
              <w:pStyle w:val="Tabletextprimarysource"/>
              <w:numPr>
                <w:ilvl w:val="1"/>
                <w:numId w:val="2"/>
              </w:numPr>
              <w:spacing w:before="80" w:after="80" w:line="23" w:lineRule="atLeast"/>
              <w:ind w:left="1434" w:hanging="357"/>
            </w:pPr>
            <w:r>
              <w:t xml:space="preserve">DFG </w:t>
            </w:r>
            <w:r w:rsidR="00856446">
              <w:t>acknowledges considerable difference in t</w:t>
            </w:r>
            <w:r w:rsidR="00856446">
              <w:rPr>
                <w:vertAlign w:val="subscript"/>
              </w:rPr>
              <w:t>1/2</w:t>
            </w:r>
            <w:r w:rsidR="00856446">
              <w:t xml:space="preserve"> in humans of this study compared with those in animals, but provides no further details on this discrepancy</w:t>
            </w:r>
          </w:p>
          <w:p w14:paraId="2749319F" w14:textId="18A57CB0" w:rsidR="002F5654" w:rsidRDefault="000C160F" w:rsidP="00C21DC3">
            <w:pPr>
              <w:pStyle w:val="Tabletextprimarysource"/>
              <w:numPr>
                <w:ilvl w:val="0"/>
                <w:numId w:val="2"/>
              </w:numPr>
              <w:spacing w:before="80" w:after="80" w:line="23" w:lineRule="atLeast"/>
            </w:pPr>
            <w:r>
              <w:t xml:space="preserve">Serum </w:t>
            </w:r>
            <w:r w:rsidR="00054A60">
              <w:t xml:space="preserve">PFOA </w:t>
            </w:r>
            <w:r>
              <w:t>concentrations</w:t>
            </w:r>
            <w:r w:rsidR="002F5654">
              <w:t xml:space="preserve"> of</w:t>
            </w:r>
            <w:r>
              <w:t xml:space="preserve"> exposed production workers </w:t>
            </w:r>
            <w:r w:rsidR="002F5654">
              <w:t>at</w:t>
            </w:r>
            <w:r w:rsidR="00466F88">
              <w:t xml:space="preserve"> </w:t>
            </w:r>
            <w:r w:rsidR="002D27A0">
              <w:t>various plants were</w:t>
            </w:r>
            <w:r w:rsidR="0041788E">
              <w:t>:</w:t>
            </w:r>
            <w:r>
              <w:t xml:space="preserve"> </w:t>
            </w:r>
          </w:p>
          <w:p w14:paraId="1C412FD0" w14:textId="31D3F9BA" w:rsidR="0041788E" w:rsidRDefault="002D27A0" w:rsidP="00C21DC3">
            <w:pPr>
              <w:pStyle w:val="Tabletextprimarysource"/>
              <w:numPr>
                <w:ilvl w:val="1"/>
                <w:numId w:val="2"/>
              </w:numPr>
              <w:spacing w:before="80" w:after="80" w:line="23" w:lineRule="atLeast"/>
              <w:ind w:left="1156"/>
            </w:pPr>
            <w:r>
              <w:t>Cottage Grove (Minnesota)</w:t>
            </w:r>
          </w:p>
          <w:p w14:paraId="3CD3510E" w14:textId="412C52C9" w:rsidR="0041788E" w:rsidRDefault="00527FF3" w:rsidP="00C21DC3">
            <w:pPr>
              <w:pStyle w:val="Tabletextprimarysource"/>
              <w:numPr>
                <w:ilvl w:val="0"/>
                <w:numId w:val="5"/>
              </w:numPr>
              <w:spacing w:before="80" w:after="80" w:line="23" w:lineRule="atLeast"/>
              <w:ind w:left="1871" w:hanging="357"/>
            </w:pPr>
            <w:r>
              <w:t>m</w:t>
            </w:r>
            <w:r w:rsidR="002D27A0">
              <w:t>ean of 6.4 mg/L</w:t>
            </w:r>
            <w:r w:rsidR="00054A60">
              <w:t xml:space="preserve"> </w:t>
            </w:r>
            <w:r w:rsidR="002D27A0">
              <w:t>in 1997 (not stated if GM or AM)</w:t>
            </w:r>
            <w:r w:rsidR="008D7B0C">
              <w:t xml:space="preserve"> </w:t>
            </w:r>
          </w:p>
          <w:p w14:paraId="651A04CF" w14:textId="6A92B8F3" w:rsidR="0041788E" w:rsidRDefault="002D27A0" w:rsidP="00C21DC3">
            <w:pPr>
              <w:pStyle w:val="Tabletextprimarysource"/>
              <w:numPr>
                <w:ilvl w:val="0"/>
                <w:numId w:val="5"/>
              </w:numPr>
              <w:spacing w:before="80" w:after="80" w:line="23" w:lineRule="atLeast"/>
              <w:ind w:left="1871" w:hanging="357"/>
            </w:pPr>
            <w:r>
              <w:t>GM of 0.42 and 0.85 mg/L in males and females, respectively in 2000 (AM not provided)</w:t>
            </w:r>
          </w:p>
          <w:p w14:paraId="36FF53AB" w14:textId="19CE4122" w:rsidR="0041788E" w:rsidRDefault="002D27A0" w:rsidP="00C21DC3">
            <w:pPr>
              <w:pStyle w:val="Tabletextprimarysource"/>
              <w:numPr>
                <w:ilvl w:val="0"/>
                <w:numId w:val="5"/>
              </w:numPr>
              <w:spacing w:before="80" w:after="80" w:line="23" w:lineRule="atLeast"/>
              <w:ind w:left="1871" w:hanging="357"/>
            </w:pPr>
            <w:r>
              <w:t>follow-up cross-sectional study (n=115) reported no effect on liver function or metabolic parameters</w:t>
            </w:r>
          </w:p>
          <w:p w14:paraId="249F1935" w14:textId="6D1E4186" w:rsidR="002D27A0" w:rsidRDefault="002D27A0" w:rsidP="00C21DC3">
            <w:pPr>
              <w:pStyle w:val="Tabletextprimarysource"/>
              <w:numPr>
                <w:ilvl w:val="0"/>
                <w:numId w:val="5"/>
              </w:numPr>
              <w:spacing w:before="80" w:after="80" w:line="23" w:lineRule="atLeast"/>
              <w:ind w:left="1871" w:hanging="357"/>
            </w:pPr>
            <w:r>
              <w:t>no increase in SMR in retrospective mortality study (n=749 females; n=2,788 males)</w:t>
            </w:r>
          </w:p>
          <w:p w14:paraId="36F63F31" w14:textId="32689139" w:rsidR="00BC6784" w:rsidRDefault="00FD443B" w:rsidP="00C21DC3">
            <w:pPr>
              <w:pStyle w:val="Tabletextprimarysource"/>
              <w:numPr>
                <w:ilvl w:val="1"/>
                <w:numId w:val="2"/>
              </w:numPr>
              <w:spacing w:before="80" w:after="80" w:line="23" w:lineRule="atLeast"/>
              <w:ind w:left="1156"/>
            </w:pPr>
            <w:r>
              <w:t>S</w:t>
            </w:r>
            <w:r w:rsidR="00AA445D">
              <w:t>erum levels were 0.33</w:t>
            </w:r>
            <w:r w:rsidR="000C160F">
              <w:t xml:space="preserve"> and </w:t>
            </w:r>
            <w:r w:rsidR="00AA445D">
              <w:t>1.13</w:t>
            </w:r>
            <w:r w:rsidR="000C160F">
              <w:t xml:space="preserve"> mg/L</w:t>
            </w:r>
            <w:r w:rsidR="00AA445D">
              <w:t xml:space="preserve"> (GM), and 0.84 and 1.78 mg/L (AM), respectively </w:t>
            </w:r>
            <w:r>
              <w:t>in 2 other plants, Antwerp (Belgium) and Decatur (Alabama)</w:t>
            </w:r>
            <w:r w:rsidR="00D10DBE">
              <w:t xml:space="preserve"> </w:t>
            </w:r>
            <w:r w:rsidR="00AA445D">
              <w:t>in 2000</w:t>
            </w:r>
          </w:p>
          <w:p w14:paraId="61BB2AFC" w14:textId="77777777" w:rsidR="00FB24AD" w:rsidRDefault="00466F88" w:rsidP="00C21DC3">
            <w:pPr>
              <w:pStyle w:val="Tabletextprimarysource"/>
              <w:numPr>
                <w:ilvl w:val="0"/>
                <w:numId w:val="2"/>
              </w:numPr>
              <w:spacing w:before="80" w:after="80" w:line="23" w:lineRule="atLeast"/>
            </w:pPr>
            <w:r>
              <w:t>No exposure-related effects in APFO production workers (n</w:t>
            </w:r>
            <w:r>
              <w:rPr>
                <w:rFonts w:cs="Arial"/>
              </w:rPr>
              <w:t>≈</w:t>
            </w:r>
            <w:r>
              <w:t xml:space="preserve">300) exposed for </w:t>
            </w:r>
            <w:r>
              <w:rPr>
                <w:rFonts w:cs="Arial"/>
              </w:rPr>
              <w:t>≥</w:t>
            </w:r>
            <w:r>
              <w:t>1 year at 0.01–7.6 mg/m</w:t>
            </w:r>
            <w:r>
              <w:rPr>
                <w:vertAlign w:val="superscript"/>
              </w:rPr>
              <w:t>3</w:t>
            </w:r>
          </w:p>
          <w:p w14:paraId="722B9676" w14:textId="4A5A3E15" w:rsidR="00FB24AD" w:rsidRDefault="00FB24AD" w:rsidP="00C21DC3">
            <w:pPr>
              <w:pStyle w:val="Tabletextprimarysource"/>
              <w:numPr>
                <w:ilvl w:val="1"/>
                <w:numId w:val="2"/>
              </w:numPr>
              <w:spacing w:before="80" w:after="80" w:line="23" w:lineRule="atLeast"/>
            </w:pPr>
            <w:r>
              <w:t>s</w:t>
            </w:r>
            <w:r w:rsidR="004F30B8">
              <w:t xml:space="preserve">erum </w:t>
            </w:r>
            <w:r w:rsidR="00466F88">
              <w:t>levels ranged from 0.04–71.0 mg/L in exposed workers and 0.01</w:t>
            </w:r>
            <w:r w:rsidR="004F30B8">
              <w:noBreakHyphen/>
            </w:r>
            <w:r w:rsidR="00466F88">
              <w:t>0.08 mg/L in controls</w:t>
            </w:r>
          </w:p>
          <w:p w14:paraId="2EB36A87" w14:textId="030C8313" w:rsidR="00466F88" w:rsidRDefault="00FB24AD" w:rsidP="00C21DC3">
            <w:pPr>
              <w:pStyle w:val="Tabletextprimarysource"/>
              <w:numPr>
                <w:ilvl w:val="1"/>
                <w:numId w:val="2"/>
              </w:numPr>
              <w:spacing w:before="80" w:after="80" w:line="23" w:lineRule="atLeast"/>
            </w:pPr>
            <w:r>
              <w:t>c</w:t>
            </w:r>
            <w:r w:rsidR="00466F88">
              <w:t>orrelat</w:t>
            </w:r>
            <w:r w:rsidR="00FD443B">
              <w:t>ion of</w:t>
            </w:r>
            <w:r w:rsidR="00466F88">
              <w:t xml:space="preserve"> serum levels </w:t>
            </w:r>
            <w:r w:rsidR="004F30B8">
              <w:t xml:space="preserve">with </w:t>
            </w:r>
            <w:r w:rsidR="00466F88">
              <w:t>air concentrations</w:t>
            </w:r>
            <w:r w:rsidR="00FD443B">
              <w:t xml:space="preserve"> unreliable because the study design was inadequate</w:t>
            </w:r>
          </w:p>
          <w:p w14:paraId="67E76A3B" w14:textId="26F6C715" w:rsidR="00466F88" w:rsidRDefault="000C160F" w:rsidP="00C21DC3">
            <w:pPr>
              <w:pStyle w:val="Tabletextprimarysource"/>
              <w:numPr>
                <w:ilvl w:val="0"/>
                <w:numId w:val="2"/>
              </w:numPr>
              <w:spacing w:before="80" w:after="80" w:line="23" w:lineRule="atLeast"/>
            </w:pPr>
            <w:r>
              <w:t>Serum levels in general population</w:t>
            </w:r>
            <w:r w:rsidR="009A58D3">
              <w:t xml:space="preserve"> estimated from 3 studies at 4–5 µg/L</w:t>
            </w:r>
            <w:r w:rsidR="00415BC6">
              <w:t xml:space="preserve"> (GM</w:t>
            </w:r>
            <w:r w:rsidR="00FD443B">
              <w:t xml:space="preserve">) were </w:t>
            </w:r>
            <w:r w:rsidR="009A58D3">
              <w:t>unaffected by age</w:t>
            </w:r>
            <w:r w:rsidR="00FD443B">
              <w:t xml:space="preserve"> with </w:t>
            </w:r>
            <w:r w:rsidR="009A58D3">
              <w:t>no evidence for accumulation found in elderly compared with young subjects</w:t>
            </w:r>
            <w:r w:rsidR="002F21C0">
              <w:t>.</w:t>
            </w:r>
          </w:p>
          <w:p w14:paraId="20F61B1E" w14:textId="4AAFE7B3" w:rsidR="00BC6784" w:rsidRDefault="00BC6784" w:rsidP="00C21DC3">
            <w:pPr>
              <w:pStyle w:val="Tabletextprimarysource"/>
              <w:spacing w:before="80" w:after="80" w:line="23" w:lineRule="atLeast"/>
            </w:pPr>
            <w:r>
              <w:t>Animal data</w:t>
            </w:r>
            <w:r w:rsidR="001B7CD4">
              <w:t>:</w:t>
            </w:r>
          </w:p>
          <w:p w14:paraId="4E6822CE" w14:textId="120D2268" w:rsidR="001D0D0C" w:rsidRDefault="001D0D0C" w:rsidP="00C21DC3">
            <w:pPr>
              <w:pStyle w:val="Tabletextprimarysource"/>
              <w:numPr>
                <w:ilvl w:val="0"/>
                <w:numId w:val="1"/>
              </w:numPr>
              <w:spacing w:before="80" w:after="80" w:line="23" w:lineRule="atLeast"/>
            </w:pPr>
            <w:r>
              <w:t xml:space="preserve">Half-life </w:t>
            </w:r>
            <w:r w:rsidR="001B7CD4">
              <w:t xml:space="preserve">of 20–30 d </w:t>
            </w:r>
            <w:r>
              <w:t>in monkeys</w:t>
            </w:r>
            <w:r w:rsidR="00386A4E">
              <w:t>;</w:t>
            </w:r>
            <w:r>
              <w:t xml:space="preserve"> </w:t>
            </w:r>
            <w:r w:rsidR="001B7CD4">
              <w:t xml:space="preserve">10 h–7 d in </w:t>
            </w:r>
            <w:r w:rsidR="00386A4E">
              <w:t xml:space="preserve">rats </w:t>
            </w:r>
            <w:r w:rsidR="00213C45">
              <w:t>(faster elimination in females)</w:t>
            </w:r>
          </w:p>
          <w:p w14:paraId="6120FBC0" w14:textId="1CEDB399" w:rsidR="005F2BD5" w:rsidRDefault="005F2BD5" w:rsidP="00C21DC3">
            <w:pPr>
              <w:pStyle w:val="Tabletextprimarysource"/>
              <w:numPr>
                <w:ilvl w:val="0"/>
                <w:numId w:val="1"/>
              </w:numPr>
              <w:spacing w:before="80" w:after="80" w:line="23" w:lineRule="atLeast"/>
            </w:pPr>
            <w:r>
              <w:t>Reversible liver toxicity at 200 mg/kg</w:t>
            </w:r>
            <w:r w:rsidR="00C2485C">
              <w:t>/</w:t>
            </w:r>
            <w:r w:rsidR="00FD443B">
              <w:t>d</w:t>
            </w:r>
            <w:r>
              <w:t xml:space="preserve"> in dermal application study (rats, </w:t>
            </w:r>
            <w:r w:rsidR="00677A1F">
              <w:t>6 h/d, 5 d/</w:t>
            </w:r>
            <w:proofErr w:type="spellStart"/>
            <w:r w:rsidR="00677A1F">
              <w:t>wk</w:t>
            </w:r>
            <w:proofErr w:type="spellEnd"/>
            <w:r w:rsidR="00677A1F">
              <w:t xml:space="preserve">, </w:t>
            </w:r>
            <w:r w:rsidR="00FB24AD">
              <w:t>2 </w:t>
            </w:r>
            <w:proofErr w:type="spellStart"/>
            <w:r w:rsidR="00677A1F">
              <w:t>wk</w:t>
            </w:r>
            <w:proofErr w:type="spellEnd"/>
            <w:r w:rsidR="00677A1F">
              <w:t>)</w:t>
            </w:r>
          </w:p>
          <w:p w14:paraId="39CE558F" w14:textId="77777777" w:rsidR="00FB24AD" w:rsidRDefault="0040136F" w:rsidP="00C21DC3">
            <w:pPr>
              <w:pStyle w:val="Tabletextprimarysource"/>
              <w:numPr>
                <w:ilvl w:val="0"/>
                <w:numId w:val="1"/>
              </w:numPr>
              <w:spacing w:before="80" w:after="80" w:line="23" w:lineRule="atLeast"/>
            </w:pPr>
            <w:r>
              <w:lastRenderedPageBreak/>
              <w:t>NOAEC</w:t>
            </w:r>
            <w:r w:rsidR="00EB75A4">
              <w:t xml:space="preserve"> of </w:t>
            </w:r>
            <w:r>
              <w:t>1 mg/m</w:t>
            </w:r>
            <w:r>
              <w:rPr>
                <w:vertAlign w:val="superscript"/>
              </w:rPr>
              <w:t>3</w:t>
            </w:r>
            <w:r>
              <w:t xml:space="preserve"> APFO for reversible liver weight increase and microscopic liver changes (rats, 6 h/d, 5 d/</w:t>
            </w:r>
            <w:proofErr w:type="spellStart"/>
            <w:r>
              <w:t>wk</w:t>
            </w:r>
            <w:proofErr w:type="spellEnd"/>
            <w:r>
              <w:t xml:space="preserve">, 2 </w:t>
            </w:r>
            <w:proofErr w:type="spellStart"/>
            <w:r>
              <w:t>wk</w:t>
            </w:r>
            <w:proofErr w:type="spellEnd"/>
            <w:r>
              <w:t>)</w:t>
            </w:r>
            <w:r w:rsidR="001B7CD4">
              <w:t xml:space="preserve"> with corresponding </w:t>
            </w:r>
            <w:r>
              <w:t xml:space="preserve">LOAEC </w:t>
            </w:r>
            <w:r w:rsidR="001B7CD4">
              <w:t xml:space="preserve">of </w:t>
            </w:r>
            <w:r>
              <w:t>8 mg/</w:t>
            </w:r>
            <w:proofErr w:type="gramStart"/>
            <w:r>
              <w:t>m</w:t>
            </w:r>
            <w:r>
              <w:rPr>
                <w:vertAlign w:val="superscript"/>
              </w:rPr>
              <w:t>3</w:t>
            </w:r>
            <w:r>
              <w:t>;</w:t>
            </w:r>
            <w:proofErr w:type="gramEnd"/>
            <w:r>
              <w:t xml:space="preserve"> </w:t>
            </w:r>
          </w:p>
          <w:p w14:paraId="5623949D" w14:textId="660FA775" w:rsidR="0040136F" w:rsidRDefault="0040136F" w:rsidP="00C21DC3">
            <w:pPr>
              <w:pStyle w:val="Tabletextprimarysource"/>
              <w:numPr>
                <w:ilvl w:val="1"/>
                <w:numId w:val="1"/>
              </w:numPr>
              <w:spacing w:before="80" w:after="80" w:line="23" w:lineRule="atLeast"/>
            </w:pPr>
            <w:r>
              <w:t xml:space="preserve">reduced </w:t>
            </w:r>
            <w:proofErr w:type="spellStart"/>
            <w:r w:rsidR="00FB24AD">
              <w:t>bw</w:t>
            </w:r>
            <w:proofErr w:type="spellEnd"/>
            <w:r>
              <w:t xml:space="preserve"> at 84 mg/m</w:t>
            </w:r>
            <w:r>
              <w:rPr>
                <w:vertAlign w:val="superscript"/>
              </w:rPr>
              <w:t>3</w:t>
            </w:r>
          </w:p>
          <w:p w14:paraId="115EE55B" w14:textId="77777777" w:rsidR="00FB24AD" w:rsidRDefault="0040136F" w:rsidP="00C21DC3">
            <w:pPr>
              <w:pStyle w:val="Tabletextprimarysource"/>
              <w:numPr>
                <w:ilvl w:val="0"/>
                <w:numId w:val="1"/>
              </w:numPr>
              <w:spacing w:before="80" w:after="80" w:line="23" w:lineRule="atLeast"/>
              <w:ind w:left="714" w:hanging="357"/>
            </w:pPr>
            <w:r>
              <w:t>NOAEL</w:t>
            </w:r>
            <w:r w:rsidR="00EF482B">
              <w:t xml:space="preserve"> of </w:t>
            </w:r>
            <w:r>
              <w:t>0.06 mg/</w:t>
            </w:r>
            <w:r w:rsidR="007464AA">
              <w:t xml:space="preserve">kg/d </w:t>
            </w:r>
            <w:r w:rsidR="003C4F0D">
              <w:t xml:space="preserve">(7 mg/L serum PFOA) </w:t>
            </w:r>
            <w:r w:rsidR="007464AA">
              <w:t>for liver cell hypertrophy and</w:t>
            </w:r>
            <w:r>
              <w:t xml:space="preserve"> reversible</w:t>
            </w:r>
            <w:r w:rsidR="005F2BD5">
              <w:t xml:space="preserve"> increased liver weight </w:t>
            </w:r>
            <w:r w:rsidR="00DB3817">
              <w:t xml:space="preserve">(5%) </w:t>
            </w:r>
            <w:r w:rsidR="005F2BD5">
              <w:t>reported in sub</w:t>
            </w:r>
            <w:r w:rsidR="004F30B8">
              <w:t>-</w:t>
            </w:r>
            <w:r w:rsidR="005F2BD5">
              <w:t>chronic feeding study (rats, 90 d)</w:t>
            </w:r>
          </w:p>
          <w:p w14:paraId="6DF4974E" w14:textId="01981A29" w:rsidR="00FB24AD" w:rsidRDefault="005F2BD5" w:rsidP="00C21DC3">
            <w:pPr>
              <w:pStyle w:val="Tabletextprimarysource"/>
              <w:numPr>
                <w:ilvl w:val="1"/>
                <w:numId w:val="1"/>
              </w:numPr>
              <w:spacing w:before="80" w:after="80" w:line="23" w:lineRule="atLeast"/>
            </w:pPr>
            <w:r>
              <w:t>LOAEL</w:t>
            </w:r>
            <w:r w:rsidR="00EB75A4">
              <w:t xml:space="preserve"> of </w:t>
            </w:r>
            <w:r>
              <w:t>0.64</w:t>
            </w:r>
            <w:r w:rsidR="003C4F0D">
              <w:t> </w:t>
            </w:r>
            <w:r>
              <w:t>mg/kg/d</w:t>
            </w:r>
            <w:r w:rsidR="003C4F0D">
              <w:t xml:space="preserve"> (41 mg/L serum PFOA)</w:t>
            </w:r>
          </w:p>
          <w:p w14:paraId="332B230C" w14:textId="2DC1BA46" w:rsidR="00C2485C" w:rsidRDefault="005F2BD5" w:rsidP="00C21DC3">
            <w:pPr>
              <w:pStyle w:val="Tabletextprimarysource"/>
              <w:numPr>
                <w:ilvl w:val="1"/>
                <w:numId w:val="1"/>
              </w:numPr>
              <w:spacing w:before="80" w:after="80" w:line="23" w:lineRule="atLeast"/>
            </w:pPr>
            <w:r>
              <w:t xml:space="preserve">no </w:t>
            </w:r>
            <w:r w:rsidR="00C2485C">
              <w:t xml:space="preserve">other </w:t>
            </w:r>
            <w:r>
              <w:t xml:space="preserve">microscopic changes at </w:t>
            </w:r>
            <w:r w:rsidR="00C2485C">
              <w:t xml:space="preserve">the maximum concentration of </w:t>
            </w:r>
            <w:r>
              <w:t>6.5 mg/kg/d</w:t>
            </w:r>
            <w:r w:rsidR="003C4F0D">
              <w:t xml:space="preserve"> (</w:t>
            </w:r>
            <w:r w:rsidR="00FB24AD">
              <w:t>138 </w:t>
            </w:r>
            <w:r w:rsidR="003C4F0D">
              <w:t>mg/L serum PFOA)</w:t>
            </w:r>
            <w:r>
              <w:t xml:space="preserve"> </w:t>
            </w:r>
          </w:p>
          <w:p w14:paraId="59122B12" w14:textId="77777777" w:rsidR="00FB24AD" w:rsidRDefault="00DD2FD8" w:rsidP="00C21DC3">
            <w:pPr>
              <w:pStyle w:val="Tabletextprimarysource"/>
              <w:numPr>
                <w:ilvl w:val="0"/>
                <w:numId w:val="1"/>
              </w:numPr>
              <w:spacing w:before="80" w:after="80" w:line="23" w:lineRule="atLeast"/>
              <w:ind w:left="714" w:hanging="357"/>
            </w:pPr>
            <w:r>
              <w:t xml:space="preserve">Increased liver weights (20%) and evidence </w:t>
            </w:r>
            <w:r w:rsidR="00C2485C">
              <w:t xml:space="preserve">of </w:t>
            </w:r>
            <w:r>
              <w:t>peroxisome proliferation in the liver at both 3</w:t>
            </w:r>
            <w:r w:rsidR="00182278">
              <w:t xml:space="preserve"> mg/kg/d (low dose)</w:t>
            </w:r>
            <w:r>
              <w:t xml:space="preserve"> and 10 mg/kg/d </w:t>
            </w:r>
            <w:r w:rsidR="00C2485C">
              <w:t xml:space="preserve">(mid dose) </w:t>
            </w:r>
            <w:r>
              <w:t xml:space="preserve">reported in 2 </w:t>
            </w:r>
            <w:r w:rsidR="00182278">
              <w:t xml:space="preserve">oral dose </w:t>
            </w:r>
            <w:r>
              <w:t>studies (monkeys, 13 and 26</w:t>
            </w:r>
            <w:r w:rsidR="00182278">
              <w:t> </w:t>
            </w:r>
            <w:proofErr w:type="spellStart"/>
            <w:r>
              <w:t>wk</w:t>
            </w:r>
            <w:proofErr w:type="spellEnd"/>
            <w:r>
              <w:t>)</w:t>
            </w:r>
          </w:p>
          <w:p w14:paraId="5F8AE503" w14:textId="20FD43DB" w:rsidR="00DD2FD8" w:rsidRDefault="00FB24AD" w:rsidP="00C21DC3">
            <w:pPr>
              <w:pStyle w:val="Tabletextprimarysource"/>
              <w:numPr>
                <w:ilvl w:val="1"/>
                <w:numId w:val="1"/>
              </w:numPr>
              <w:spacing w:before="80" w:after="80" w:line="23" w:lineRule="atLeast"/>
            </w:pPr>
            <w:r>
              <w:t>m</w:t>
            </w:r>
            <w:r w:rsidR="00C2485C">
              <w:t xml:space="preserve">aximum dose of </w:t>
            </w:r>
            <w:r w:rsidR="00DD2FD8">
              <w:t xml:space="preserve">30 mg/kg/d discontinued due to </w:t>
            </w:r>
            <w:r w:rsidR="00BD39E3">
              <w:t xml:space="preserve">high toxicity </w:t>
            </w:r>
            <w:r w:rsidR="00182278">
              <w:t>(</w:t>
            </w:r>
            <w:r w:rsidR="00DD2FD8">
              <w:t>anorexia, vomiting, hypocellular bone marrow, spleen atrophy</w:t>
            </w:r>
            <w:r w:rsidR="00975501">
              <w:t>)</w:t>
            </w:r>
          </w:p>
          <w:p w14:paraId="06B20F65" w14:textId="1914B1DE" w:rsidR="002F5654" w:rsidRDefault="002F5654" w:rsidP="00C21DC3">
            <w:pPr>
              <w:pStyle w:val="Tabletextprimarysource"/>
              <w:numPr>
                <w:ilvl w:val="1"/>
                <w:numId w:val="1"/>
              </w:numPr>
              <w:spacing w:before="80" w:after="80" w:line="23" w:lineRule="atLeast"/>
              <w:ind w:left="1156"/>
            </w:pPr>
            <w:r>
              <w:t xml:space="preserve">in 26-wk study, 3 and 10 mg/kg/d corresponded to </w:t>
            </w:r>
            <w:r w:rsidR="0074795F">
              <w:t xml:space="preserve">a non-linear concentration of </w:t>
            </w:r>
            <w:r>
              <w:t>77</w:t>
            </w:r>
            <w:r w:rsidR="0074795F">
              <w:t> </w:t>
            </w:r>
            <w:r>
              <w:t>an</w:t>
            </w:r>
            <w:r w:rsidR="00BC66F4">
              <w:t>d 86 mg/L serum</w:t>
            </w:r>
            <w:r w:rsidR="003C4F0D">
              <w:t xml:space="preserve"> PFOA</w:t>
            </w:r>
            <w:r w:rsidR="00BC66F4">
              <w:t>,</w:t>
            </w:r>
            <w:r w:rsidR="00975501">
              <w:t xml:space="preserve"> and 19 and 22% increased liver weight,</w:t>
            </w:r>
            <w:r w:rsidR="00BC66F4">
              <w:t xml:space="preserve"> respectively</w:t>
            </w:r>
          </w:p>
          <w:p w14:paraId="29F70814" w14:textId="77777777" w:rsidR="00FB24AD" w:rsidRDefault="00BD39E3" w:rsidP="00C21DC3">
            <w:pPr>
              <w:pStyle w:val="Tabletextprimarysource"/>
              <w:numPr>
                <w:ilvl w:val="0"/>
                <w:numId w:val="1"/>
              </w:numPr>
              <w:spacing w:before="80" w:after="80" w:line="23" w:lineRule="atLeast"/>
            </w:pPr>
            <w:r>
              <w:t xml:space="preserve">Increased incidence of liver, adrenal, </w:t>
            </w:r>
            <w:r w:rsidR="00B662D9">
              <w:t xml:space="preserve">pancreatic and Leydig cell </w:t>
            </w:r>
            <w:r>
              <w:t xml:space="preserve">cancers reported in </w:t>
            </w:r>
            <w:r w:rsidR="000D7657">
              <w:t>two</w:t>
            </w:r>
            <w:r w:rsidR="004467AF">
              <w:t xml:space="preserve"> </w:t>
            </w:r>
            <w:r>
              <w:t xml:space="preserve">chronic feeding studies </w:t>
            </w:r>
            <w:r w:rsidR="004467AF">
              <w:t xml:space="preserve">at </w:t>
            </w:r>
            <w:r w:rsidR="0074795F">
              <w:t xml:space="preserve">0, </w:t>
            </w:r>
            <w:r w:rsidR="004467AF">
              <w:t>1.5, 13.6 and 15 mg/kg/d (rats, 2 yr)</w:t>
            </w:r>
            <w:r w:rsidR="0074795F">
              <w:t>.</w:t>
            </w:r>
          </w:p>
          <w:p w14:paraId="290B4C19" w14:textId="1CB6FF26" w:rsidR="00FB24AD" w:rsidRDefault="00FB24AD" w:rsidP="00C21DC3">
            <w:pPr>
              <w:pStyle w:val="Tabletextprimarysource"/>
              <w:numPr>
                <w:ilvl w:val="1"/>
                <w:numId w:val="1"/>
              </w:numPr>
              <w:spacing w:before="80" w:after="80" w:line="23" w:lineRule="atLeast"/>
            </w:pPr>
            <w:r>
              <w:t>d</w:t>
            </w:r>
            <w:r w:rsidR="004467AF">
              <w:t xml:space="preserve">ecreased </w:t>
            </w:r>
            <w:proofErr w:type="spellStart"/>
            <w:r>
              <w:t>bw</w:t>
            </w:r>
            <w:proofErr w:type="spellEnd"/>
            <w:r w:rsidR="004467AF">
              <w:t xml:space="preserve"> </w:t>
            </w:r>
            <w:r w:rsidR="000D7657">
              <w:t xml:space="preserve">reported </w:t>
            </w:r>
            <w:r w:rsidR="004467AF">
              <w:t>in both studies at 13.6 and 15 mg/kg/d and increased mortality at 13.6</w:t>
            </w:r>
            <w:r w:rsidR="00D10DBE">
              <w:t> </w:t>
            </w:r>
            <w:r w:rsidR="004467AF">
              <w:t xml:space="preserve">mg/kg/d </w:t>
            </w:r>
            <w:r w:rsidR="002367E2">
              <w:t xml:space="preserve">reported </w:t>
            </w:r>
            <w:r w:rsidR="004467AF">
              <w:t xml:space="preserve">in </w:t>
            </w:r>
            <w:r w:rsidR="0074795F">
              <w:t xml:space="preserve">one </w:t>
            </w:r>
            <w:r w:rsidR="004467AF">
              <w:t>study</w:t>
            </w:r>
          </w:p>
          <w:p w14:paraId="0A46FE31" w14:textId="336710D3" w:rsidR="00BD39E3" w:rsidRDefault="0074795F" w:rsidP="00C21DC3">
            <w:pPr>
              <w:pStyle w:val="Tabletextprimarysource"/>
              <w:numPr>
                <w:ilvl w:val="1"/>
                <w:numId w:val="1"/>
              </w:numPr>
              <w:spacing w:before="80" w:after="80" w:line="23" w:lineRule="atLeast"/>
            </w:pPr>
            <w:r>
              <w:t>NOAEL of 1.5 mg/kg/d</w:t>
            </w:r>
            <w:r w:rsidR="000D7657">
              <w:t>:</w:t>
            </w:r>
          </w:p>
          <w:p w14:paraId="04915B05" w14:textId="269D16E0" w:rsidR="003D6457" w:rsidRDefault="00722F00" w:rsidP="00C21DC3">
            <w:pPr>
              <w:pStyle w:val="Tabletextprimarysource"/>
              <w:numPr>
                <w:ilvl w:val="1"/>
                <w:numId w:val="1"/>
              </w:numPr>
              <w:spacing w:before="80" w:after="80" w:line="23" w:lineRule="atLeast"/>
            </w:pPr>
            <w:r>
              <w:t>t</w:t>
            </w:r>
            <w:r w:rsidR="006C014D">
              <w:t>umour promoting effect</w:t>
            </w:r>
            <w:r w:rsidR="00213C45">
              <w:t xml:space="preserve"> potentially due to impairment of fatty acid metabolism and subsequent over expression of </w:t>
            </w:r>
            <w:r w:rsidR="001D0D0C">
              <w:t xml:space="preserve">peroxisome proliferation </w:t>
            </w:r>
            <w:r w:rsidR="00213C45">
              <w:t xml:space="preserve">genes </w:t>
            </w:r>
            <w:r w:rsidR="006C014D">
              <w:t>in liver</w:t>
            </w:r>
            <w:r w:rsidR="009A4B41">
              <w:t xml:space="preserve"> (rats</w:t>
            </w:r>
            <w:r w:rsidR="004C4CE5">
              <w:t>, mice</w:t>
            </w:r>
            <w:r w:rsidR="009A4B41">
              <w:t>)</w:t>
            </w:r>
          </w:p>
          <w:p w14:paraId="25CD6A35" w14:textId="73EA5CF0" w:rsidR="00FB24AD" w:rsidRDefault="00446B91" w:rsidP="00C21DC3">
            <w:pPr>
              <w:pStyle w:val="Tabletextprimarysource"/>
              <w:numPr>
                <w:ilvl w:val="0"/>
                <w:numId w:val="1"/>
              </w:numPr>
              <w:spacing w:before="80" w:after="80" w:line="23" w:lineRule="atLeast"/>
            </w:pPr>
            <w:r>
              <w:t>NOAEL</w:t>
            </w:r>
            <w:r w:rsidR="0074795F">
              <w:t xml:space="preserve"> of </w:t>
            </w:r>
            <w:r>
              <w:t xml:space="preserve">30 mg/kg/d and 10 mg/kg/d for </w:t>
            </w:r>
            <w:r w:rsidR="0074795F">
              <w:t xml:space="preserve">fertility and </w:t>
            </w:r>
            <w:r>
              <w:t xml:space="preserve">developmental toxicity, </w:t>
            </w:r>
            <w:r w:rsidR="0074795F">
              <w:t>respectively, for</w:t>
            </w:r>
            <w:r>
              <w:t xml:space="preserve"> reduced </w:t>
            </w:r>
            <w:proofErr w:type="spellStart"/>
            <w:r w:rsidR="00FB24AD">
              <w:t>bw</w:t>
            </w:r>
            <w:proofErr w:type="spellEnd"/>
            <w:r>
              <w:t xml:space="preserve"> a</w:t>
            </w:r>
            <w:r w:rsidR="0074795F">
              <w:t>n</w:t>
            </w:r>
            <w:r>
              <w:t>d viability in 2-genrepeat gavage study (rats</w:t>
            </w:r>
            <w:r w:rsidR="00FB24AD">
              <w:t>)</w:t>
            </w:r>
          </w:p>
          <w:p w14:paraId="715E2E99" w14:textId="00FC5C20" w:rsidR="00FB24AD" w:rsidRDefault="00446B91" w:rsidP="00C21DC3">
            <w:pPr>
              <w:pStyle w:val="Tabletextprimarysource"/>
              <w:numPr>
                <w:ilvl w:val="1"/>
                <w:numId w:val="1"/>
              </w:numPr>
              <w:spacing w:before="80" w:after="80" w:line="23" w:lineRule="atLeast"/>
            </w:pPr>
            <w:r>
              <w:t>F</w:t>
            </w:r>
            <w:r w:rsidRPr="00446B91">
              <w:rPr>
                <w:vertAlign w:val="subscript"/>
              </w:rPr>
              <w:t>0</w:t>
            </w:r>
            <w:r>
              <w:t xml:space="preserve"> exposed from </w:t>
            </w:r>
            <w:r w:rsidR="007F6AD1">
              <w:t xml:space="preserve">for </w:t>
            </w:r>
            <w:r w:rsidR="007F6AD1">
              <w:rPr>
                <w:rFonts w:cs="Arial"/>
              </w:rPr>
              <w:t>≈</w:t>
            </w:r>
            <w:r w:rsidR="007F6AD1">
              <w:t xml:space="preserve">30 d from </w:t>
            </w:r>
            <w:proofErr w:type="spellStart"/>
            <w:r w:rsidR="007F6AD1">
              <w:t>wk</w:t>
            </w:r>
            <w:proofErr w:type="spellEnd"/>
            <w:r w:rsidR="007F6AD1">
              <w:t xml:space="preserve"> 6–10 </w:t>
            </w:r>
            <w:r>
              <w:t>of age</w:t>
            </w:r>
          </w:p>
          <w:p w14:paraId="328AA26F" w14:textId="6C66F1B1" w:rsidR="00FB24AD" w:rsidRDefault="00446B91" w:rsidP="00C21DC3">
            <w:pPr>
              <w:pStyle w:val="Tabletextprimarysource"/>
              <w:numPr>
                <w:ilvl w:val="1"/>
                <w:numId w:val="1"/>
              </w:numPr>
              <w:spacing w:before="80" w:after="80" w:line="23" w:lineRule="atLeast"/>
            </w:pPr>
            <w:r>
              <w:t>F</w:t>
            </w:r>
            <w:r>
              <w:rPr>
                <w:vertAlign w:val="subscript"/>
              </w:rPr>
              <w:t>1</w:t>
            </w:r>
            <w:r>
              <w:t xml:space="preserve"> and F</w:t>
            </w:r>
            <w:r>
              <w:rPr>
                <w:vertAlign w:val="subscript"/>
              </w:rPr>
              <w:t>2</w:t>
            </w:r>
            <w:r>
              <w:t xml:space="preserve"> exposed from </w:t>
            </w:r>
            <w:proofErr w:type="spellStart"/>
            <w:r>
              <w:t>wk</w:t>
            </w:r>
            <w:proofErr w:type="spellEnd"/>
            <w:r>
              <w:t xml:space="preserve"> 3 of age</w:t>
            </w:r>
            <w:r w:rsidR="007F6AD1">
              <w:t xml:space="preserve"> onward</w:t>
            </w:r>
            <w:r w:rsidR="00FB24AD">
              <w:t>s</w:t>
            </w:r>
          </w:p>
          <w:p w14:paraId="2F4D3831" w14:textId="06D77090" w:rsidR="00FB24AD" w:rsidRDefault="00FB24AD" w:rsidP="00C21DC3">
            <w:pPr>
              <w:pStyle w:val="Tabletextprimarysource"/>
              <w:numPr>
                <w:ilvl w:val="1"/>
                <w:numId w:val="1"/>
              </w:numPr>
              <w:spacing w:before="80" w:after="80" w:line="23" w:lineRule="atLeast"/>
            </w:pPr>
            <w:r>
              <w:t>i</w:t>
            </w:r>
            <w:r w:rsidR="0078490E">
              <w:t xml:space="preserve">ncreased </w:t>
            </w:r>
            <w:r w:rsidR="00446B91">
              <w:t xml:space="preserve">liver and kidney weights </w:t>
            </w:r>
            <w:r w:rsidR="00EF482B">
              <w:t xml:space="preserve">reported </w:t>
            </w:r>
            <w:r w:rsidR="00446B91">
              <w:t xml:space="preserve">in all males </w:t>
            </w:r>
            <w:r w:rsidR="0078490E">
              <w:t xml:space="preserve">at doses </w:t>
            </w:r>
            <w:r w:rsidR="00446B91">
              <w:rPr>
                <w:rFonts w:cs="Arial"/>
              </w:rPr>
              <w:t>≥</w:t>
            </w:r>
            <w:r w:rsidR="00446B91">
              <w:t>1 mg/kg/d (lowest tested dose)</w:t>
            </w:r>
          </w:p>
          <w:p w14:paraId="0DA7CE09" w14:textId="1205F325" w:rsidR="00446B91" w:rsidRDefault="002674A9" w:rsidP="00C21DC3">
            <w:pPr>
              <w:pStyle w:val="Tabletextprimarysource"/>
              <w:numPr>
                <w:ilvl w:val="1"/>
                <w:numId w:val="1"/>
              </w:numPr>
              <w:spacing w:before="80" w:after="80" w:line="23" w:lineRule="atLeast"/>
            </w:pPr>
            <w:r>
              <w:t>considered a LOAEL for general toxicity by cited article</w:t>
            </w:r>
          </w:p>
          <w:p w14:paraId="1306F696" w14:textId="66E45820" w:rsidR="00AC3B5B" w:rsidRDefault="00AC3B5B" w:rsidP="00C21DC3">
            <w:pPr>
              <w:pStyle w:val="Tabletextprimarysource"/>
              <w:numPr>
                <w:ilvl w:val="0"/>
                <w:numId w:val="1"/>
              </w:numPr>
              <w:spacing w:before="80" w:after="80" w:line="23" w:lineRule="atLeast"/>
            </w:pPr>
            <w:r>
              <w:t>NOAEL</w:t>
            </w:r>
            <w:r w:rsidR="0078490E">
              <w:t xml:space="preserve"> of </w:t>
            </w:r>
            <w:r>
              <w:t>5 mg/kg/d for increased incidence of extra ribs</w:t>
            </w:r>
            <w:r w:rsidR="0078490E">
              <w:t xml:space="preserve"> and 50 mg/kg/d for dams (highest tested dose) </w:t>
            </w:r>
            <w:r>
              <w:t>in developmental gavage study (rabbits, GD 6–18)</w:t>
            </w:r>
          </w:p>
          <w:p w14:paraId="2E4E3553" w14:textId="1B9C4C8A" w:rsidR="004467AF" w:rsidRDefault="004467AF" w:rsidP="00C21DC3">
            <w:pPr>
              <w:pStyle w:val="Tabletextprimarysource"/>
              <w:numPr>
                <w:ilvl w:val="0"/>
                <w:numId w:val="1"/>
              </w:numPr>
              <w:spacing w:before="80" w:after="80" w:line="23" w:lineRule="atLeast"/>
            </w:pPr>
            <w:r>
              <w:t xml:space="preserve">Not considered genotoxic </w:t>
            </w:r>
            <w:r w:rsidR="00182278">
              <w:t xml:space="preserve">based on negative results </w:t>
            </w:r>
            <w:r w:rsidR="00182278">
              <w:rPr>
                <w:i/>
              </w:rPr>
              <w:t>in vitro</w:t>
            </w:r>
            <w:r w:rsidR="00182278">
              <w:t xml:space="preserve"> with bacteria and Chinese hamster ovarian cells and </w:t>
            </w:r>
            <w:r w:rsidR="00182278">
              <w:rPr>
                <w:i/>
              </w:rPr>
              <w:t xml:space="preserve">in vivo </w:t>
            </w:r>
            <w:r w:rsidR="00182278">
              <w:t>with mice</w:t>
            </w:r>
            <w:r w:rsidR="002F21C0">
              <w:t>.</w:t>
            </w:r>
          </w:p>
          <w:p w14:paraId="45121445" w14:textId="77777777" w:rsidR="00C21DC3" w:rsidRDefault="00C21DC3" w:rsidP="00C21DC3">
            <w:pPr>
              <w:pStyle w:val="Tabletextprimarysource"/>
              <w:spacing w:before="80" w:after="80" w:line="23" w:lineRule="atLeast"/>
            </w:pPr>
          </w:p>
          <w:p w14:paraId="5F6D38EB" w14:textId="03EA0D6F" w:rsidR="00BC6784" w:rsidRDefault="00BC6784" w:rsidP="00C21DC3">
            <w:pPr>
              <w:pStyle w:val="Tabletextprimarysource"/>
              <w:spacing w:before="80" w:after="80" w:line="23" w:lineRule="atLeast"/>
            </w:pPr>
            <w:r>
              <w:t>Insufficient data to recommend a sensitiser notation.</w:t>
            </w:r>
          </w:p>
          <w:p w14:paraId="582D92AA" w14:textId="654D3EC0" w:rsidR="00E6335B" w:rsidRPr="00555E4C" w:rsidRDefault="00E6335B" w:rsidP="00C21DC3">
            <w:pPr>
              <w:pStyle w:val="Tabletextprimarysource"/>
              <w:spacing w:before="80" w:after="80" w:line="23" w:lineRule="atLeast"/>
            </w:pPr>
          </w:p>
        </w:tc>
      </w:tr>
      <w:tr w:rsidR="00C978F0" w:rsidRPr="00DA352E" w14:paraId="4DBD5AD8" w14:textId="77777777" w:rsidTr="008B1015">
        <w:trPr>
          <w:gridAfter w:val="1"/>
          <w:wAfter w:w="8" w:type="pct"/>
        </w:trPr>
        <w:tc>
          <w:tcPr>
            <w:tcW w:w="4992" w:type="pct"/>
            <w:shd w:val="clear" w:color="auto" w:fill="F2F2F2" w:themeFill="background1" w:themeFillShade="F2"/>
          </w:tcPr>
          <w:p w14:paraId="7ADEBB1E" w14:textId="2F694891" w:rsidR="00C978F0" w:rsidRPr="00DA352E" w:rsidRDefault="00DA352E" w:rsidP="0051509C">
            <w:pPr>
              <w:pStyle w:val="Tablerowheadingitalic"/>
              <w:tabs>
                <w:tab w:val="clear" w:pos="2268"/>
                <w:tab w:val="clear" w:pos="5670"/>
                <w:tab w:val="left" w:pos="1418"/>
                <w:tab w:val="left" w:pos="2552"/>
              </w:tabs>
            </w:pPr>
            <w:r w:rsidRPr="00DA352E">
              <w:lastRenderedPageBreak/>
              <w:t>SCOEL</w:t>
            </w:r>
            <w:r w:rsidR="00916EC0" w:rsidRPr="003365A5">
              <w:t xml:space="preserve"> </w:t>
            </w:r>
            <w:r w:rsidR="00916EC0" w:rsidRPr="003365A5">
              <w:tab/>
            </w:r>
            <w:sdt>
              <w:sdtPr>
                <w:id w:val="-768699850"/>
                <w:placeholder>
                  <w:docPart w:val="FDC2A24E7D2549238DA6EE03BD0A6AE0"/>
                </w:placeholder>
                <w:text/>
              </w:sdtPr>
              <w:sdtEndPr/>
              <w:sdtContent>
                <w:r w:rsidR="00CF210E">
                  <w:t>NA</w:t>
                </w:r>
              </w:sdtContent>
            </w:sdt>
            <w:r w:rsidR="00916EC0" w:rsidRPr="003365A5">
              <w:tab/>
            </w:r>
            <w:r w:rsidR="0051509C">
              <w:tab/>
            </w:r>
            <w:sdt>
              <w:sdtPr>
                <w:alias w:val="SCOEL WES equivalent"/>
                <w:tag w:val="SCOEL WES equivalent"/>
                <w:id w:val="-1474213062"/>
                <w:placeholder>
                  <w:docPart w:val="9E827C9D0DA949E385F2E9AB4264125E"/>
                </w:placeholder>
              </w:sdtPr>
              <w:sdtEndPr/>
              <w:sdtContent>
                <w:proofErr w:type="spellStart"/>
                <w:r w:rsidR="00CF210E">
                  <w:t>NA</w:t>
                </w:r>
                <w:proofErr w:type="spellEnd"/>
              </w:sdtContent>
            </w:sdt>
          </w:p>
        </w:tc>
      </w:tr>
      <w:tr w:rsidR="00C978F0" w:rsidRPr="00DA352E" w14:paraId="2C94A321" w14:textId="77777777" w:rsidTr="008B1015">
        <w:trPr>
          <w:gridAfter w:val="1"/>
          <w:wAfter w:w="8" w:type="pct"/>
        </w:trPr>
        <w:tc>
          <w:tcPr>
            <w:tcW w:w="4992" w:type="pct"/>
          </w:tcPr>
          <w:p w14:paraId="7452EE80" w14:textId="563115BC" w:rsidR="00C978F0" w:rsidRPr="00DA352E" w:rsidRDefault="00CF210E" w:rsidP="003365A5">
            <w:pPr>
              <w:pStyle w:val="Tabletextprimarysource"/>
            </w:pPr>
            <w:r>
              <w:t>No report</w:t>
            </w:r>
            <w:r w:rsidR="002F21C0">
              <w:t>.</w:t>
            </w:r>
          </w:p>
        </w:tc>
      </w:tr>
      <w:tr w:rsidR="00DA352E" w:rsidRPr="00DA352E" w14:paraId="6EADD23D" w14:textId="77777777" w:rsidTr="008B1015">
        <w:trPr>
          <w:gridAfter w:val="1"/>
          <w:wAfter w:w="8" w:type="pct"/>
        </w:trPr>
        <w:tc>
          <w:tcPr>
            <w:tcW w:w="4992" w:type="pct"/>
            <w:shd w:val="clear" w:color="auto" w:fill="F2F2F2" w:themeFill="background1" w:themeFillShade="F2"/>
          </w:tcPr>
          <w:p w14:paraId="5D4301ED" w14:textId="378C4794" w:rsidR="00DA352E" w:rsidRPr="00DA352E" w:rsidRDefault="00DA352E" w:rsidP="0051509C">
            <w:pPr>
              <w:pStyle w:val="Tablerowheadingitalic"/>
              <w:tabs>
                <w:tab w:val="clear" w:pos="2268"/>
                <w:tab w:val="clear" w:pos="5670"/>
                <w:tab w:val="left" w:pos="1418"/>
                <w:tab w:val="left" w:pos="2552"/>
              </w:tabs>
            </w:pPr>
            <w:r w:rsidRPr="00DA352E">
              <w:t>OARS/AIHA</w:t>
            </w:r>
            <w:r w:rsidR="00916EC0" w:rsidRPr="003365A5">
              <w:t xml:space="preserve"> </w:t>
            </w:r>
            <w:r w:rsidR="00916EC0" w:rsidRPr="003365A5">
              <w:tab/>
            </w:r>
            <w:sdt>
              <w:sdtPr>
                <w:id w:val="-936748013"/>
                <w:placeholder>
                  <w:docPart w:val="47E4EC2DB10B4B8E8A66F7A5C13653CB"/>
                </w:placeholder>
                <w:text/>
              </w:sdtPr>
              <w:sdtEndPr/>
              <w:sdtContent>
                <w:r w:rsidR="00CF210E">
                  <w:t>NA</w:t>
                </w:r>
              </w:sdtContent>
            </w:sdt>
            <w:r w:rsidR="00916EC0" w:rsidRPr="003365A5">
              <w:tab/>
            </w:r>
            <w:r w:rsidR="0051509C">
              <w:tab/>
            </w:r>
            <w:sdt>
              <w:sdtPr>
                <w:alias w:val="OARS/AIHA WES equivalent"/>
                <w:tag w:val="OARS/AIHA WES equivalent"/>
                <w:id w:val="-1320338798"/>
                <w:placeholder>
                  <w:docPart w:val="5E4DD00C3A334F93BF5CC79754EBC5EA"/>
                </w:placeholder>
              </w:sdtPr>
              <w:sdtEndPr/>
              <w:sdtContent>
                <w:proofErr w:type="spellStart"/>
                <w:r w:rsidR="00CF210E">
                  <w:t>NA</w:t>
                </w:r>
                <w:proofErr w:type="spellEnd"/>
              </w:sdtContent>
            </w:sdt>
          </w:p>
        </w:tc>
      </w:tr>
      <w:tr w:rsidR="00DA352E" w:rsidRPr="00DA352E" w14:paraId="1FDA2763" w14:textId="77777777" w:rsidTr="008B1015">
        <w:trPr>
          <w:gridAfter w:val="1"/>
          <w:wAfter w:w="8" w:type="pct"/>
        </w:trPr>
        <w:tc>
          <w:tcPr>
            <w:tcW w:w="4992" w:type="pct"/>
          </w:tcPr>
          <w:p w14:paraId="1D6752A4" w14:textId="341BB1B4" w:rsidR="00DA352E" w:rsidRPr="00DA352E" w:rsidRDefault="00CF210E" w:rsidP="003365A5">
            <w:pPr>
              <w:pStyle w:val="Tabletextprimarysource"/>
            </w:pPr>
            <w:r>
              <w:t>No report</w:t>
            </w:r>
            <w:r w:rsidR="002F21C0">
              <w:t>.</w:t>
            </w:r>
          </w:p>
        </w:tc>
      </w:tr>
      <w:tr w:rsidR="00DA352E" w:rsidRPr="00DA352E" w14:paraId="340C8A49" w14:textId="77777777" w:rsidTr="008B1015">
        <w:trPr>
          <w:gridAfter w:val="1"/>
          <w:wAfter w:w="8" w:type="pct"/>
        </w:trPr>
        <w:tc>
          <w:tcPr>
            <w:tcW w:w="4992" w:type="pct"/>
            <w:shd w:val="clear" w:color="auto" w:fill="F2F2F2" w:themeFill="background1" w:themeFillShade="F2"/>
          </w:tcPr>
          <w:p w14:paraId="0F25B139" w14:textId="7C79C7EA" w:rsidR="00DA352E" w:rsidRPr="00DA352E" w:rsidRDefault="00DA352E" w:rsidP="0051509C">
            <w:pPr>
              <w:pStyle w:val="Tablerowheadingitalic"/>
              <w:tabs>
                <w:tab w:val="clear" w:pos="2268"/>
                <w:tab w:val="clear" w:pos="5670"/>
                <w:tab w:val="left" w:pos="1418"/>
                <w:tab w:val="left" w:pos="2552"/>
              </w:tabs>
            </w:pPr>
            <w:r w:rsidRPr="00DA352E">
              <w:t>HCOTN</w:t>
            </w:r>
            <w:r w:rsidR="00916EC0" w:rsidRPr="003365A5">
              <w:t xml:space="preserve"> </w:t>
            </w:r>
            <w:r w:rsidR="00916EC0" w:rsidRPr="003365A5">
              <w:tab/>
            </w:r>
            <w:sdt>
              <w:sdtPr>
                <w:id w:val="1543090908"/>
                <w:placeholder>
                  <w:docPart w:val="EA1708404F1C4A3BB080A0D8EEB67D1D"/>
                </w:placeholder>
                <w:text/>
              </w:sdtPr>
              <w:sdtEndPr/>
              <w:sdtContent>
                <w:r w:rsidR="00B662D9">
                  <w:t>2013</w:t>
                </w:r>
              </w:sdtContent>
            </w:sdt>
            <w:r w:rsidR="00916EC0" w:rsidRPr="003365A5">
              <w:tab/>
            </w:r>
            <w:r w:rsidR="0051509C">
              <w:tab/>
            </w:r>
            <w:sdt>
              <w:sdtPr>
                <w:alias w:val="HCOTN WES equivalent"/>
                <w:tag w:val="HCOTN WES equivalent"/>
                <w:id w:val="1471562734"/>
                <w:placeholder>
                  <w:docPart w:val="F3D4204BA37A4A21A656C76DA4274412"/>
                </w:placeholder>
              </w:sdtPr>
              <w:sdtEndPr/>
              <w:sdtContent>
                <w:r w:rsidR="004D0AA5">
                  <w:t>N</w:t>
                </w:r>
                <w:r w:rsidR="00B662D9">
                  <w:t>ot established</w:t>
                </w:r>
              </w:sdtContent>
            </w:sdt>
          </w:p>
        </w:tc>
      </w:tr>
      <w:tr w:rsidR="00DA352E" w:rsidRPr="00DA352E" w14:paraId="0E339117" w14:textId="77777777" w:rsidTr="008B1015">
        <w:trPr>
          <w:gridAfter w:val="1"/>
          <w:wAfter w:w="8" w:type="pct"/>
        </w:trPr>
        <w:tc>
          <w:tcPr>
            <w:tcW w:w="4992" w:type="pct"/>
          </w:tcPr>
          <w:p w14:paraId="4B31E4A0" w14:textId="3AEC8E80" w:rsidR="00DA352E" w:rsidRDefault="00443CD9" w:rsidP="00DE6B4E">
            <w:pPr>
              <w:pStyle w:val="Tabletextprimarysource"/>
              <w:spacing w:before="80" w:after="80"/>
            </w:pPr>
            <w:r>
              <w:t>Summary of additional information</w:t>
            </w:r>
            <w:r w:rsidR="000D7657">
              <w:t>:</w:t>
            </w:r>
          </w:p>
          <w:p w14:paraId="0F49DE8A" w14:textId="77777777" w:rsidR="0000140F" w:rsidRDefault="006F6603" w:rsidP="0000140F">
            <w:pPr>
              <w:pStyle w:val="Tabletextprimarysource"/>
              <w:spacing w:before="80" w:after="80"/>
            </w:pPr>
            <w:r>
              <w:lastRenderedPageBreak/>
              <w:t>Available report only assesses carcinogenic potential</w:t>
            </w:r>
            <w:r w:rsidR="0013295E">
              <w:t xml:space="preserve"> of PFOA/APFO</w:t>
            </w:r>
            <w:r>
              <w:t xml:space="preserve">; no OEL derivation/recommendation is considered or </w:t>
            </w:r>
            <w:r w:rsidR="00EF482B">
              <w:t>derived</w:t>
            </w:r>
            <w:r>
              <w:t xml:space="preserve">. </w:t>
            </w:r>
          </w:p>
          <w:p w14:paraId="625A77BD" w14:textId="7FB9A05C" w:rsidR="00443CD9" w:rsidRDefault="006F6603" w:rsidP="00DE6B4E">
            <w:pPr>
              <w:pStyle w:val="Tabletextprimarysource"/>
              <w:spacing w:before="80" w:after="80"/>
            </w:pPr>
            <w:r>
              <w:t>Available data are i</w:t>
            </w:r>
            <w:r w:rsidR="00443CD9">
              <w:t>nsufficient to assess carcinogenicity in humans (category 3)</w:t>
            </w:r>
            <w:r w:rsidR="006D1DE1">
              <w:t>.</w:t>
            </w:r>
          </w:p>
          <w:p w14:paraId="3812A57E" w14:textId="06865C8B" w:rsidR="006F6603" w:rsidRDefault="006F6603" w:rsidP="00DE6B4E">
            <w:pPr>
              <w:pStyle w:val="Tabletextprimarysource"/>
              <w:spacing w:before="80" w:after="80"/>
            </w:pPr>
            <w:r>
              <w:t>Human data</w:t>
            </w:r>
            <w:r w:rsidR="000D7657">
              <w:t>:</w:t>
            </w:r>
          </w:p>
          <w:p w14:paraId="1A5881E3" w14:textId="6115AF38" w:rsidR="00E96950" w:rsidRDefault="006F6603" w:rsidP="00DE6B4E">
            <w:pPr>
              <w:pStyle w:val="Tabletextprimarysource"/>
              <w:numPr>
                <w:ilvl w:val="0"/>
                <w:numId w:val="1"/>
              </w:numPr>
              <w:spacing w:before="80" w:after="80" w:line="276" w:lineRule="auto"/>
            </w:pPr>
            <w:r>
              <w:t>Several epidemiological studies of production plant workers</w:t>
            </w:r>
            <w:r w:rsidR="006D1DE1">
              <w:t>,</w:t>
            </w:r>
            <w:r>
              <w:t xml:space="preserve"> </w:t>
            </w:r>
            <w:r w:rsidR="00D27743">
              <w:t xml:space="preserve">exposed primarily to APFO </w:t>
            </w:r>
            <w:r>
              <w:t>(</w:t>
            </w:r>
            <w:r w:rsidR="00E96950">
              <w:t>6</w:t>
            </w:r>
            <w:r>
              <w:t xml:space="preserve">), nearby </w:t>
            </w:r>
            <w:r w:rsidR="00AA445D">
              <w:t>populations</w:t>
            </w:r>
            <w:r>
              <w:t xml:space="preserve"> </w:t>
            </w:r>
            <w:r w:rsidR="00D27743">
              <w:t xml:space="preserve">exposed </w:t>
            </w:r>
            <w:r w:rsidR="006D1DE1" w:rsidRPr="00DE6B4E">
              <w:rPr>
                <w:i/>
                <w:iCs/>
              </w:rPr>
              <w:t>via</w:t>
            </w:r>
            <w:r w:rsidR="00D27743">
              <w:t xml:space="preserve"> drinking water </w:t>
            </w:r>
            <w:r>
              <w:t xml:space="preserve">(2), and general population (3) were considered in </w:t>
            </w:r>
            <w:r w:rsidR="00D10DBE">
              <w:t xml:space="preserve">the </w:t>
            </w:r>
            <w:r>
              <w:t>assessment</w:t>
            </w:r>
            <w:r w:rsidR="00E6335B">
              <w:t>:</w:t>
            </w:r>
          </w:p>
          <w:p w14:paraId="37D0A803" w14:textId="77777777" w:rsidR="00D10DBE" w:rsidRDefault="00E96950" w:rsidP="00DE6B4E">
            <w:pPr>
              <w:pStyle w:val="Tabletextprimarysource"/>
              <w:numPr>
                <w:ilvl w:val="1"/>
                <w:numId w:val="1"/>
              </w:numPr>
              <w:spacing w:before="80" w:after="80" w:line="276" w:lineRule="auto"/>
              <w:ind w:left="1151" w:hanging="357"/>
            </w:pPr>
            <w:proofErr w:type="gramStart"/>
            <w:r>
              <w:t>overall</w:t>
            </w:r>
            <w:proofErr w:type="gramEnd"/>
            <w:r>
              <w:t xml:space="preserve"> no specific cancer type is consistently associated with exposure</w:t>
            </w:r>
          </w:p>
          <w:p w14:paraId="53C3EB90" w14:textId="1E9E9678" w:rsidR="00E96950" w:rsidRDefault="0000140F" w:rsidP="00DE6B4E">
            <w:pPr>
              <w:pStyle w:val="Tabletextprimarysource"/>
              <w:numPr>
                <w:ilvl w:val="1"/>
                <w:numId w:val="1"/>
              </w:numPr>
              <w:spacing w:before="80" w:after="80" w:line="276" w:lineRule="auto"/>
              <w:ind w:left="1151" w:hanging="357"/>
            </w:pPr>
            <w:r>
              <w:t>a</w:t>
            </w:r>
            <w:r w:rsidR="00D10DBE">
              <w:t xml:space="preserve"> slight, but statistically significant, excess in k</w:t>
            </w:r>
            <w:r w:rsidR="00E96950">
              <w:t xml:space="preserve">idney cancer </w:t>
            </w:r>
            <w:r w:rsidR="00D10DBE">
              <w:t xml:space="preserve">considered </w:t>
            </w:r>
            <w:r w:rsidR="00E96950">
              <w:t xml:space="preserve">of highest concern </w:t>
            </w:r>
            <w:r w:rsidR="00D10DBE">
              <w:t xml:space="preserve">for </w:t>
            </w:r>
            <w:r w:rsidR="00E96950">
              <w:t xml:space="preserve">workers </w:t>
            </w:r>
            <w:r w:rsidR="00D10DBE">
              <w:t>exposed at</w:t>
            </w:r>
            <w:r w:rsidR="006D1DE1">
              <w:t xml:space="preserve"> </w:t>
            </w:r>
            <w:r w:rsidR="0091347B">
              <w:t xml:space="preserve">the highest exposure quartile in </w:t>
            </w:r>
            <w:r w:rsidR="00D10DBE">
              <w:t xml:space="preserve">one </w:t>
            </w:r>
            <w:r w:rsidR="006D1DE1">
              <w:t>population</w:t>
            </w:r>
            <w:r w:rsidR="0091347B">
              <w:t xml:space="preserve"> study (exposure details not specified</w:t>
            </w:r>
            <w:r w:rsidR="006D1DE1">
              <w:t>)</w:t>
            </w:r>
          </w:p>
          <w:p w14:paraId="3BA2156A" w14:textId="6B98E462" w:rsidR="00095525" w:rsidRDefault="00095525" w:rsidP="00DE6B4E">
            <w:pPr>
              <w:pStyle w:val="Tabletextprimarysource"/>
              <w:numPr>
                <w:ilvl w:val="0"/>
                <w:numId w:val="1"/>
              </w:numPr>
              <w:spacing w:before="80" w:after="80" w:line="276" w:lineRule="auto"/>
            </w:pPr>
            <w:r>
              <w:t>Workplace studies (</w:t>
            </w:r>
            <w:r w:rsidR="007F6AD1">
              <w:t xml:space="preserve">sample sizes </w:t>
            </w:r>
            <w:r>
              <w:t>n</w:t>
            </w:r>
            <w:r w:rsidR="00082848">
              <w:rPr>
                <w:rFonts w:cs="Arial"/>
              </w:rPr>
              <w:t>≈</w:t>
            </w:r>
            <w:r>
              <w:t>3,000–6,000)</w:t>
            </w:r>
            <w:r w:rsidR="000D7657">
              <w:t>:</w:t>
            </w:r>
          </w:p>
          <w:p w14:paraId="657888B3" w14:textId="083EFC42" w:rsidR="006F6603" w:rsidRDefault="00D27743" w:rsidP="00DE6B4E">
            <w:pPr>
              <w:pStyle w:val="Tabletextprimarysource"/>
              <w:numPr>
                <w:ilvl w:val="1"/>
                <w:numId w:val="1"/>
              </w:numPr>
              <w:spacing w:before="80" w:after="80" w:line="276" w:lineRule="auto"/>
              <w:ind w:left="1151" w:hanging="357"/>
            </w:pPr>
            <w:r>
              <w:t>SMR for all causes, including cancer, generally reported near unity</w:t>
            </w:r>
            <w:r w:rsidR="0091347B">
              <w:t xml:space="preserve"> in all studies</w:t>
            </w:r>
          </w:p>
          <w:p w14:paraId="63F6B6D9" w14:textId="77777777" w:rsidR="00C21DC3" w:rsidRDefault="00D27743" w:rsidP="00DE6B4E">
            <w:pPr>
              <w:pStyle w:val="Tabletextprimarysource"/>
              <w:numPr>
                <w:ilvl w:val="1"/>
                <w:numId w:val="1"/>
              </w:numPr>
              <w:spacing w:before="80" w:after="80" w:line="276" w:lineRule="auto"/>
              <w:ind w:left="1151" w:hanging="357"/>
            </w:pPr>
            <w:r>
              <w:t xml:space="preserve">inconsistencies in categorisation of exposure groups complicates comparison </w:t>
            </w:r>
            <w:r w:rsidR="00095525">
              <w:t xml:space="preserve">of </w:t>
            </w:r>
            <w:r w:rsidR="00D308BA">
              <w:t xml:space="preserve">reported </w:t>
            </w:r>
            <w:r w:rsidR="00095525">
              <w:t>studies</w:t>
            </w:r>
          </w:p>
          <w:p w14:paraId="50B21917" w14:textId="46D1C582" w:rsidR="00095525" w:rsidRDefault="00D308BA" w:rsidP="00DE6B4E">
            <w:pPr>
              <w:pStyle w:val="Tabletextprimarysource"/>
              <w:numPr>
                <w:ilvl w:val="1"/>
                <w:numId w:val="1"/>
              </w:numPr>
              <w:spacing w:before="80" w:after="80" w:line="276" w:lineRule="auto"/>
              <w:ind w:left="1151" w:hanging="357"/>
            </w:pPr>
            <w:r>
              <w:t xml:space="preserve">SMR for the </w:t>
            </w:r>
            <w:r w:rsidR="00095525">
              <w:t xml:space="preserve">internal </w:t>
            </w:r>
            <w:r>
              <w:t xml:space="preserve">control </w:t>
            </w:r>
            <w:r w:rsidR="00095525">
              <w:t>groups used in 2 studies</w:t>
            </w:r>
            <w:r>
              <w:t xml:space="preserve"> were</w:t>
            </w:r>
            <w:r w:rsidR="00095525">
              <w:t xml:space="preserve"> markedly </w:t>
            </w:r>
            <w:r>
              <w:t>less than one</w:t>
            </w:r>
            <w:r w:rsidR="00095525">
              <w:t xml:space="preserve"> whereas </w:t>
            </w:r>
            <w:r>
              <w:t xml:space="preserve">studies of </w:t>
            </w:r>
            <w:r w:rsidR="00095525">
              <w:t xml:space="preserve">exposed workers </w:t>
            </w:r>
            <w:r>
              <w:t xml:space="preserve">reported </w:t>
            </w:r>
            <w:r w:rsidR="00095525">
              <w:t xml:space="preserve">SMR </w:t>
            </w:r>
            <w:r>
              <w:t>about one</w:t>
            </w:r>
            <w:r w:rsidR="00095525">
              <w:t xml:space="preserve"> consistent with regional statistics</w:t>
            </w:r>
          </w:p>
          <w:p w14:paraId="24044900" w14:textId="7892D594" w:rsidR="00C21DC3" w:rsidRDefault="00344C2F" w:rsidP="00DE6B4E">
            <w:pPr>
              <w:pStyle w:val="Tabletextprimarysource"/>
              <w:numPr>
                <w:ilvl w:val="1"/>
                <w:numId w:val="1"/>
              </w:numPr>
              <w:spacing w:before="80" w:after="80" w:line="276" w:lineRule="auto"/>
              <w:ind w:left="1151" w:hanging="357"/>
            </w:pPr>
            <w:r>
              <w:t xml:space="preserve">non-significant increases in SMR </w:t>
            </w:r>
            <w:r w:rsidR="008A0E74">
              <w:t xml:space="preserve">and small number of deaths </w:t>
            </w:r>
            <w:r>
              <w:t xml:space="preserve">for liver, </w:t>
            </w:r>
            <w:r w:rsidR="0091347B">
              <w:t xml:space="preserve">kidney, </w:t>
            </w:r>
            <w:r>
              <w:t xml:space="preserve">pancreas, testicular, and breast cancers reported in </w:t>
            </w:r>
            <w:r w:rsidR="00D308BA">
              <w:t xml:space="preserve">one </w:t>
            </w:r>
            <w:r>
              <w:t xml:space="preserve">study of </w:t>
            </w:r>
            <w:r w:rsidR="00D308BA">
              <w:t xml:space="preserve">the </w:t>
            </w:r>
            <w:r>
              <w:t xml:space="preserve">West Virginia production plant </w:t>
            </w:r>
            <w:proofErr w:type="spellStart"/>
            <w:r w:rsidR="00300C26">
              <w:t>cf</w:t>
            </w:r>
            <w:proofErr w:type="spellEnd"/>
            <w:r w:rsidR="00300C26">
              <w:t xml:space="preserve"> </w:t>
            </w:r>
            <w:r>
              <w:t>populations of the US, West Virginia, and company employees from 8 states</w:t>
            </w:r>
            <w:r w:rsidR="008A0E74">
              <w:t xml:space="preserve"> </w:t>
            </w:r>
          </w:p>
          <w:p w14:paraId="753406CD" w14:textId="3418884D" w:rsidR="00344C2F" w:rsidRDefault="00C21DC3" w:rsidP="00C21DC3">
            <w:pPr>
              <w:pStyle w:val="Tabletextprimarysource"/>
              <w:numPr>
                <w:ilvl w:val="2"/>
                <w:numId w:val="1"/>
              </w:numPr>
              <w:spacing w:before="80" w:after="80" w:line="276" w:lineRule="auto"/>
            </w:pPr>
            <w:r>
              <w:t>n</w:t>
            </w:r>
            <w:r w:rsidR="00300C26">
              <w:t xml:space="preserve">o </w:t>
            </w:r>
            <w:r w:rsidR="008A0E74">
              <w:t xml:space="preserve">increased mortality in </w:t>
            </w:r>
            <w:r w:rsidR="00300C26">
              <w:t>reported</w:t>
            </w:r>
          </w:p>
          <w:p w14:paraId="302AD176" w14:textId="5F2618E6" w:rsidR="00D27743" w:rsidRDefault="00095525" w:rsidP="00DE6B4E">
            <w:pPr>
              <w:pStyle w:val="Tabletextprimarysource"/>
              <w:numPr>
                <w:ilvl w:val="1"/>
                <w:numId w:val="1"/>
              </w:numPr>
              <w:spacing w:before="80" w:after="80" w:line="276" w:lineRule="auto"/>
              <w:ind w:left="1151" w:hanging="357"/>
            </w:pPr>
            <w:r>
              <w:t xml:space="preserve">increased SMR from prostate cancer </w:t>
            </w:r>
            <w:r w:rsidR="00344C2F">
              <w:t xml:space="preserve">associated with length of employment reported in </w:t>
            </w:r>
            <w:r w:rsidR="00300C26">
              <w:t xml:space="preserve">one </w:t>
            </w:r>
            <w:r w:rsidR="00344C2F">
              <w:t>study limited to small number of cases used to derive mortality rates and mixed exposure of workers to other carcinogenic substances (benzene, asbestos)</w:t>
            </w:r>
          </w:p>
          <w:p w14:paraId="1236DE42" w14:textId="079BE746" w:rsidR="00082848" w:rsidRDefault="00344C2F" w:rsidP="00DE6B4E">
            <w:pPr>
              <w:pStyle w:val="Tabletextprimarysource"/>
              <w:numPr>
                <w:ilvl w:val="0"/>
                <w:numId w:val="1"/>
              </w:numPr>
              <w:spacing w:before="80" w:after="80" w:line="276" w:lineRule="auto"/>
            </w:pPr>
            <w:r>
              <w:t>Nearby population studies</w:t>
            </w:r>
            <w:r w:rsidR="00082848">
              <w:t xml:space="preserve"> (</w:t>
            </w:r>
            <w:r w:rsidR="007F6AD1">
              <w:t xml:space="preserve">sample sizes </w:t>
            </w:r>
            <w:r w:rsidR="00082848">
              <w:t>n</w:t>
            </w:r>
            <w:r w:rsidR="00082848">
              <w:rPr>
                <w:rFonts w:cs="Arial"/>
              </w:rPr>
              <w:t>≈</w:t>
            </w:r>
            <w:r w:rsidR="00082848">
              <w:t>25,000</w:t>
            </w:r>
            <w:r w:rsidR="008A0E74">
              <w:t>–32,000</w:t>
            </w:r>
            <w:r w:rsidR="00082848">
              <w:t>)</w:t>
            </w:r>
            <w:r w:rsidR="000D7657">
              <w:t>:</w:t>
            </w:r>
          </w:p>
          <w:p w14:paraId="6F7AA81A" w14:textId="2C31BD6D" w:rsidR="008A0E74" w:rsidRDefault="008A0E74" w:rsidP="00DE6B4E">
            <w:pPr>
              <w:pStyle w:val="Tabletextprimarysource"/>
              <w:numPr>
                <w:ilvl w:val="1"/>
                <w:numId w:val="1"/>
              </w:numPr>
              <w:spacing w:before="80" w:after="80" w:line="276" w:lineRule="auto"/>
              <w:ind w:left="1151" w:hanging="357"/>
            </w:pPr>
            <w:r>
              <w:t xml:space="preserve">increased PFOA serum levels associated with testicular, kidney, prostate, and ovarian cancers, and </w:t>
            </w:r>
            <w:r w:rsidR="00C21DC3">
              <w:t>NHL</w:t>
            </w:r>
            <w:r>
              <w:t xml:space="preserve"> from drinking water exposure reported in case-control study limited due to uncertainty </w:t>
            </w:r>
            <w:r w:rsidR="00370DCD">
              <w:t>about</w:t>
            </w:r>
            <w:r>
              <w:t xml:space="preserve"> exposure </w:t>
            </w:r>
            <w:r w:rsidR="00370DCD">
              <w:t xml:space="preserve">by </w:t>
            </w:r>
            <w:r>
              <w:t>drinking water</w:t>
            </w:r>
          </w:p>
          <w:p w14:paraId="43915795" w14:textId="45F47BEB" w:rsidR="0091347B" w:rsidRDefault="0091347B" w:rsidP="00DE6B4E">
            <w:pPr>
              <w:pStyle w:val="Tabletextprimarysource"/>
              <w:numPr>
                <w:ilvl w:val="1"/>
                <w:numId w:val="1"/>
              </w:numPr>
              <w:spacing w:before="80" w:after="80" w:line="276" w:lineRule="auto"/>
              <w:ind w:left="1151" w:hanging="357"/>
            </w:pPr>
            <w:r>
              <w:t>exposure-dependent increased risk of kidney and testicular cancer associated with exposure to PFOA in drinking water limited due to biases from self-reporting of participants, quality of medical records used in the study, lack of a control population</w:t>
            </w:r>
            <w:r w:rsidR="006D1DE1">
              <w:t>, and inconsistency of symptoms of higher exposed workers</w:t>
            </w:r>
          </w:p>
          <w:p w14:paraId="371A31C8" w14:textId="08C712D2" w:rsidR="00E96950" w:rsidRDefault="00E96950" w:rsidP="00DE6B4E">
            <w:pPr>
              <w:pStyle w:val="Tabletextprimarysource"/>
              <w:numPr>
                <w:ilvl w:val="0"/>
                <w:numId w:val="1"/>
              </w:numPr>
              <w:spacing w:before="80" w:after="80" w:line="276" w:lineRule="auto"/>
            </w:pPr>
            <w:r>
              <w:t>General population studies (</w:t>
            </w:r>
            <w:r w:rsidR="007F6AD1">
              <w:t xml:space="preserve">sample sizes </w:t>
            </w:r>
            <w:r>
              <w:t>n=31 and 57,000)</w:t>
            </w:r>
            <w:r w:rsidR="000D7657">
              <w:t>:</w:t>
            </w:r>
          </w:p>
          <w:p w14:paraId="21E1B52C" w14:textId="5F100EE4" w:rsidR="004E7596" w:rsidRDefault="004E7596" w:rsidP="00DE6B4E">
            <w:pPr>
              <w:pStyle w:val="Tabletextprimarysource"/>
              <w:numPr>
                <w:ilvl w:val="1"/>
                <w:numId w:val="1"/>
              </w:numPr>
              <w:spacing w:before="80" w:after="80" w:line="276" w:lineRule="auto"/>
              <w:ind w:left="1156"/>
            </w:pPr>
            <w:r>
              <w:t>no liner correlation between PFOA concentration and cancer; no impact of gender</w:t>
            </w:r>
          </w:p>
          <w:p w14:paraId="4825B4AC" w14:textId="77777777" w:rsidR="00C21DC3" w:rsidRDefault="00E53C72" w:rsidP="00DE6B4E">
            <w:pPr>
              <w:pStyle w:val="Tabletextprimarysource"/>
              <w:numPr>
                <w:ilvl w:val="1"/>
                <w:numId w:val="1"/>
              </w:numPr>
              <w:spacing w:before="80" w:after="80" w:line="276" w:lineRule="auto"/>
              <w:ind w:left="1156"/>
            </w:pPr>
            <w:r>
              <w:t xml:space="preserve">PFOA </w:t>
            </w:r>
            <w:r w:rsidR="00E96950">
              <w:t>plasma levels of 7 µg/L in Danish</w:t>
            </w:r>
            <w:r>
              <w:t xml:space="preserve"> general</w:t>
            </w:r>
            <w:r w:rsidR="00E96950">
              <w:t xml:space="preserve"> population not associated with excess risk of prostate, bladder, pancreatic or liver cancers</w:t>
            </w:r>
          </w:p>
          <w:p w14:paraId="62D0C7C3" w14:textId="0B3CD512" w:rsidR="00E96950" w:rsidRDefault="00E96950" w:rsidP="00C21DC3">
            <w:pPr>
              <w:pStyle w:val="Tabletextprimarysource"/>
              <w:numPr>
                <w:ilvl w:val="2"/>
                <w:numId w:val="1"/>
              </w:numPr>
              <w:spacing w:before="80" w:after="80" w:line="276" w:lineRule="auto"/>
            </w:pPr>
            <w:r>
              <w:t xml:space="preserve">mean plasma concentrations in </w:t>
            </w:r>
            <w:r w:rsidR="00E53C72">
              <w:t xml:space="preserve">general population significantly lower than </w:t>
            </w:r>
            <w:r>
              <w:t>exposed workers</w:t>
            </w:r>
            <w:r w:rsidR="00E53C72">
              <w:t xml:space="preserve">, which had a plasma concentration </w:t>
            </w:r>
            <w:r w:rsidR="00370DCD">
              <w:t xml:space="preserve">of </w:t>
            </w:r>
            <w:r>
              <w:t>0.3–5.2 mg/L</w:t>
            </w:r>
            <w:r w:rsidR="00EE14A9">
              <w:t>.</w:t>
            </w:r>
            <w:r w:rsidR="00E53C72">
              <w:t xml:space="preserve"> </w:t>
            </w:r>
          </w:p>
          <w:p w14:paraId="0ECB8CA3" w14:textId="3506BCEC" w:rsidR="006D1DE1" w:rsidRDefault="006D1DE1" w:rsidP="00DE6B4E">
            <w:pPr>
              <w:pStyle w:val="Tabletextprimarysource"/>
              <w:spacing w:before="80" w:after="80" w:line="276" w:lineRule="auto"/>
            </w:pPr>
            <w:r>
              <w:t>Animal data</w:t>
            </w:r>
            <w:r w:rsidR="00831202">
              <w:t>:</w:t>
            </w:r>
          </w:p>
          <w:p w14:paraId="1F94E3EA" w14:textId="6C2C8A8C" w:rsidR="006D1DE1" w:rsidRDefault="00B662D9" w:rsidP="00DE6B4E">
            <w:pPr>
              <w:pStyle w:val="Tabletextprimarysource"/>
              <w:numPr>
                <w:ilvl w:val="0"/>
                <w:numId w:val="1"/>
              </w:numPr>
              <w:spacing w:before="80" w:after="80" w:line="276" w:lineRule="auto"/>
            </w:pPr>
            <w:r>
              <w:lastRenderedPageBreak/>
              <w:t>Insufficient evidence for c</w:t>
            </w:r>
            <w:r w:rsidR="006D1DE1">
              <w:t xml:space="preserve">arcinogenicity in animals assessed from 2 chronic feeding studies with rats and </w:t>
            </w:r>
            <w:r w:rsidR="00527FF3">
              <w:t xml:space="preserve">a </w:t>
            </w:r>
            <w:r w:rsidR="006D1DE1">
              <w:t>repeat oral dose study with monkeys (all cited in DFG, 2006)</w:t>
            </w:r>
            <w:r w:rsidR="00831202">
              <w:t>:</w:t>
            </w:r>
          </w:p>
          <w:p w14:paraId="5F9BE465" w14:textId="7AD86C71" w:rsidR="00B662D9" w:rsidRDefault="006D1DE1" w:rsidP="00DE6B4E">
            <w:pPr>
              <w:pStyle w:val="Tabletextprimarysource"/>
              <w:numPr>
                <w:ilvl w:val="1"/>
                <w:numId w:val="1"/>
              </w:numPr>
              <w:spacing w:before="80" w:after="80" w:line="276" w:lineRule="auto"/>
              <w:ind w:left="1293" w:hanging="357"/>
            </w:pPr>
            <w:r>
              <w:t xml:space="preserve">tumours reported in rats </w:t>
            </w:r>
            <w:r w:rsidR="00370DCD">
              <w:t xml:space="preserve">considered </w:t>
            </w:r>
            <w:r>
              <w:t>benign</w:t>
            </w:r>
            <w:r w:rsidR="00370DCD">
              <w:t xml:space="preserve">. Liver </w:t>
            </w:r>
            <w:r>
              <w:t xml:space="preserve">cell tumours </w:t>
            </w:r>
            <w:r w:rsidR="00370DCD">
              <w:t>likely caused by</w:t>
            </w:r>
            <w:r>
              <w:t xml:space="preserve"> peroxisome proliferation</w:t>
            </w:r>
            <w:r w:rsidR="00B662D9">
              <w:t xml:space="preserve"> (also cited in DFG, 2006)</w:t>
            </w:r>
          </w:p>
          <w:p w14:paraId="229DE7BD" w14:textId="77777777" w:rsidR="006D1DE1" w:rsidRDefault="00B662D9" w:rsidP="00DE6B4E">
            <w:pPr>
              <w:pStyle w:val="Tabletextprimarysource"/>
              <w:numPr>
                <w:ilvl w:val="1"/>
                <w:numId w:val="1"/>
              </w:numPr>
              <w:spacing w:before="80" w:after="80" w:line="276" w:lineRule="auto"/>
              <w:ind w:left="1293" w:hanging="357"/>
            </w:pPr>
            <w:r>
              <w:t>Leydig cell and pancreatic tumours in rats not observed in monkeys and considered a result of rodent-specific hormone metabolism</w:t>
            </w:r>
          </w:p>
          <w:p w14:paraId="0189CA29" w14:textId="77777777" w:rsidR="00B662D9" w:rsidRDefault="00B662D9" w:rsidP="00DE6B4E">
            <w:pPr>
              <w:pStyle w:val="Tabletextprimarysource"/>
              <w:numPr>
                <w:ilvl w:val="1"/>
                <w:numId w:val="1"/>
              </w:numPr>
              <w:spacing w:before="80" w:after="80" w:line="276" w:lineRule="auto"/>
              <w:ind w:left="1293" w:hanging="357"/>
            </w:pPr>
            <w:r>
              <w:t xml:space="preserve">repeat oral dose study with monkeys considered too short (6 </w:t>
            </w:r>
            <w:proofErr w:type="spellStart"/>
            <w:r>
              <w:t>mo</w:t>
            </w:r>
            <w:proofErr w:type="spellEnd"/>
            <w:r>
              <w:t>) to assess carcinogenic potential</w:t>
            </w:r>
          </w:p>
          <w:p w14:paraId="59690DC0" w14:textId="77777777" w:rsidR="00B662D9" w:rsidRDefault="00B662D9" w:rsidP="00DE6B4E">
            <w:pPr>
              <w:pStyle w:val="Tabletextprimarysource"/>
              <w:numPr>
                <w:ilvl w:val="0"/>
                <w:numId w:val="1"/>
              </w:numPr>
              <w:spacing w:before="80" w:after="80" w:line="276" w:lineRule="auto"/>
            </w:pPr>
            <w:r>
              <w:t xml:space="preserve">Overall considered non-genotoxic based on limited </w:t>
            </w:r>
            <w:r>
              <w:rPr>
                <w:i/>
              </w:rPr>
              <w:t>in vitro</w:t>
            </w:r>
            <w:r>
              <w:t xml:space="preserve"> and </w:t>
            </w:r>
            <w:r>
              <w:rPr>
                <w:i/>
              </w:rPr>
              <w:t xml:space="preserve">in vivo </w:t>
            </w:r>
            <w:r>
              <w:t xml:space="preserve">studies; agency attributes isolated positive results </w:t>
            </w:r>
            <w:r>
              <w:rPr>
                <w:i/>
              </w:rPr>
              <w:t>in vitro</w:t>
            </w:r>
            <w:r>
              <w:t xml:space="preserve"> to indirect effects caused by generation of ROS</w:t>
            </w:r>
            <w:r w:rsidR="00EE14A9">
              <w:t>.</w:t>
            </w:r>
          </w:p>
          <w:p w14:paraId="6021DD4C" w14:textId="25A22B6F" w:rsidR="00E6335B" w:rsidRPr="00DA352E" w:rsidRDefault="00E6335B" w:rsidP="00E6335B">
            <w:pPr>
              <w:pStyle w:val="Tabletextprimarysource"/>
              <w:ind w:left="720"/>
            </w:pPr>
          </w:p>
        </w:tc>
      </w:tr>
    </w:tbl>
    <w:p w14:paraId="6B51E915" w14:textId="77777777" w:rsidR="00A20751" w:rsidRPr="004C23F4" w:rsidRDefault="00A20751" w:rsidP="003365A5">
      <w:pPr>
        <w:pStyle w:val="Heading3"/>
      </w:pPr>
      <w:bookmarkStart w:id="0" w:name="SecondSource"/>
      <w:r w:rsidRPr="004C23F4">
        <w:lastRenderedPageBreak/>
        <w:t xml:space="preserve">Secondary </w:t>
      </w:r>
      <w:r w:rsidR="0088798F">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20" w:firstRow="1" w:lastRow="0" w:firstColumn="0" w:lastColumn="0" w:noHBand="1" w:noVBand="1"/>
        <w:tblCaption w:val="Table"/>
        <w:tblDescription w:val="Listing secondary sources with reports"/>
      </w:tblPr>
      <w:tblGrid>
        <w:gridCol w:w="1489"/>
        <w:gridCol w:w="421"/>
        <w:gridCol w:w="661"/>
        <w:gridCol w:w="6455"/>
      </w:tblGrid>
      <w:tr w:rsidR="004966BF" w:rsidRPr="00263255" w14:paraId="32A67FB0" w14:textId="77777777" w:rsidTr="008B1015">
        <w:trPr>
          <w:cnfStyle w:val="100000000000" w:firstRow="1" w:lastRow="0" w:firstColumn="0" w:lastColumn="0" w:oddVBand="0" w:evenVBand="0" w:oddHBand="0" w:evenHBand="0" w:firstRowFirstColumn="0" w:firstRowLastColumn="0" w:lastRowFirstColumn="0" w:lastRowLastColumn="0"/>
          <w:cantSplit/>
          <w:trHeight w:val="393"/>
          <w:tblHeader/>
        </w:trPr>
        <w:tc>
          <w:tcPr>
            <w:tcW w:w="1489" w:type="dxa"/>
            <w:shd w:val="clear" w:color="auto" w:fill="BFBFBF" w:themeFill="background1" w:themeFillShade="BF"/>
            <w:vAlign w:val="center"/>
          </w:tcPr>
          <w:p w14:paraId="4067C0A4" w14:textId="77777777" w:rsidR="004966BF" w:rsidRPr="00263255" w:rsidRDefault="004966BF" w:rsidP="00263255">
            <w:pPr>
              <w:pStyle w:val="Tableheader"/>
            </w:pPr>
            <w:r w:rsidRPr="00263255">
              <w:t>Source</w:t>
            </w:r>
          </w:p>
        </w:tc>
        <w:tc>
          <w:tcPr>
            <w:tcW w:w="421" w:type="dxa"/>
            <w:shd w:val="clear" w:color="auto" w:fill="BFBFBF" w:themeFill="background1" w:themeFillShade="BF"/>
            <w:vAlign w:val="center"/>
          </w:tcPr>
          <w:p w14:paraId="675630B6" w14:textId="77777777" w:rsidR="004966BF" w:rsidRPr="00263255" w:rsidRDefault="004966BF" w:rsidP="00263255">
            <w:pPr>
              <w:pStyle w:val="Tableheader"/>
            </w:pPr>
          </w:p>
        </w:tc>
        <w:tc>
          <w:tcPr>
            <w:tcW w:w="661" w:type="dxa"/>
            <w:shd w:val="clear" w:color="auto" w:fill="BFBFBF" w:themeFill="background1" w:themeFillShade="BF"/>
            <w:vAlign w:val="center"/>
          </w:tcPr>
          <w:p w14:paraId="7097ADDA" w14:textId="77777777" w:rsidR="004966BF" w:rsidRPr="00263255" w:rsidRDefault="004966BF" w:rsidP="00263255">
            <w:pPr>
              <w:pStyle w:val="Tableheader"/>
            </w:pPr>
            <w:r>
              <w:t>Year</w:t>
            </w:r>
          </w:p>
        </w:tc>
        <w:tc>
          <w:tcPr>
            <w:tcW w:w="6455" w:type="dxa"/>
            <w:shd w:val="clear" w:color="auto" w:fill="BFBFBF" w:themeFill="background1" w:themeFillShade="BF"/>
            <w:vAlign w:val="center"/>
          </w:tcPr>
          <w:p w14:paraId="05F56814" w14:textId="77777777" w:rsidR="004966BF" w:rsidRPr="00263255" w:rsidRDefault="004966BF" w:rsidP="00263255">
            <w:pPr>
              <w:pStyle w:val="Tableheader"/>
            </w:pPr>
            <w:r>
              <w:t>Additional information</w:t>
            </w:r>
          </w:p>
        </w:tc>
      </w:tr>
      <w:tr w:rsidR="004966BF" w:rsidRPr="004C23F4" w14:paraId="4709863C" w14:textId="77777777" w:rsidTr="008B1015">
        <w:trPr>
          <w:cantSplit/>
        </w:trPr>
        <w:tc>
          <w:tcPr>
            <w:tcW w:w="1489" w:type="dxa"/>
          </w:tcPr>
          <w:p w14:paraId="423641C0" w14:textId="77777777" w:rsidR="004966BF" w:rsidRPr="004C23F4" w:rsidRDefault="004966BF" w:rsidP="00527FF3">
            <w:pPr>
              <w:pStyle w:val="Tablefont"/>
              <w:spacing w:after="120" w:line="276" w:lineRule="auto"/>
            </w:pPr>
            <w:r>
              <w:t>NICNAS</w:t>
            </w:r>
          </w:p>
        </w:tc>
        <w:tc>
          <w:tcPr>
            <w:tcW w:w="421" w:type="dxa"/>
          </w:tcPr>
          <w:p w14:paraId="368549C7" w14:textId="16FBE15A" w:rsidR="004966BF" w:rsidRPr="00CE617F" w:rsidRDefault="000015AA" w:rsidP="00527FF3">
            <w:pPr>
              <w:spacing w:before="40" w:line="276" w:lineRule="auto"/>
              <w:jc w:val="center"/>
              <w:rPr>
                <w:rStyle w:val="checkbox"/>
                <w:lang w:eastAsia="en-AU"/>
              </w:rPr>
            </w:pPr>
            <w:sdt>
              <w:sdtPr>
                <w:rPr>
                  <w:rStyle w:val="checkbox"/>
                </w:rPr>
                <w:id w:val="1234131032"/>
                <w:placeholder>
                  <w:docPart w:val="C2B44F29000D47BD8588D2D5E8DFA6C8"/>
                </w:placeholder>
                <w:dropDownList>
                  <w:listItem w:displayText="" w:value=""/>
                  <w:listItem w:displayText="" w:value=""/>
                  <w:listItem w:displayText="" w:value=""/>
                </w:dropDownList>
              </w:sdtPr>
              <w:sdtEndPr>
                <w:rPr>
                  <w:rStyle w:val="checkbox"/>
                </w:rPr>
              </w:sdtEndPr>
              <w:sdtContent>
                <w:r w:rsidR="00C433C3">
                  <w:rPr>
                    <w:rStyle w:val="checkbox"/>
                  </w:rPr>
                  <w:t></w:t>
                </w:r>
              </w:sdtContent>
            </w:sdt>
          </w:p>
        </w:tc>
        <w:tc>
          <w:tcPr>
            <w:tcW w:w="661" w:type="dxa"/>
          </w:tcPr>
          <w:p w14:paraId="326C27C4" w14:textId="5D5A77AE" w:rsidR="004966BF" w:rsidRPr="004C23F4" w:rsidRDefault="001929E4" w:rsidP="00527FF3">
            <w:pPr>
              <w:pStyle w:val="Tablefont"/>
              <w:spacing w:after="120" w:line="276" w:lineRule="auto"/>
              <w:rPr>
                <w:rStyle w:val="checkbox"/>
                <w:rFonts w:ascii="Arial" w:hAnsi="Arial" w:cs="Arial"/>
                <w:lang w:eastAsia="en-US"/>
              </w:rPr>
            </w:pPr>
            <w:r>
              <w:rPr>
                <w:rStyle w:val="checkbox"/>
                <w:rFonts w:ascii="Arial" w:hAnsi="Arial" w:cs="Arial"/>
              </w:rPr>
              <w:t>2015</w:t>
            </w:r>
          </w:p>
        </w:tc>
        <w:tc>
          <w:tcPr>
            <w:tcW w:w="6455" w:type="dxa"/>
          </w:tcPr>
          <w:p w14:paraId="77D8107A" w14:textId="79C1B30B" w:rsidR="004966BF" w:rsidRDefault="009E32D1" w:rsidP="00527FF3">
            <w:pPr>
              <w:pStyle w:val="Tablefont"/>
              <w:numPr>
                <w:ilvl w:val="0"/>
                <w:numId w:val="1"/>
              </w:numPr>
              <w:spacing w:after="120" w:line="276" w:lineRule="auto"/>
              <w:rPr>
                <w:rStyle w:val="checkbox"/>
                <w:rFonts w:ascii="Arial" w:hAnsi="Arial" w:cs="Arial"/>
              </w:rPr>
            </w:pPr>
            <w:r>
              <w:rPr>
                <w:rStyle w:val="checkbox"/>
                <w:rFonts w:ascii="Arial" w:hAnsi="Arial" w:cs="Arial"/>
              </w:rPr>
              <w:t xml:space="preserve">PFOA assessment grouped with </w:t>
            </w:r>
            <w:r w:rsidR="001929E4">
              <w:rPr>
                <w:rStyle w:val="checkbox"/>
                <w:rFonts w:ascii="Arial" w:hAnsi="Arial" w:cs="Arial"/>
              </w:rPr>
              <w:t>APFO</w:t>
            </w:r>
            <w:r w:rsidR="004C3E48">
              <w:rPr>
                <w:rStyle w:val="checkbox"/>
                <w:rFonts w:ascii="Arial" w:hAnsi="Arial" w:cs="Arial"/>
              </w:rPr>
              <w:t xml:space="preserve"> </w:t>
            </w:r>
            <w:r w:rsidR="00F56F5E">
              <w:rPr>
                <w:rStyle w:val="checkbox"/>
                <w:rFonts w:ascii="Arial" w:hAnsi="Arial" w:cs="Arial"/>
              </w:rPr>
              <w:t>as both substances release the perfluorooctanoate anion in solution, which is of primary concern for the assessment</w:t>
            </w:r>
          </w:p>
          <w:p w14:paraId="6D67FDA2" w14:textId="07F9D40A" w:rsidR="000257C8" w:rsidRDefault="000257C8" w:rsidP="00527FF3">
            <w:pPr>
              <w:pStyle w:val="Tablefont"/>
              <w:numPr>
                <w:ilvl w:val="0"/>
                <w:numId w:val="1"/>
              </w:numPr>
              <w:spacing w:after="120" w:line="276" w:lineRule="auto"/>
              <w:rPr>
                <w:rStyle w:val="checkbox"/>
                <w:rFonts w:ascii="Arial" w:hAnsi="Arial" w:cs="Arial"/>
              </w:rPr>
            </w:pPr>
            <w:r>
              <w:rPr>
                <w:rStyle w:val="checkbox"/>
                <w:rFonts w:ascii="Arial" w:hAnsi="Arial" w:cs="Arial"/>
              </w:rPr>
              <w:t>APFO not irritating to skin</w:t>
            </w:r>
            <w:r w:rsidR="00320B8B">
              <w:rPr>
                <w:rStyle w:val="checkbox"/>
                <w:rFonts w:ascii="Arial" w:hAnsi="Arial" w:cs="Arial"/>
              </w:rPr>
              <w:t>, no data for PFOA</w:t>
            </w:r>
            <w:r>
              <w:rPr>
                <w:rStyle w:val="checkbox"/>
                <w:rFonts w:ascii="Arial" w:hAnsi="Arial" w:cs="Arial"/>
              </w:rPr>
              <w:t xml:space="preserve"> (rabbits, occluded patch, 24 h); </w:t>
            </w:r>
            <w:r w:rsidR="006C7659">
              <w:rPr>
                <w:rStyle w:val="checkbox"/>
                <w:rFonts w:ascii="Arial" w:hAnsi="Arial" w:cs="Arial"/>
              </w:rPr>
              <w:t xml:space="preserve">NICNAS </w:t>
            </w:r>
            <w:r w:rsidR="00320B8B">
              <w:rPr>
                <w:rStyle w:val="checkbox"/>
                <w:rFonts w:ascii="Arial" w:hAnsi="Arial" w:cs="Arial"/>
              </w:rPr>
              <w:t>notes irritant profile cannot be extrapolated for PFOA due to its strong acidity</w:t>
            </w:r>
          </w:p>
          <w:p w14:paraId="7A3E6730" w14:textId="03CC0F6E" w:rsidR="00F56F5E" w:rsidRPr="000257C8" w:rsidRDefault="00230A46" w:rsidP="00527FF3">
            <w:pPr>
              <w:pStyle w:val="ListBullet"/>
              <w:numPr>
                <w:ilvl w:val="0"/>
                <w:numId w:val="1"/>
              </w:numPr>
              <w:spacing w:line="276" w:lineRule="auto"/>
              <w:rPr>
                <w:rStyle w:val="checkbox"/>
                <w:rFonts w:ascii="Arial" w:hAnsi="Arial" w:cs="Arial"/>
                <w:lang w:eastAsia="en-AU"/>
              </w:rPr>
            </w:pPr>
            <w:r>
              <w:t>NOAEL</w:t>
            </w:r>
            <w:r w:rsidR="001E35E3">
              <w:t xml:space="preserve"> of </w:t>
            </w:r>
            <w:r w:rsidR="00C433C3">
              <w:t>10 mg/m</w:t>
            </w:r>
            <w:r w:rsidR="00C433C3" w:rsidRPr="006F1149">
              <w:rPr>
                <w:vertAlign w:val="superscript"/>
              </w:rPr>
              <w:t>3</w:t>
            </w:r>
            <w:r w:rsidR="00C433C3">
              <w:t xml:space="preserve"> </w:t>
            </w:r>
            <w:r>
              <w:t>for developmental toxicity</w:t>
            </w:r>
            <w:r w:rsidR="00C433C3">
              <w:t xml:space="preserve"> reduced </w:t>
            </w:r>
            <w:r w:rsidR="004F30B8">
              <w:t>body weight</w:t>
            </w:r>
            <w:r w:rsidR="00C433C3">
              <w:t xml:space="preserve"> </w:t>
            </w:r>
            <w:r>
              <w:t>(rats</w:t>
            </w:r>
            <w:r w:rsidR="00EE14A9">
              <w:t>)</w:t>
            </w:r>
          </w:p>
        </w:tc>
      </w:tr>
      <w:tr w:rsidR="004966BF" w:rsidRPr="004C23F4" w14:paraId="0EC0016C" w14:textId="77777777" w:rsidTr="008B1015">
        <w:trPr>
          <w:cantSplit/>
        </w:trPr>
        <w:tc>
          <w:tcPr>
            <w:tcW w:w="1489" w:type="dxa"/>
          </w:tcPr>
          <w:p w14:paraId="29468FF9" w14:textId="77777777" w:rsidR="004966BF" w:rsidRPr="004C23F4" w:rsidRDefault="004966BF" w:rsidP="00527FF3">
            <w:pPr>
              <w:pStyle w:val="Tablefont"/>
              <w:spacing w:after="120" w:line="276" w:lineRule="auto"/>
            </w:pPr>
            <w:r>
              <w:lastRenderedPageBreak/>
              <w:t>IARC</w:t>
            </w:r>
          </w:p>
        </w:tc>
        <w:tc>
          <w:tcPr>
            <w:tcW w:w="421" w:type="dxa"/>
          </w:tcPr>
          <w:p w14:paraId="130DFB0F" w14:textId="4D103DFA" w:rsidR="004966BF" w:rsidRPr="00CE617F" w:rsidRDefault="000015AA" w:rsidP="00527FF3">
            <w:pPr>
              <w:spacing w:before="40" w:line="276" w:lineRule="auto"/>
              <w:jc w:val="center"/>
              <w:rPr>
                <w:rStyle w:val="checkbox"/>
                <w:lang w:eastAsia="en-AU"/>
              </w:rPr>
            </w:pPr>
            <w:sdt>
              <w:sdtPr>
                <w:rPr>
                  <w:rStyle w:val="checkbox"/>
                </w:rPr>
                <w:id w:val="1592279139"/>
                <w:placeholder>
                  <w:docPart w:val="20BC8D26515A4C11AC6304FB75A7CBAD"/>
                </w:placeholder>
                <w:dropDownList>
                  <w:listItem w:displayText="" w:value=""/>
                  <w:listItem w:displayText="" w:value=""/>
                  <w:listItem w:displayText="" w:value=""/>
                </w:dropDownList>
              </w:sdtPr>
              <w:sdtEndPr>
                <w:rPr>
                  <w:rStyle w:val="checkbox"/>
                </w:rPr>
              </w:sdtEndPr>
              <w:sdtContent>
                <w:r w:rsidR="005C6565">
                  <w:rPr>
                    <w:rStyle w:val="checkbox"/>
                  </w:rPr>
                  <w:t></w:t>
                </w:r>
              </w:sdtContent>
            </w:sdt>
          </w:p>
        </w:tc>
        <w:tc>
          <w:tcPr>
            <w:tcW w:w="661" w:type="dxa"/>
          </w:tcPr>
          <w:p w14:paraId="1A651963" w14:textId="0926E9B1" w:rsidR="004966BF" w:rsidRPr="004C23F4" w:rsidRDefault="0011096B" w:rsidP="00527FF3">
            <w:pPr>
              <w:pStyle w:val="Tablefont"/>
              <w:spacing w:after="120" w:line="276" w:lineRule="auto"/>
              <w:rPr>
                <w:rStyle w:val="checkbox"/>
                <w:rFonts w:ascii="Arial" w:hAnsi="Arial" w:cs="Arial"/>
                <w:lang w:eastAsia="en-US"/>
              </w:rPr>
            </w:pPr>
            <w:r>
              <w:rPr>
                <w:rStyle w:val="checkbox"/>
                <w:rFonts w:ascii="Arial" w:hAnsi="Arial" w:cs="Arial"/>
              </w:rPr>
              <w:t>2017</w:t>
            </w:r>
          </w:p>
        </w:tc>
        <w:tc>
          <w:tcPr>
            <w:tcW w:w="6455" w:type="dxa"/>
          </w:tcPr>
          <w:p w14:paraId="32BFB31F" w14:textId="7B8A7A19" w:rsidR="005C6565" w:rsidRDefault="004E7943" w:rsidP="00527FF3">
            <w:pPr>
              <w:pStyle w:val="Tablefont"/>
              <w:numPr>
                <w:ilvl w:val="0"/>
                <w:numId w:val="1"/>
              </w:numPr>
              <w:spacing w:after="120" w:line="276" w:lineRule="auto"/>
              <w:rPr>
                <w:rStyle w:val="checkbox"/>
                <w:rFonts w:ascii="Arial" w:hAnsi="Arial" w:cs="Arial"/>
              </w:rPr>
            </w:pPr>
            <w:r>
              <w:rPr>
                <w:rStyle w:val="checkbox"/>
                <w:rFonts w:ascii="Arial" w:hAnsi="Arial" w:cs="Arial"/>
                <w:i/>
              </w:rPr>
              <w:t xml:space="preserve">In vitro </w:t>
            </w:r>
            <w:r>
              <w:rPr>
                <w:rStyle w:val="checkbox"/>
                <w:rFonts w:ascii="Arial" w:hAnsi="Arial" w:cs="Arial"/>
              </w:rPr>
              <w:t>dermal permeability coefficient: 9.49 x 10</w:t>
            </w:r>
            <w:r>
              <w:rPr>
                <w:rStyle w:val="checkbox"/>
                <w:rFonts w:ascii="Arial" w:hAnsi="Arial" w:cs="Arial"/>
                <w:vertAlign w:val="superscript"/>
              </w:rPr>
              <w:t>-7</w:t>
            </w:r>
            <w:r>
              <w:rPr>
                <w:rStyle w:val="checkbox"/>
                <w:rFonts w:ascii="Arial" w:hAnsi="Arial" w:cs="Arial"/>
              </w:rPr>
              <w:t xml:space="preserve"> cm/h (human skin)</w:t>
            </w:r>
            <w:r w:rsidR="005C6565">
              <w:rPr>
                <w:rStyle w:val="checkbox"/>
                <w:rFonts w:ascii="Arial" w:hAnsi="Arial" w:cs="Arial"/>
              </w:rPr>
              <w:t xml:space="preserve"> </w:t>
            </w:r>
          </w:p>
          <w:p w14:paraId="42CA36BE" w14:textId="3692FC6C" w:rsidR="00C3133D" w:rsidRDefault="00C3133D" w:rsidP="00527FF3">
            <w:pPr>
              <w:pStyle w:val="Tablefont"/>
              <w:numPr>
                <w:ilvl w:val="0"/>
                <w:numId w:val="1"/>
              </w:numPr>
              <w:spacing w:after="120" w:line="276" w:lineRule="auto"/>
              <w:rPr>
                <w:rStyle w:val="checkbox"/>
                <w:rFonts w:ascii="Arial" w:hAnsi="Arial" w:cs="Arial"/>
              </w:rPr>
            </w:pPr>
            <w:r>
              <w:rPr>
                <w:rStyle w:val="checkbox"/>
                <w:rFonts w:ascii="Arial" w:hAnsi="Arial" w:cs="Arial"/>
              </w:rPr>
              <w:t>Liver considered primary target organ in humans</w:t>
            </w:r>
          </w:p>
          <w:p w14:paraId="44356E1C" w14:textId="3208EEDF" w:rsidR="00C3133D" w:rsidRDefault="00C3133D" w:rsidP="00527FF3">
            <w:pPr>
              <w:pStyle w:val="Tablefont"/>
              <w:numPr>
                <w:ilvl w:val="0"/>
                <w:numId w:val="1"/>
              </w:numPr>
              <w:spacing w:after="120" w:line="276" w:lineRule="auto"/>
              <w:rPr>
                <w:rStyle w:val="checkbox"/>
                <w:rFonts w:ascii="Arial" w:hAnsi="Arial" w:cs="Arial"/>
              </w:rPr>
            </w:pPr>
            <w:r>
              <w:rPr>
                <w:rStyle w:val="checkbox"/>
                <w:rFonts w:ascii="Arial" w:hAnsi="Arial" w:cs="Arial"/>
              </w:rPr>
              <w:t xml:space="preserve">Overall moderate evidence for potential carcinogenic mechanisms of action observed in animals to be operative in humans </w:t>
            </w:r>
            <w:r w:rsidR="00223639">
              <w:rPr>
                <w:rStyle w:val="checkbox"/>
                <w:rFonts w:ascii="Arial" w:hAnsi="Arial" w:cs="Arial"/>
              </w:rPr>
              <w:t>based on:</w:t>
            </w:r>
          </w:p>
          <w:p w14:paraId="31254745" w14:textId="6E81F6E7" w:rsidR="00223639" w:rsidRDefault="00C3133D" w:rsidP="00831202">
            <w:pPr>
              <w:pStyle w:val="Tablefont"/>
              <w:numPr>
                <w:ilvl w:val="1"/>
                <w:numId w:val="1"/>
              </w:numPr>
              <w:spacing w:after="120" w:line="276" w:lineRule="auto"/>
              <w:ind w:left="1139" w:hanging="357"/>
              <w:contextualSpacing/>
              <w:rPr>
                <w:rStyle w:val="checkbox"/>
                <w:rFonts w:ascii="Arial" w:hAnsi="Arial" w:cs="Arial"/>
              </w:rPr>
            </w:pPr>
            <w:r>
              <w:rPr>
                <w:rStyle w:val="checkbox"/>
                <w:rFonts w:ascii="Arial" w:hAnsi="Arial" w:cs="Arial"/>
              </w:rPr>
              <w:t>strong evidence for liver carcinogenicity in animal studies</w:t>
            </w:r>
            <w:r w:rsidR="00223639">
              <w:rPr>
                <w:rStyle w:val="checkbox"/>
                <w:rFonts w:ascii="Arial" w:hAnsi="Arial" w:cs="Arial"/>
              </w:rPr>
              <w:t xml:space="preserve"> likely</w:t>
            </w:r>
            <w:r>
              <w:rPr>
                <w:rStyle w:val="checkbox"/>
                <w:rFonts w:ascii="Arial" w:hAnsi="Arial" w:cs="Arial"/>
              </w:rPr>
              <w:t xml:space="preserve"> </w:t>
            </w:r>
            <w:r w:rsidR="00223639" w:rsidRPr="00223639">
              <w:rPr>
                <w:rFonts w:cs="Arial"/>
              </w:rPr>
              <w:t>induced by peroxisome proliferation</w:t>
            </w:r>
            <w:r w:rsidR="00223639">
              <w:rPr>
                <w:rFonts w:cs="Arial"/>
              </w:rPr>
              <w:t xml:space="preserve"> related mechanism</w:t>
            </w:r>
          </w:p>
          <w:p w14:paraId="37EE09CD" w14:textId="08514734" w:rsidR="004966BF" w:rsidRPr="005C6565" w:rsidRDefault="00C3133D" w:rsidP="00831202">
            <w:pPr>
              <w:pStyle w:val="Tablefont"/>
              <w:numPr>
                <w:ilvl w:val="1"/>
                <w:numId w:val="1"/>
              </w:numPr>
              <w:spacing w:after="120" w:line="276" w:lineRule="auto"/>
              <w:ind w:left="1139" w:hanging="357"/>
              <w:contextualSpacing/>
              <w:rPr>
                <w:rStyle w:val="checkbox"/>
                <w:rFonts w:ascii="Arial" w:hAnsi="Arial" w:cs="Arial"/>
              </w:rPr>
            </w:pPr>
            <w:r>
              <w:rPr>
                <w:rStyle w:val="checkbox"/>
                <w:rFonts w:ascii="Arial" w:hAnsi="Arial" w:cs="Arial"/>
              </w:rPr>
              <w:t>weak evidence for carcinogenicity of reproductive organs in animals caused by interference with hormone metabolism</w:t>
            </w:r>
          </w:p>
          <w:p w14:paraId="1B855B57" w14:textId="2D25189F" w:rsidR="00D43A2D" w:rsidRPr="00D43A2D" w:rsidRDefault="00871E1C" w:rsidP="00527FF3">
            <w:pPr>
              <w:pStyle w:val="Tablefont"/>
              <w:numPr>
                <w:ilvl w:val="0"/>
                <w:numId w:val="1"/>
              </w:numPr>
              <w:spacing w:after="120" w:line="276" w:lineRule="auto"/>
              <w:rPr>
                <w:rFonts w:cs="Arial"/>
              </w:rPr>
            </w:pPr>
            <w:r>
              <w:rPr>
                <w:rFonts w:cs="Arial"/>
              </w:rPr>
              <w:t xml:space="preserve">Increased risk of kidney and </w:t>
            </w:r>
            <w:r w:rsidR="00370DCD">
              <w:rPr>
                <w:rFonts w:cs="Arial"/>
              </w:rPr>
              <w:t xml:space="preserve">testicular </w:t>
            </w:r>
            <w:r>
              <w:rPr>
                <w:rFonts w:cs="Arial"/>
              </w:rPr>
              <w:t xml:space="preserve">cancer reported in studies of high exposure populations near production plants (also cited in HCOTN, 2013) considered credible, but limited due to potential sampling bias, confounders, and, in the case of </w:t>
            </w:r>
            <w:r w:rsidR="00370DCD">
              <w:rPr>
                <w:rFonts w:cs="Arial"/>
              </w:rPr>
              <w:t xml:space="preserve">testicular </w:t>
            </w:r>
            <w:r>
              <w:rPr>
                <w:rFonts w:cs="Arial"/>
              </w:rPr>
              <w:t>cancer, small number of incidences</w:t>
            </w:r>
          </w:p>
          <w:p w14:paraId="22734462" w14:textId="16898D16" w:rsidR="00D43A2D" w:rsidRPr="00871E1C" w:rsidRDefault="00223639" w:rsidP="00527FF3">
            <w:pPr>
              <w:pStyle w:val="Tablefont"/>
              <w:numPr>
                <w:ilvl w:val="0"/>
                <w:numId w:val="1"/>
              </w:numPr>
              <w:spacing w:after="120" w:line="276" w:lineRule="auto"/>
              <w:rPr>
                <w:rFonts w:cs="Arial"/>
              </w:rPr>
            </w:pPr>
            <w:r>
              <w:t xml:space="preserve">Moderate evidence for overall non-genotoxicity based on large number of negative results from direct genotoxicity assays, with some indication for indirect DNA damage caused by oxidative stress </w:t>
            </w:r>
          </w:p>
          <w:p w14:paraId="338BA184" w14:textId="5B9F330E" w:rsidR="00871E1C" w:rsidRPr="00D43A2D" w:rsidRDefault="00223639" w:rsidP="00527FF3">
            <w:pPr>
              <w:pStyle w:val="Tablefont"/>
              <w:numPr>
                <w:ilvl w:val="0"/>
                <w:numId w:val="1"/>
              </w:numPr>
              <w:spacing w:after="120" w:line="276" w:lineRule="auto"/>
              <w:rPr>
                <w:rStyle w:val="checkbox"/>
                <w:rFonts w:ascii="Arial" w:hAnsi="Arial" w:cs="Arial"/>
              </w:rPr>
            </w:pPr>
            <w:r>
              <w:t>Overall, possibly carcinogenic to humans (Group 2B)</w:t>
            </w:r>
            <w:r w:rsidR="00EE14A9">
              <w:t>.</w:t>
            </w:r>
          </w:p>
        </w:tc>
      </w:tr>
      <w:tr w:rsidR="004966BF" w:rsidRPr="004C23F4" w14:paraId="2FBE3BD2" w14:textId="77777777" w:rsidTr="008B1015">
        <w:trPr>
          <w:cantSplit/>
        </w:trPr>
        <w:tc>
          <w:tcPr>
            <w:tcW w:w="1489" w:type="dxa"/>
          </w:tcPr>
          <w:p w14:paraId="139D2A6F" w14:textId="77777777" w:rsidR="004966BF" w:rsidRPr="004C23F4" w:rsidRDefault="004966BF" w:rsidP="00527FF3">
            <w:pPr>
              <w:pStyle w:val="Tablefont"/>
              <w:spacing w:after="120" w:line="276" w:lineRule="auto"/>
            </w:pPr>
            <w:r>
              <w:t>OECD</w:t>
            </w:r>
          </w:p>
        </w:tc>
        <w:tc>
          <w:tcPr>
            <w:tcW w:w="421" w:type="dxa"/>
          </w:tcPr>
          <w:p w14:paraId="0F719841" w14:textId="21A5951C" w:rsidR="004966BF" w:rsidRPr="00CE617F" w:rsidRDefault="000015AA" w:rsidP="00527FF3">
            <w:pPr>
              <w:spacing w:before="40" w:line="276" w:lineRule="auto"/>
              <w:jc w:val="center"/>
              <w:rPr>
                <w:rStyle w:val="checkbox"/>
                <w:lang w:eastAsia="en-AU"/>
              </w:rPr>
            </w:pPr>
            <w:sdt>
              <w:sdtPr>
                <w:rPr>
                  <w:rStyle w:val="checkbox"/>
                </w:rPr>
                <w:id w:val="-491947220"/>
                <w:placeholder>
                  <w:docPart w:val="320A77D155374054996F168A20882C28"/>
                </w:placeholder>
                <w:dropDownList>
                  <w:listItem w:displayText="" w:value=""/>
                  <w:listItem w:displayText="" w:value=""/>
                  <w:listItem w:displayText="" w:value=""/>
                </w:dropDownList>
              </w:sdtPr>
              <w:sdtEndPr>
                <w:rPr>
                  <w:rStyle w:val="checkbox"/>
                </w:rPr>
              </w:sdtEndPr>
              <w:sdtContent>
                <w:r w:rsidR="005C6565">
                  <w:rPr>
                    <w:rStyle w:val="checkbox"/>
                  </w:rPr>
                  <w:t></w:t>
                </w:r>
              </w:sdtContent>
            </w:sdt>
          </w:p>
        </w:tc>
        <w:tc>
          <w:tcPr>
            <w:tcW w:w="661" w:type="dxa"/>
          </w:tcPr>
          <w:p w14:paraId="13EAA45F" w14:textId="6D56B829" w:rsidR="004966BF" w:rsidRPr="004C23F4" w:rsidRDefault="003312FC" w:rsidP="00527FF3">
            <w:pPr>
              <w:pStyle w:val="Tablefont"/>
              <w:spacing w:after="120" w:line="276" w:lineRule="auto"/>
              <w:rPr>
                <w:rStyle w:val="checkbox"/>
                <w:rFonts w:ascii="Arial" w:hAnsi="Arial" w:cs="Arial"/>
                <w:lang w:eastAsia="en-US"/>
              </w:rPr>
            </w:pPr>
            <w:r>
              <w:rPr>
                <w:rStyle w:val="checkbox"/>
                <w:rFonts w:ascii="Arial" w:hAnsi="Arial" w:cs="Arial"/>
              </w:rPr>
              <w:t>2008</w:t>
            </w:r>
          </w:p>
        </w:tc>
        <w:tc>
          <w:tcPr>
            <w:tcW w:w="6455" w:type="dxa"/>
          </w:tcPr>
          <w:p w14:paraId="2B2F8A31" w14:textId="1B0DF71F" w:rsidR="004966BF" w:rsidRDefault="00AA1F6C" w:rsidP="00527FF3">
            <w:pPr>
              <w:pStyle w:val="Tablefont"/>
              <w:numPr>
                <w:ilvl w:val="0"/>
                <w:numId w:val="1"/>
              </w:numPr>
              <w:spacing w:after="120" w:line="276" w:lineRule="auto"/>
              <w:rPr>
                <w:rStyle w:val="checkbox"/>
                <w:rFonts w:ascii="Arial" w:hAnsi="Arial" w:cs="Arial"/>
              </w:rPr>
            </w:pPr>
            <w:r>
              <w:rPr>
                <w:rStyle w:val="checkbox"/>
                <w:rFonts w:ascii="Arial" w:hAnsi="Arial" w:cs="Arial"/>
              </w:rPr>
              <w:t>PFOA and APFO evaluated in grouped assessment, other inorganic salts are not considered</w:t>
            </w:r>
          </w:p>
          <w:p w14:paraId="3918336D" w14:textId="754D0215" w:rsidR="00AA1F6C" w:rsidRDefault="00AA1F6C" w:rsidP="00527FF3">
            <w:pPr>
              <w:pStyle w:val="Tablefont"/>
              <w:numPr>
                <w:ilvl w:val="0"/>
                <w:numId w:val="1"/>
              </w:numPr>
              <w:spacing w:after="120" w:line="276" w:lineRule="auto"/>
            </w:pPr>
            <w:r>
              <w:rPr>
                <w:rStyle w:val="checkbox"/>
                <w:rFonts w:ascii="Arial" w:hAnsi="Arial" w:cs="Arial"/>
              </w:rPr>
              <w:t xml:space="preserve">PFOA and APFO are metabolically equivalent, </w:t>
            </w:r>
            <w:r>
              <w:t>distributed primarily extracellularly to liver, serum, and kidney and do not partition to the adipose tissue</w:t>
            </w:r>
          </w:p>
          <w:p w14:paraId="2655CC47" w14:textId="76C43E9B" w:rsidR="003312FC" w:rsidRDefault="003312FC" w:rsidP="00527FF3">
            <w:pPr>
              <w:pStyle w:val="Tablefont"/>
              <w:numPr>
                <w:ilvl w:val="0"/>
                <w:numId w:val="1"/>
              </w:numPr>
              <w:spacing w:after="120" w:line="276" w:lineRule="auto"/>
            </w:pPr>
            <w:r>
              <w:t>Sufficient evidence for induction of peroxisome proliferation related responses in the liver, which cause toxicity and carcinogenicity</w:t>
            </w:r>
          </w:p>
          <w:p w14:paraId="2BB0912D" w14:textId="7FED24DE" w:rsidR="00AA1F6C" w:rsidRPr="00B5075F" w:rsidRDefault="00AA1F6C" w:rsidP="00527FF3">
            <w:pPr>
              <w:pStyle w:val="Tablefont"/>
              <w:numPr>
                <w:ilvl w:val="0"/>
                <w:numId w:val="1"/>
              </w:numPr>
              <w:spacing w:after="120" w:line="276" w:lineRule="auto"/>
              <w:rPr>
                <w:rStyle w:val="checkbox"/>
                <w:rFonts w:ascii="Arial" w:hAnsi="Arial" w:cs="Arial"/>
              </w:rPr>
            </w:pPr>
            <w:r>
              <w:t xml:space="preserve">Negative mutagenicity </w:t>
            </w:r>
            <w:r>
              <w:rPr>
                <w:i/>
              </w:rPr>
              <w:t>in vivo</w:t>
            </w:r>
            <w:r>
              <w:t xml:space="preserve">, positive results </w:t>
            </w:r>
            <w:r w:rsidR="00B5075F">
              <w:rPr>
                <w:i/>
              </w:rPr>
              <w:t>in vitro</w:t>
            </w:r>
            <w:r w:rsidR="00B5075F">
              <w:t xml:space="preserve"> in mammalian cells when tested with metabolic activation</w:t>
            </w:r>
            <w:r w:rsidR="00EE14A9">
              <w:t>.</w:t>
            </w:r>
          </w:p>
        </w:tc>
      </w:tr>
    </w:tbl>
    <w:p w14:paraId="09DF6EED" w14:textId="77777777" w:rsidR="007E2A4B" w:rsidRDefault="007E2A4B"/>
    <w:bookmarkEnd w:id="0"/>
    <w:p w14:paraId="5BAF3763" w14:textId="77777777" w:rsidR="007E2A4B" w:rsidRDefault="007E2A4B" w:rsidP="007E2A4B">
      <w:pPr>
        <w:pStyle w:val="Heading3"/>
      </w:pPr>
      <w:r>
        <w:lastRenderedPageBreak/>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603"/>
        <w:gridCol w:w="2423"/>
      </w:tblGrid>
      <w:tr w:rsidR="002E0D61" w14:paraId="206A0209" w14:textId="77777777" w:rsidTr="00C433C3">
        <w:trPr>
          <w:trHeight w:val="454"/>
          <w:tblHeader/>
        </w:trPr>
        <w:tc>
          <w:tcPr>
            <w:tcW w:w="6603" w:type="dxa"/>
            <w:vAlign w:val="center"/>
          </w:tcPr>
          <w:p w14:paraId="6BECC121" w14:textId="77777777" w:rsidR="002E0D61" w:rsidRDefault="00B1422A" w:rsidP="00C3091E">
            <w:pPr>
              <w:pStyle w:val="Tablefont"/>
              <w:keepNext/>
              <w:keepLines/>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EndPr/>
          <w:sdtContent>
            <w:tc>
              <w:tcPr>
                <w:tcW w:w="2423" w:type="dxa"/>
                <w:vAlign w:val="center"/>
              </w:tcPr>
              <w:p w14:paraId="74BA0BF7" w14:textId="5A9CD575" w:rsidR="002E0D61" w:rsidRDefault="00C433C3" w:rsidP="00C3091E">
                <w:pPr>
                  <w:pStyle w:val="Tablefont"/>
                  <w:keepNext/>
                  <w:keepLines/>
                  <w:spacing w:before="40" w:after="40"/>
                </w:pPr>
                <w:r>
                  <w:t>No</w:t>
                </w:r>
              </w:p>
            </w:tc>
          </w:sdtContent>
        </w:sdt>
      </w:tr>
      <w:tr w:rsidR="008A36CF" w14:paraId="7627C2A3" w14:textId="77777777" w:rsidTr="00C433C3">
        <w:trPr>
          <w:trHeight w:val="454"/>
        </w:trPr>
        <w:sdt>
          <w:sdtPr>
            <w:rPr>
              <w:b/>
            </w:rPr>
            <w:id w:val="1830936485"/>
            <w:placeholder>
              <w:docPart w:val="CAD2D506A5824AB88D896BC2795BCEDE"/>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6603" w:type="dxa"/>
                <w:vAlign w:val="center"/>
              </w:tcPr>
              <w:p w14:paraId="2F311498" w14:textId="2DA74522" w:rsidR="008A36CF" w:rsidRPr="006901A2" w:rsidRDefault="00C433C3" w:rsidP="008A36CF">
                <w:pPr>
                  <w:pStyle w:val="Tablefont"/>
                  <w:keepNext/>
                  <w:keepLines/>
                  <w:spacing w:before="40" w:after="40"/>
                  <w:rPr>
                    <w:b/>
                  </w:rPr>
                </w:pPr>
                <w:r>
                  <w:rPr>
                    <w:b/>
                  </w:rPr>
                  <w:t>The chemical is not a non-threshold based genotoxic carcinogen.</w:t>
                </w:r>
              </w:p>
            </w:tc>
          </w:sdtContent>
        </w:sdt>
        <w:tc>
          <w:tcPr>
            <w:tcW w:w="2423" w:type="dxa"/>
            <w:vAlign w:val="center"/>
          </w:tcPr>
          <w:p w14:paraId="08EFE4C3" w14:textId="77777777" w:rsidR="008A36CF" w:rsidRDefault="008A36CF" w:rsidP="008A36CF">
            <w:pPr>
              <w:pStyle w:val="Tablefont"/>
              <w:keepNext/>
              <w:keepLines/>
              <w:spacing w:before="40" w:after="40"/>
            </w:pPr>
          </w:p>
        </w:tc>
      </w:tr>
    </w:tbl>
    <w:bookmarkEnd w:id="1"/>
    <w:p w14:paraId="4ED30960"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20" w:firstRow="1" w:lastRow="0" w:firstColumn="0" w:lastColumn="0" w:noHBand="1" w:noVBand="1"/>
        <w:tblCaption w:val="Table"/>
        <w:tblDescription w:val="Listing notations"/>
      </w:tblPr>
      <w:tblGrid>
        <w:gridCol w:w="3153"/>
        <w:gridCol w:w="5873"/>
      </w:tblGrid>
      <w:tr w:rsidR="00687890" w:rsidRPr="004C23F4" w14:paraId="0322C1B1" w14:textId="77777777" w:rsidTr="008B1015">
        <w:trPr>
          <w:cnfStyle w:val="100000000000" w:firstRow="1" w:lastRow="0" w:firstColumn="0" w:lastColumn="0" w:oddVBand="0" w:evenVBand="0" w:oddHBand="0" w:evenHBand="0" w:firstRowFirstColumn="0" w:firstRowLastColumn="0" w:lastRowFirstColumn="0" w:lastRowLastColumn="0"/>
          <w:cantSplit/>
          <w:tblHeader/>
        </w:trPr>
        <w:tc>
          <w:tcPr>
            <w:tcW w:w="3227" w:type="dxa"/>
            <w:shd w:val="clear" w:color="auto" w:fill="BFBFBF" w:themeFill="background1" w:themeFillShade="BF"/>
            <w:vAlign w:val="center"/>
          </w:tcPr>
          <w:p w14:paraId="111B8BE8" w14:textId="77777777" w:rsidR="00687890" w:rsidRPr="004C23F4" w:rsidRDefault="00687890" w:rsidP="00263255">
            <w:pPr>
              <w:pStyle w:val="Tableheader"/>
            </w:pPr>
            <w:bookmarkStart w:id="2" w:name="Notations"/>
            <w:r w:rsidRPr="004C23F4">
              <w:t>Source</w:t>
            </w:r>
          </w:p>
        </w:tc>
        <w:tc>
          <w:tcPr>
            <w:tcW w:w="6015" w:type="dxa"/>
            <w:shd w:val="clear" w:color="auto" w:fill="BFBFBF" w:themeFill="background1" w:themeFillShade="BF"/>
            <w:vAlign w:val="center"/>
          </w:tcPr>
          <w:p w14:paraId="68D30990" w14:textId="77777777" w:rsidR="00687890" w:rsidRPr="004C23F4" w:rsidRDefault="00687890" w:rsidP="00F4402E">
            <w:pPr>
              <w:pStyle w:val="Tableheader"/>
              <w:tabs>
                <w:tab w:val="right" w:pos="5272"/>
              </w:tabs>
            </w:pPr>
            <w:r w:rsidRPr="004C23F4">
              <w:t>Notations</w:t>
            </w:r>
            <w:r w:rsidR="003A2B94">
              <w:tab/>
            </w:r>
          </w:p>
        </w:tc>
      </w:tr>
      <w:tr w:rsidR="00687890" w:rsidRPr="004C23F4" w14:paraId="7ECB11B3" w14:textId="77777777" w:rsidTr="008B1015">
        <w:trPr>
          <w:cantSplit/>
        </w:trPr>
        <w:tc>
          <w:tcPr>
            <w:tcW w:w="3227" w:type="dxa"/>
          </w:tcPr>
          <w:p w14:paraId="676D57C0" w14:textId="77777777" w:rsidR="004079B4" w:rsidRPr="004C23F4" w:rsidRDefault="00084513" w:rsidP="00F4402E">
            <w:pPr>
              <w:pStyle w:val="Tablefont"/>
            </w:pPr>
            <w:r w:rsidRPr="004C23F4">
              <w:t>SWA</w:t>
            </w:r>
          </w:p>
        </w:tc>
        <w:tc>
          <w:tcPr>
            <w:tcW w:w="6015" w:type="dxa"/>
          </w:tcPr>
          <w:p w14:paraId="68CC4049" w14:textId="5E122E60" w:rsidR="00687890" w:rsidRPr="00DD2F9B" w:rsidRDefault="00CF210E" w:rsidP="00DD2F9B">
            <w:pPr>
              <w:pStyle w:val="Tablefont"/>
            </w:pPr>
            <w:r>
              <w:t>NA</w:t>
            </w:r>
          </w:p>
        </w:tc>
      </w:tr>
      <w:tr w:rsidR="007925F0" w:rsidRPr="004C23F4" w14:paraId="0D470346" w14:textId="77777777" w:rsidTr="008B1015">
        <w:trPr>
          <w:cantSplit/>
        </w:trPr>
        <w:tc>
          <w:tcPr>
            <w:tcW w:w="3227" w:type="dxa"/>
          </w:tcPr>
          <w:p w14:paraId="4F72F06B" w14:textId="77777777" w:rsidR="004079B4" w:rsidRPr="004C23F4" w:rsidRDefault="007925F0" w:rsidP="00F4402E">
            <w:pPr>
              <w:pStyle w:val="Tablefont"/>
            </w:pPr>
            <w:r>
              <w:t>HCIS</w:t>
            </w:r>
          </w:p>
        </w:tc>
        <w:tc>
          <w:tcPr>
            <w:tcW w:w="6015" w:type="dxa"/>
          </w:tcPr>
          <w:p w14:paraId="077E2466" w14:textId="577DDF37" w:rsidR="007925F0" w:rsidRPr="00DD2F9B" w:rsidRDefault="00CF210E" w:rsidP="00DD2F9B">
            <w:pPr>
              <w:pStyle w:val="Tablefont"/>
            </w:pPr>
            <w:r w:rsidRPr="00CF210E">
              <w:t>Carcinogenicity – category 2</w:t>
            </w:r>
          </w:p>
        </w:tc>
      </w:tr>
      <w:tr w:rsidR="00AF483F" w:rsidRPr="004C23F4" w14:paraId="55CF5A5E" w14:textId="77777777" w:rsidTr="008B1015">
        <w:trPr>
          <w:cantSplit/>
        </w:trPr>
        <w:tc>
          <w:tcPr>
            <w:tcW w:w="3227" w:type="dxa"/>
          </w:tcPr>
          <w:p w14:paraId="785539F7" w14:textId="77777777" w:rsidR="00AF483F" w:rsidRPr="004C23F4" w:rsidRDefault="00AF483F" w:rsidP="00F4402E">
            <w:pPr>
              <w:pStyle w:val="Tablefont"/>
            </w:pPr>
            <w:r>
              <w:t>NICNAS</w:t>
            </w:r>
          </w:p>
        </w:tc>
        <w:tc>
          <w:tcPr>
            <w:tcW w:w="6015" w:type="dxa"/>
          </w:tcPr>
          <w:p w14:paraId="789DB901" w14:textId="6D07D2A8" w:rsidR="00AF483F" w:rsidRPr="00DD2F9B" w:rsidRDefault="00CF210E" w:rsidP="00DD2F9B">
            <w:pPr>
              <w:pStyle w:val="Tablefont"/>
            </w:pPr>
            <w:proofErr w:type="spellStart"/>
            <w:r w:rsidRPr="00CF210E">
              <w:t>Carc</w:t>
            </w:r>
            <w:proofErr w:type="spellEnd"/>
            <w:r w:rsidRPr="00CF210E">
              <w:t>. Cat</w:t>
            </w:r>
            <w:r w:rsidR="00150CC0">
              <w:t>.</w:t>
            </w:r>
            <w:r w:rsidRPr="00CF210E">
              <w:t xml:space="preserve"> 3</w:t>
            </w:r>
          </w:p>
        </w:tc>
      </w:tr>
      <w:tr w:rsidR="00687890" w:rsidRPr="004C23F4" w14:paraId="00C7B415" w14:textId="77777777" w:rsidTr="008B1015">
        <w:trPr>
          <w:cantSplit/>
        </w:trPr>
        <w:tc>
          <w:tcPr>
            <w:tcW w:w="3227" w:type="dxa"/>
          </w:tcPr>
          <w:p w14:paraId="0ECA9D7F" w14:textId="77777777" w:rsidR="004079B4" w:rsidRPr="004C23F4" w:rsidRDefault="00687890" w:rsidP="00F4402E">
            <w:pPr>
              <w:pStyle w:val="Tablefont"/>
            </w:pPr>
            <w:r w:rsidRPr="004C23F4">
              <w:t>EU Annex</w:t>
            </w:r>
          </w:p>
        </w:tc>
        <w:tc>
          <w:tcPr>
            <w:tcW w:w="6015" w:type="dxa"/>
          </w:tcPr>
          <w:p w14:paraId="0E08C058" w14:textId="4919B25C" w:rsidR="00687890" w:rsidRPr="00DD2F9B" w:rsidRDefault="00CF210E" w:rsidP="00DD2F9B">
            <w:pPr>
              <w:pStyle w:val="Tablefont"/>
            </w:pPr>
            <w:r w:rsidRPr="00CF210E">
              <w:t>Carcinogenicity – category 2</w:t>
            </w:r>
          </w:p>
        </w:tc>
      </w:tr>
      <w:tr w:rsidR="00E41A26" w:rsidRPr="004C23F4" w14:paraId="3CE81558" w14:textId="77777777" w:rsidTr="008B1015">
        <w:trPr>
          <w:cantSplit/>
        </w:trPr>
        <w:tc>
          <w:tcPr>
            <w:tcW w:w="3227" w:type="dxa"/>
          </w:tcPr>
          <w:p w14:paraId="08544161" w14:textId="77777777" w:rsidR="00E41A26" w:rsidRDefault="00E41A26" w:rsidP="00F4402E">
            <w:pPr>
              <w:pStyle w:val="Tablefont"/>
            </w:pPr>
            <w:r>
              <w:t>ECHA</w:t>
            </w:r>
          </w:p>
        </w:tc>
        <w:tc>
          <w:tcPr>
            <w:tcW w:w="6015" w:type="dxa"/>
          </w:tcPr>
          <w:p w14:paraId="235CDF1D" w14:textId="00EDC4C0" w:rsidR="00E41A26" w:rsidRPr="00DD2F9B" w:rsidRDefault="00CF210E" w:rsidP="00DD2F9B">
            <w:pPr>
              <w:pStyle w:val="Tablefont"/>
            </w:pPr>
            <w:proofErr w:type="spellStart"/>
            <w:r w:rsidRPr="00CF210E">
              <w:t>Carc</w:t>
            </w:r>
            <w:proofErr w:type="spellEnd"/>
            <w:r w:rsidRPr="00CF210E">
              <w:t>. 2</w:t>
            </w:r>
          </w:p>
        </w:tc>
      </w:tr>
      <w:tr w:rsidR="002E0D61" w:rsidRPr="004C23F4" w14:paraId="2C9AC7BB" w14:textId="77777777" w:rsidTr="008B1015">
        <w:trPr>
          <w:cantSplit/>
        </w:trPr>
        <w:tc>
          <w:tcPr>
            <w:tcW w:w="3227" w:type="dxa"/>
          </w:tcPr>
          <w:p w14:paraId="2E879CD6" w14:textId="77777777" w:rsidR="004079B4" w:rsidRPr="004C23F4" w:rsidRDefault="002E0D61" w:rsidP="00F4402E">
            <w:pPr>
              <w:pStyle w:val="Tablefont"/>
            </w:pPr>
            <w:r>
              <w:t>ACGIH</w:t>
            </w:r>
          </w:p>
        </w:tc>
        <w:tc>
          <w:tcPr>
            <w:tcW w:w="6015" w:type="dxa"/>
          </w:tcPr>
          <w:p w14:paraId="23988108" w14:textId="5C4E852C" w:rsidR="002E0D61" w:rsidRPr="00DD2F9B" w:rsidRDefault="003262EC" w:rsidP="00DD2F9B">
            <w:pPr>
              <w:pStyle w:val="Tablefont"/>
            </w:pPr>
            <w:r>
              <w:t>NA</w:t>
            </w:r>
          </w:p>
        </w:tc>
      </w:tr>
      <w:tr w:rsidR="002E0D61" w:rsidRPr="004C23F4" w14:paraId="7EE7C845" w14:textId="77777777" w:rsidTr="008B1015">
        <w:trPr>
          <w:cantSplit/>
        </w:trPr>
        <w:tc>
          <w:tcPr>
            <w:tcW w:w="3227" w:type="dxa"/>
          </w:tcPr>
          <w:p w14:paraId="48ED10C6" w14:textId="77777777" w:rsidR="004079B4" w:rsidRPr="004C23F4" w:rsidRDefault="002E0D61" w:rsidP="00F4402E">
            <w:pPr>
              <w:pStyle w:val="Tablefont"/>
            </w:pPr>
            <w:r>
              <w:t>DFG</w:t>
            </w:r>
          </w:p>
        </w:tc>
        <w:tc>
          <w:tcPr>
            <w:tcW w:w="6015" w:type="dxa"/>
          </w:tcPr>
          <w:p w14:paraId="49A94C7A" w14:textId="09AB93FF" w:rsidR="002E0D61" w:rsidRPr="00DD2F9B" w:rsidRDefault="003262EC" w:rsidP="00DD2F9B">
            <w:pPr>
              <w:pStyle w:val="Tablefont"/>
            </w:pPr>
            <w:r w:rsidRPr="003262EC">
              <w:t>Carcinogenicity – 4</w:t>
            </w:r>
            <w:r>
              <w:t xml:space="preserve">, </w:t>
            </w:r>
            <w:r w:rsidRPr="003262EC">
              <w:t>H (skin)</w:t>
            </w:r>
          </w:p>
        </w:tc>
      </w:tr>
      <w:tr w:rsidR="002E0D61" w:rsidRPr="004C23F4" w14:paraId="425025A5" w14:textId="77777777" w:rsidTr="008B1015">
        <w:trPr>
          <w:cantSplit/>
        </w:trPr>
        <w:tc>
          <w:tcPr>
            <w:tcW w:w="3227" w:type="dxa"/>
          </w:tcPr>
          <w:p w14:paraId="1CFB0B1C" w14:textId="77777777" w:rsidR="004079B4" w:rsidRPr="004C23F4" w:rsidRDefault="002E0D61" w:rsidP="00F4402E">
            <w:pPr>
              <w:pStyle w:val="Tablefont"/>
            </w:pPr>
            <w:r>
              <w:t>SCOEL</w:t>
            </w:r>
          </w:p>
        </w:tc>
        <w:tc>
          <w:tcPr>
            <w:tcW w:w="6015" w:type="dxa"/>
          </w:tcPr>
          <w:p w14:paraId="65E5F761" w14:textId="17564FE4" w:rsidR="002E0D61" w:rsidRPr="00DD2F9B" w:rsidRDefault="003262EC" w:rsidP="00DD2F9B">
            <w:pPr>
              <w:pStyle w:val="Tablefont"/>
            </w:pPr>
            <w:r>
              <w:t>NA</w:t>
            </w:r>
          </w:p>
        </w:tc>
      </w:tr>
      <w:tr w:rsidR="002E0D61" w:rsidRPr="004C23F4" w14:paraId="40D51678" w14:textId="77777777" w:rsidTr="008B1015">
        <w:trPr>
          <w:cantSplit/>
        </w:trPr>
        <w:tc>
          <w:tcPr>
            <w:tcW w:w="3227" w:type="dxa"/>
          </w:tcPr>
          <w:p w14:paraId="17C109E1" w14:textId="77777777" w:rsidR="004079B4" w:rsidRDefault="002E0D61" w:rsidP="00F4402E">
            <w:pPr>
              <w:pStyle w:val="Tablefont"/>
            </w:pPr>
            <w:r>
              <w:t>HCOTN</w:t>
            </w:r>
          </w:p>
        </w:tc>
        <w:tc>
          <w:tcPr>
            <w:tcW w:w="6015" w:type="dxa"/>
          </w:tcPr>
          <w:p w14:paraId="63A4B588" w14:textId="4B4C6A0C" w:rsidR="002E0D61" w:rsidRPr="00DD2F9B" w:rsidRDefault="00ED1552" w:rsidP="00DD2F9B">
            <w:pPr>
              <w:pStyle w:val="Tablefont"/>
            </w:pPr>
            <w:r>
              <w:t>Carcinogenicity – category 3</w:t>
            </w:r>
          </w:p>
        </w:tc>
      </w:tr>
      <w:tr w:rsidR="00386093" w:rsidRPr="004C23F4" w14:paraId="5DAA07CC" w14:textId="77777777" w:rsidTr="008B1015">
        <w:trPr>
          <w:cantSplit/>
        </w:trPr>
        <w:tc>
          <w:tcPr>
            <w:tcW w:w="3227" w:type="dxa"/>
          </w:tcPr>
          <w:p w14:paraId="49CBE14B" w14:textId="77777777" w:rsidR="004079B4" w:rsidRDefault="00386093" w:rsidP="00F4402E">
            <w:pPr>
              <w:pStyle w:val="Tablefont"/>
            </w:pPr>
            <w:r>
              <w:t>IARC</w:t>
            </w:r>
          </w:p>
        </w:tc>
        <w:tc>
          <w:tcPr>
            <w:tcW w:w="6015" w:type="dxa"/>
          </w:tcPr>
          <w:p w14:paraId="2D8EE312" w14:textId="2DE10196" w:rsidR="00386093" w:rsidRPr="00DD2F9B" w:rsidRDefault="003262EC" w:rsidP="00DD2F9B">
            <w:pPr>
              <w:pStyle w:val="Tablefont"/>
            </w:pPr>
            <w:r w:rsidRPr="003262EC">
              <w:t>Carcinogenicity – Group 2B</w:t>
            </w:r>
          </w:p>
        </w:tc>
      </w:tr>
      <w:tr w:rsidR="00386093" w:rsidRPr="004C23F4" w14:paraId="14AC9076" w14:textId="77777777" w:rsidTr="008B1015">
        <w:trPr>
          <w:cantSplit/>
        </w:trPr>
        <w:tc>
          <w:tcPr>
            <w:tcW w:w="3227" w:type="dxa"/>
          </w:tcPr>
          <w:p w14:paraId="5EFA0A47" w14:textId="77777777" w:rsidR="004079B4" w:rsidRDefault="00386093" w:rsidP="00F4402E">
            <w:pPr>
              <w:pStyle w:val="Tablefont"/>
              <w:keepNext/>
            </w:pPr>
            <w:r>
              <w:t>US NIOSH</w:t>
            </w:r>
          </w:p>
        </w:tc>
        <w:tc>
          <w:tcPr>
            <w:tcW w:w="6015" w:type="dxa"/>
          </w:tcPr>
          <w:p w14:paraId="39693895" w14:textId="32F8BFD5" w:rsidR="00386093" w:rsidRPr="00DD2F9B" w:rsidRDefault="003262EC" w:rsidP="00D87570">
            <w:pPr>
              <w:pStyle w:val="Tablefont"/>
              <w:keepNext/>
            </w:pPr>
            <w:r>
              <w:t>NA</w:t>
            </w:r>
          </w:p>
        </w:tc>
      </w:tr>
    </w:tbl>
    <w:bookmarkEnd w:id="2"/>
    <w:p w14:paraId="3B2EBAA9"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0ABBBD4A" w14:textId="77777777" w:rsidR="00474E33" w:rsidRDefault="00474E33" w:rsidP="00474E33">
      <w:pPr>
        <w:pStyle w:val="Heading3"/>
      </w:pPr>
      <w:r>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060A3DD4" w14:textId="77777777" w:rsidTr="00EA6243">
        <w:trPr>
          <w:cantSplit/>
          <w:tblHeader/>
        </w:trPr>
        <w:tc>
          <w:tcPr>
            <w:tcW w:w="5000" w:type="pct"/>
            <w:shd w:val="clear" w:color="auto" w:fill="BFBFBF" w:themeFill="background1" w:themeFillShade="BF"/>
            <w:vAlign w:val="center"/>
          </w:tcPr>
          <w:p w14:paraId="5F5975D4" w14:textId="77777777" w:rsidR="00932DCE" w:rsidRPr="004C23F4" w:rsidRDefault="00932DCE" w:rsidP="00F4402E">
            <w:pPr>
              <w:pStyle w:val="Tableheader"/>
              <w:keepNext/>
              <w:tabs>
                <w:tab w:val="right" w:pos="8800"/>
              </w:tabs>
            </w:pPr>
            <w:bookmarkStart w:id="3" w:name="SkinNot"/>
            <w:r>
              <w:t>Calculation</w:t>
            </w:r>
            <w:r w:rsidR="00177CA1">
              <w:tab/>
            </w:r>
          </w:p>
        </w:tc>
      </w:tr>
      <w:tr w:rsidR="00932DCE" w:rsidRPr="004C23F4" w14:paraId="66B6B316" w14:textId="77777777" w:rsidTr="00EA6243">
        <w:trPr>
          <w:cantSplit/>
          <w:tblHeader/>
        </w:trPr>
        <w:tc>
          <w:tcPr>
            <w:tcW w:w="5000" w:type="pct"/>
            <w:vAlign w:val="center"/>
          </w:tcPr>
          <w:tbl>
            <w:tblPr>
              <w:tblW w:w="8823" w:type="dxa"/>
              <w:tblLook w:val="04A0" w:firstRow="1" w:lastRow="0" w:firstColumn="1" w:lastColumn="0" w:noHBand="0" w:noVBand="1"/>
            </w:tblPr>
            <w:tblGrid>
              <w:gridCol w:w="3841"/>
              <w:gridCol w:w="474"/>
              <w:gridCol w:w="547"/>
              <w:gridCol w:w="727"/>
              <w:gridCol w:w="3234"/>
            </w:tblGrid>
            <w:tr w:rsidR="000257C8" w:rsidRPr="000B1385" w14:paraId="3B96C5CF" w14:textId="77777777" w:rsidTr="000257C8">
              <w:trPr>
                <w:trHeight w:val="271"/>
              </w:trPr>
              <w:tc>
                <w:tcPr>
                  <w:tcW w:w="2190" w:type="pct"/>
                  <w:tcBorders>
                    <w:top w:val="nil"/>
                    <w:left w:val="nil"/>
                    <w:bottom w:val="nil"/>
                    <w:right w:val="nil"/>
                  </w:tcBorders>
                  <w:shd w:val="clear" w:color="000000" w:fill="C5D9F1"/>
                  <w:noWrap/>
                  <w:vAlign w:val="center"/>
                  <w:hideMark/>
                </w:tcPr>
                <w:p w14:paraId="4D91D606" w14:textId="77777777" w:rsidR="00C3133D" w:rsidRPr="000B1385" w:rsidRDefault="00C3133D" w:rsidP="00C3133D">
                  <w:pPr>
                    <w:spacing w:after="0" w:line="240" w:lineRule="auto"/>
                    <w:jc w:val="right"/>
                    <w:rPr>
                      <w:rFonts w:ascii="Segoe UI" w:eastAsia="Times New Roman" w:hAnsi="Segoe UI" w:cs="Segoe UI"/>
                      <w:color w:val="000000"/>
                      <w:sz w:val="18"/>
                      <w:szCs w:val="18"/>
                      <w:lang w:eastAsia="en-AU"/>
                    </w:rPr>
                  </w:pPr>
                  <w:r w:rsidRPr="000B1385">
                    <w:rPr>
                      <w:rFonts w:ascii="Segoe UI" w:eastAsia="Times New Roman" w:hAnsi="Segoe UI" w:cs="Segoe UI"/>
                      <w:color w:val="000000"/>
                      <w:sz w:val="18"/>
                      <w:szCs w:val="18"/>
                      <w:lang w:eastAsia="en-AU"/>
                    </w:rPr>
                    <w:t>Adverse effects in human case study:</w:t>
                  </w:r>
                </w:p>
              </w:tc>
              <w:tc>
                <w:tcPr>
                  <w:tcW w:w="230" w:type="pct"/>
                  <w:tcBorders>
                    <w:top w:val="nil"/>
                    <w:left w:val="nil"/>
                    <w:bottom w:val="nil"/>
                    <w:right w:val="nil"/>
                  </w:tcBorders>
                  <w:shd w:val="clear" w:color="000000" w:fill="C5D9F1"/>
                  <w:noWrap/>
                  <w:vAlign w:val="center"/>
                  <w:hideMark/>
                </w:tcPr>
                <w:p w14:paraId="6ECC7480" w14:textId="77777777" w:rsidR="00C3133D" w:rsidRPr="000B1385" w:rsidRDefault="00C3133D" w:rsidP="00C3133D">
                  <w:pPr>
                    <w:spacing w:after="0" w:line="240" w:lineRule="auto"/>
                    <w:jc w:val="center"/>
                    <w:rPr>
                      <w:rFonts w:ascii="Segoe UI" w:eastAsia="Times New Roman" w:hAnsi="Segoe UI" w:cs="Segoe UI"/>
                      <w:color w:val="000000"/>
                      <w:sz w:val="18"/>
                      <w:szCs w:val="18"/>
                      <w:lang w:eastAsia="en-AU"/>
                    </w:rPr>
                  </w:pPr>
                  <w:r w:rsidRPr="000B1385">
                    <w:rPr>
                      <w:rFonts w:ascii="Segoe UI" w:eastAsia="Times New Roman" w:hAnsi="Segoe UI" w:cs="Segoe UI"/>
                      <w:color w:val="000000"/>
                      <w:sz w:val="18"/>
                      <w:szCs w:val="18"/>
                      <w:lang w:eastAsia="en-AU"/>
                    </w:rPr>
                    <w:t> </w:t>
                  </w:r>
                </w:p>
              </w:tc>
              <w:tc>
                <w:tcPr>
                  <w:tcW w:w="310" w:type="pct"/>
                  <w:tcBorders>
                    <w:top w:val="nil"/>
                    <w:left w:val="nil"/>
                    <w:bottom w:val="nil"/>
                    <w:right w:val="nil"/>
                  </w:tcBorders>
                  <w:shd w:val="clear" w:color="000000" w:fill="C5D9F1"/>
                  <w:noWrap/>
                  <w:vAlign w:val="center"/>
                  <w:hideMark/>
                </w:tcPr>
                <w:p w14:paraId="349E47EA" w14:textId="77777777" w:rsidR="00C3133D" w:rsidRPr="000B1385" w:rsidRDefault="00C3133D" w:rsidP="00C3133D">
                  <w:pPr>
                    <w:spacing w:after="0" w:line="240" w:lineRule="auto"/>
                    <w:rPr>
                      <w:rFonts w:ascii="Segoe UI" w:eastAsia="Times New Roman" w:hAnsi="Segoe UI" w:cs="Segoe UI"/>
                      <w:color w:val="C5D9F1"/>
                      <w:sz w:val="18"/>
                      <w:szCs w:val="18"/>
                      <w:lang w:eastAsia="en-AU"/>
                    </w:rPr>
                  </w:pPr>
                  <w:r w:rsidRPr="000B1385">
                    <w:rPr>
                      <w:rFonts w:ascii="Segoe UI" w:eastAsia="Times New Roman" w:hAnsi="Segoe UI" w:cs="Segoe UI"/>
                      <w:color w:val="C5D9F1"/>
                      <w:sz w:val="18"/>
                      <w:szCs w:val="18"/>
                      <w:lang w:eastAsia="en-AU"/>
                    </w:rPr>
                    <w:t> </w:t>
                  </w:r>
                </w:p>
              </w:tc>
              <w:tc>
                <w:tcPr>
                  <w:tcW w:w="425" w:type="pct"/>
                  <w:tcBorders>
                    <w:top w:val="nil"/>
                    <w:left w:val="nil"/>
                    <w:bottom w:val="nil"/>
                    <w:right w:val="nil"/>
                  </w:tcBorders>
                  <w:shd w:val="clear" w:color="000000" w:fill="C5D9F1"/>
                  <w:noWrap/>
                  <w:vAlign w:val="center"/>
                  <w:hideMark/>
                </w:tcPr>
                <w:p w14:paraId="3739A7C3" w14:textId="77777777" w:rsidR="00C3133D" w:rsidRPr="000B1385" w:rsidRDefault="00C3133D" w:rsidP="00C3133D">
                  <w:pPr>
                    <w:spacing w:after="0" w:line="240" w:lineRule="auto"/>
                    <w:rPr>
                      <w:rFonts w:ascii="Segoe UI" w:eastAsia="Times New Roman" w:hAnsi="Segoe UI" w:cs="Segoe UI"/>
                      <w:color w:val="000000"/>
                      <w:sz w:val="18"/>
                      <w:szCs w:val="18"/>
                      <w:lang w:eastAsia="en-AU"/>
                    </w:rPr>
                  </w:pPr>
                  <w:r w:rsidRPr="000B1385">
                    <w:rPr>
                      <w:rFonts w:ascii="Segoe UI" w:eastAsia="Times New Roman" w:hAnsi="Segoe UI" w:cs="Segoe UI"/>
                      <w:color w:val="000000"/>
                      <w:sz w:val="18"/>
                      <w:szCs w:val="18"/>
                      <w:lang w:eastAsia="en-AU"/>
                    </w:rPr>
                    <w:t> </w:t>
                  </w:r>
                </w:p>
              </w:tc>
              <w:tc>
                <w:tcPr>
                  <w:tcW w:w="1846" w:type="pct"/>
                  <w:tcBorders>
                    <w:top w:val="nil"/>
                    <w:left w:val="nil"/>
                    <w:bottom w:val="nil"/>
                    <w:right w:val="nil"/>
                  </w:tcBorders>
                  <w:shd w:val="clear" w:color="000000" w:fill="C5D9F1"/>
                  <w:noWrap/>
                  <w:vAlign w:val="center"/>
                  <w:hideMark/>
                </w:tcPr>
                <w:p w14:paraId="39E5AFD1" w14:textId="77777777" w:rsidR="00C3133D" w:rsidRPr="000B1385" w:rsidRDefault="00C3133D" w:rsidP="00C3133D">
                  <w:pPr>
                    <w:spacing w:after="0" w:line="240" w:lineRule="auto"/>
                    <w:rPr>
                      <w:rFonts w:ascii="Segoe UI" w:eastAsia="Times New Roman" w:hAnsi="Segoe UI" w:cs="Segoe UI"/>
                      <w:color w:val="000000"/>
                      <w:sz w:val="18"/>
                      <w:szCs w:val="18"/>
                      <w:lang w:eastAsia="en-AU"/>
                    </w:rPr>
                  </w:pPr>
                  <w:r w:rsidRPr="000B1385">
                    <w:rPr>
                      <w:rFonts w:ascii="Segoe UI" w:eastAsia="Times New Roman" w:hAnsi="Segoe UI" w:cs="Segoe UI"/>
                      <w:color w:val="000000"/>
                      <w:sz w:val="18"/>
                      <w:szCs w:val="18"/>
                      <w:lang w:eastAsia="en-AU"/>
                    </w:rPr>
                    <w:t> </w:t>
                  </w:r>
                </w:p>
              </w:tc>
            </w:tr>
            <w:tr w:rsidR="000257C8" w:rsidRPr="000B1385" w14:paraId="75FD77E7" w14:textId="77777777" w:rsidTr="000257C8">
              <w:trPr>
                <w:trHeight w:val="271"/>
              </w:trPr>
              <w:tc>
                <w:tcPr>
                  <w:tcW w:w="2190" w:type="pct"/>
                  <w:tcBorders>
                    <w:top w:val="nil"/>
                    <w:left w:val="nil"/>
                    <w:bottom w:val="nil"/>
                    <w:right w:val="nil"/>
                  </w:tcBorders>
                  <w:shd w:val="clear" w:color="000000" w:fill="C5D9F1"/>
                  <w:noWrap/>
                  <w:vAlign w:val="center"/>
                  <w:hideMark/>
                </w:tcPr>
                <w:p w14:paraId="222F6AB8" w14:textId="77777777" w:rsidR="00C3133D" w:rsidRPr="000B1385" w:rsidRDefault="00C3133D" w:rsidP="00C3133D">
                  <w:pPr>
                    <w:spacing w:after="0" w:line="240" w:lineRule="auto"/>
                    <w:jc w:val="right"/>
                    <w:rPr>
                      <w:rFonts w:ascii="Segoe UI" w:eastAsia="Times New Roman" w:hAnsi="Segoe UI" w:cs="Segoe UI"/>
                      <w:color w:val="000000"/>
                      <w:sz w:val="18"/>
                      <w:szCs w:val="18"/>
                      <w:lang w:eastAsia="en-AU"/>
                    </w:rPr>
                  </w:pPr>
                  <w:r w:rsidRPr="000B1385">
                    <w:rPr>
                      <w:rFonts w:ascii="Segoe UI" w:eastAsia="Times New Roman" w:hAnsi="Segoe UI" w:cs="Segoe UI"/>
                      <w:color w:val="000000"/>
                      <w:sz w:val="18"/>
                      <w:szCs w:val="18"/>
                      <w:lang w:eastAsia="en-AU"/>
                    </w:rPr>
                    <w:t>Dermal LD</w:t>
                  </w:r>
                  <w:r w:rsidRPr="000B1385">
                    <w:rPr>
                      <w:rFonts w:ascii="Segoe UI" w:eastAsia="Times New Roman" w:hAnsi="Segoe UI" w:cs="Segoe UI"/>
                      <w:color w:val="000000"/>
                      <w:sz w:val="18"/>
                      <w:szCs w:val="18"/>
                      <w:vertAlign w:val="subscript"/>
                      <w:lang w:eastAsia="en-AU"/>
                    </w:rPr>
                    <w:t>50</w:t>
                  </w:r>
                  <w:r w:rsidRPr="000B1385">
                    <w:rPr>
                      <w:rFonts w:ascii="Segoe UI" w:eastAsia="Times New Roman" w:hAnsi="Segoe UI" w:cs="Segoe UI"/>
                      <w:color w:val="000000"/>
                      <w:sz w:val="18"/>
                      <w:szCs w:val="18"/>
                      <w:lang w:eastAsia="en-AU"/>
                    </w:rPr>
                    <w:t xml:space="preserve"> ≤1000 mg/kg:</w:t>
                  </w:r>
                </w:p>
              </w:tc>
              <w:tc>
                <w:tcPr>
                  <w:tcW w:w="230" w:type="pct"/>
                  <w:tcBorders>
                    <w:top w:val="nil"/>
                    <w:left w:val="nil"/>
                    <w:bottom w:val="nil"/>
                    <w:right w:val="nil"/>
                  </w:tcBorders>
                  <w:shd w:val="clear" w:color="000000" w:fill="C5D9F1"/>
                  <w:noWrap/>
                  <w:vAlign w:val="center"/>
                  <w:hideMark/>
                </w:tcPr>
                <w:p w14:paraId="101DEA7D" w14:textId="77777777" w:rsidR="00C3133D" w:rsidRPr="000B1385" w:rsidRDefault="00C3133D" w:rsidP="00C3133D">
                  <w:pPr>
                    <w:spacing w:after="0" w:line="240" w:lineRule="auto"/>
                    <w:jc w:val="center"/>
                    <w:rPr>
                      <w:rFonts w:ascii="Segoe UI" w:eastAsia="Times New Roman" w:hAnsi="Segoe UI" w:cs="Segoe UI"/>
                      <w:color w:val="000000"/>
                      <w:sz w:val="18"/>
                      <w:szCs w:val="18"/>
                      <w:lang w:eastAsia="en-AU"/>
                    </w:rPr>
                  </w:pPr>
                  <w:r w:rsidRPr="000B1385">
                    <w:rPr>
                      <w:rFonts w:ascii="Segoe UI" w:eastAsia="Times New Roman" w:hAnsi="Segoe UI" w:cs="Segoe UI"/>
                      <w:color w:val="000000"/>
                      <w:sz w:val="18"/>
                      <w:szCs w:val="18"/>
                      <w:lang w:eastAsia="en-AU"/>
                    </w:rPr>
                    <w:t>no</w:t>
                  </w:r>
                </w:p>
              </w:tc>
              <w:tc>
                <w:tcPr>
                  <w:tcW w:w="310" w:type="pct"/>
                  <w:tcBorders>
                    <w:top w:val="nil"/>
                    <w:left w:val="nil"/>
                    <w:bottom w:val="nil"/>
                    <w:right w:val="nil"/>
                  </w:tcBorders>
                  <w:shd w:val="clear" w:color="000000" w:fill="C5D9F1"/>
                  <w:noWrap/>
                  <w:vAlign w:val="center"/>
                  <w:hideMark/>
                </w:tcPr>
                <w:p w14:paraId="66B9887C" w14:textId="77777777" w:rsidR="00C3133D" w:rsidRPr="000B1385" w:rsidRDefault="00C3133D" w:rsidP="00C3133D">
                  <w:pPr>
                    <w:spacing w:after="0" w:line="240" w:lineRule="auto"/>
                    <w:rPr>
                      <w:rFonts w:ascii="Segoe UI" w:eastAsia="Times New Roman" w:hAnsi="Segoe UI" w:cs="Segoe UI"/>
                      <w:color w:val="C5D9F1"/>
                      <w:sz w:val="18"/>
                      <w:szCs w:val="18"/>
                      <w:lang w:eastAsia="en-AU"/>
                    </w:rPr>
                  </w:pPr>
                  <w:r w:rsidRPr="000B1385">
                    <w:rPr>
                      <w:rFonts w:ascii="Segoe UI" w:eastAsia="Times New Roman" w:hAnsi="Segoe UI" w:cs="Segoe UI"/>
                      <w:color w:val="C5D9F1"/>
                      <w:sz w:val="18"/>
                      <w:szCs w:val="18"/>
                      <w:lang w:eastAsia="en-AU"/>
                    </w:rPr>
                    <w:t> </w:t>
                  </w:r>
                </w:p>
              </w:tc>
              <w:tc>
                <w:tcPr>
                  <w:tcW w:w="425" w:type="pct"/>
                  <w:tcBorders>
                    <w:top w:val="nil"/>
                    <w:left w:val="nil"/>
                    <w:bottom w:val="nil"/>
                    <w:right w:val="nil"/>
                  </w:tcBorders>
                  <w:shd w:val="clear" w:color="000000" w:fill="C5D9F1"/>
                  <w:noWrap/>
                  <w:vAlign w:val="center"/>
                  <w:hideMark/>
                </w:tcPr>
                <w:p w14:paraId="76B5FD65" w14:textId="77777777" w:rsidR="00C3133D" w:rsidRPr="000B1385" w:rsidRDefault="00C3133D" w:rsidP="00C3133D">
                  <w:pPr>
                    <w:spacing w:after="0" w:line="240" w:lineRule="auto"/>
                    <w:rPr>
                      <w:rFonts w:ascii="Segoe UI" w:eastAsia="Times New Roman" w:hAnsi="Segoe UI" w:cs="Segoe UI"/>
                      <w:color w:val="000000"/>
                      <w:sz w:val="18"/>
                      <w:szCs w:val="18"/>
                      <w:lang w:eastAsia="en-AU"/>
                    </w:rPr>
                  </w:pPr>
                  <w:r w:rsidRPr="000B1385">
                    <w:rPr>
                      <w:rFonts w:ascii="Segoe UI" w:eastAsia="Times New Roman" w:hAnsi="Segoe UI" w:cs="Segoe UI"/>
                      <w:color w:val="000000"/>
                      <w:sz w:val="18"/>
                      <w:szCs w:val="18"/>
                      <w:lang w:eastAsia="en-AU"/>
                    </w:rPr>
                    <w:t> </w:t>
                  </w:r>
                </w:p>
              </w:tc>
              <w:tc>
                <w:tcPr>
                  <w:tcW w:w="1846" w:type="pct"/>
                  <w:tcBorders>
                    <w:top w:val="nil"/>
                    <w:left w:val="nil"/>
                    <w:bottom w:val="nil"/>
                    <w:right w:val="nil"/>
                  </w:tcBorders>
                  <w:shd w:val="clear" w:color="000000" w:fill="C5D9F1"/>
                  <w:noWrap/>
                  <w:vAlign w:val="center"/>
                  <w:hideMark/>
                </w:tcPr>
                <w:p w14:paraId="3EC711AA" w14:textId="77777777" w:rsidR="00C3133D" w:rsidRPr="000B1385" w:rsidRDefault="00C3133D" w:rsidP="00C3133D">
                  <w:pPr>
                    <w:spacing w:after="0" w:line="240" w:lineRule="auto"/>
                    <w:rPr>
                      <w:rFonts w:ascii="Segoe UI" w:eastAsia="Times New Roman" w:hAnsi="Segoe UI" w:cs="Segoe UI"/>
                      <w:color w:val="000000"/>
                      <w:sz w:val="18"/>
                      <w:szCs w:val="18"/>
                      <w:lang w:eastAsia="en-AU"/>
                    </w:rPr>
                  </w:pPr>
                  <w:r w:rsidRPr="000B1385">
                    <w:rPr>
                      <w:rFonts w:ascii="Segoe UI" w:eastAsia="Times New Roman" w:hAnsi="Segoe UI" w:cs="Segoe UI"/>
                      <w:color w:val="000000"/>
                      <w:sz w:val="18"/>
                      <w:szCs w:val="18"/>
                      <w:lang w:eastAsia="en-AU"/>
                    </w:rPr>
                    <w:t> </w:t>
                  </w:r>
                </w:p>
              </w:tc>
            </w:tr>
            <w:tr w:rsidR="000257C8" w:rsidRPr="000B1385" w14:paraId="2D688402" w14:textId="77777777" w:rsidTr="000257C8">
              <w:trPr>
                <w:trHeight w:val="271"/>
              </w:trPr>
              <w:tc>
                <w:tcPr>
                  <w:tcW w:w="2190" w:type="pct"/>
                  <w:tcBorders>
                    <w:top w:val="nil"/>
                    <w:left w:val="nil"/>
                    <w:bottom w:val="nil"/>
                    <w:right w:val="nil"/>
                  </w:tcBorders>
                  <w:shd w:val="clear" w:color="000000" w:fill="C5D9F1"/>
                  <w:noWrap/>
                  <w:vAlign w:val="center"/>
                  <w:hideMark/>
                </w:tcPr>
                <w:p w14:paraId="17EDCE42" w14:textId="77777777" w:rsidR="00C3133D" w:rsidRPr="000B1385" w:rsidRDefault="00C3133D" w:rsidP="00C3133D">
                  <w:pPr>
                    <w:spacing w:after="0" w:line="240" w:lineRule="auto"/>
                    <w:jc w:val="right"/>
                    <w:rPr>
                      <w:rFonts w:ascii="Segoe UI" w:eastAsia="Times New Roman" w:hAnsi="Segoe UI" w:cs="Segoe UI"/>
                      <w:color w:val="000000"/>
                      <w:sz w:val="18"/>
                      <w:szCs w:val="18"/>
                      <w:lang w:eastAsia="en-AU"/>
                    </w:rPr>
                  </w:pPr>
                  <w:r w:rsidRPr="000B1385">
                    <w:rPr>
                      <w:rFonts w:ascii="Segoe UI" w:eastAsia="Times New Roman" w:hAnsi="Segoe UI" w:cs="Segoe UI"/>
                      <w:color w:val="000000"/>
                      <w:sz w:val="18"/>
                      <w:szCs w:val="18"/>
                      <w:lang w:eastAsia="en-AU"/>
                    </w:rPr>
                    <w:t>Dermal repeat-dose NOAEL ≤200 mg/kg:</w:t>
                  </w:r>
                </w:p>
              </w:tc>
              <w:tc>
                <w:tcPr>
                  <w:tcW w:w="230" w:type="pct"/>
                  <w:tcBorders>
                    <w:top w:val="nil"/>
                    <w:left w:val="nil"/>
                    <w:bottom w:val="nil"/>
                    <w:right w:val="nil"/>
                  </w:tcBorders>
                  <w:shd w:val="clear" w:color="000000" w:fill="FFEB9C"/>
                  <w:noWrap/>
                  <w:vAlign w:val="center"/>
                  <w:hideMark/>
                </w:tcPr>
                <w:p w14:paraId="190E7ED7" w14:textId="77777777" w:rsidR="00C3133D" w:rsidRPr="000B1385" w:rsidRDefault="00C3133D" w:rsidP="00C3133D">
                  <w:pPr>
                    <w:spacing w:after="0" w:line="240" w:lineRule="auto"/>
                    <w:jc w:val="center"/>
                    <w:rPr>
                      <w:rFonts w:ascii="Segoe UI" w:eastAsia="Times New Roman" w:hAnsi="Segoe UI" w:cs="Segoe UI"/>
                      <w:color w:val="9C6500"/>
                      <w:sz w:val="18"/>
                      <w:szCs w:val="18"/>
                      <w:lang w:eastAsia="en-AU"/>
                    </w:rPr>
                  </w:pPr>
                  <w:r w:rsidRPr="000B1385">
                    <w:rPr>
                      <w:rFonts w:ascii="Segoe UI" w:eastAsia="Times New Roman" w:hAnsi="Segoe UI" w:cs="Segoe UI"/>
                      <w:color w:val="9C6500"/>
                      <w:sz w:val="18"/>
                      <w:szCs w:val="18"/>
                      <w:lang w:eastAsia="en-AU"/>
                    </w:rPr>
                    <w:t>yes</w:t>
                  </w:r>
                </w:p>
              </w:tc>
              <w:tc>
                <w:tcPr>
                  <w:tcW w:w="310" w:type="pct"/>
                  <w:tcBorders>
                    <w:top w:val="nil"/>
                    <w:left w:val="nil"/>
                    <w:bottom w:val="nil"/>
                    <w:right w:val="nil"/>
                  </w:tcBorders>
                  <w:shd w:val="clear" w:color="000000" w:fill="C5D9F1"/>
                  <w:noWrap/>
                  <w:vAlign w:val="center"/>
                  <w:hideMark/>
                </w:tcPr>
                <w:p w14:paraId="5C24AECF" w14:textId="77777777" w:rsidR="00C3133D" w:rsidRPr="000B1385" w:rsidRDefault="00C3133D" w:rsidP="00C3133D">
                  <w:pPr>
                    <w:spacing w:after="0" w:line="240" w:lineRule="auto"/>
                    <w:jc w:val="right"/>
                    <w:rPr>
                      <w:rFonts w:ascii="Segoe UI" w:eastAsia="Times New Roman" w:hAnsi="Segoe UI" w:cs="Segoe UI"/>
                      <w:color w:val="C5D9F1"/>
                      <w:sz w:val="18"/>
                      <w:szCs w:val="18"/>
                      <w:lang w:eastAsia="en-AU"/>
                    </w:rPr>
                  </w:pPr>
                  <w:r w:rsidRPr="000B1385">
                    <w:rPr>
                      <w:rFonts w:ascii="Segoe UI" w:eastAsia="Times New Roman" w:hAnsi="Segoe UI" w:cs="Segoe UI"/>
                      <w:color w:val="C5D9F1"/>
                      <w:sz w:val="18"/>
                      <w:szCs w:val="18"/>
                      <w:lang w:eastAsia="en-AU"/>
                    </w:rPr>
                    <w:t>3.00</w:t>
                  </w:r>
                </w:p>
              </w:tc>
              <w:tc>
                <w:tcPr>
                  <w:tcW w:w="425" w:type="pct"/>
                  <w:tcBorders>
                    <w:top w:val="nil"/>
                    <w:left w:val="nil"/>
                    <w:bottom w:val="nil"/>
                    <w:right w:val="nil"/>
                  </w:tcBorders>
                  <w:shd w:val="clear" w:color="000000" w:fill="C5D9F1"/>
                  <w:noWrap/>
                  <w:vAlign w:val="center"/>
                  <w:hideMark/>
                </w:tcPr>
                <w:p w14:paraId="06531797" w14:textId="77777777" w:rsidR="00C3133D" w:rsidRPr="000B1385" w:rsidRDefault="00C3133D" w:rsidP="00C3133D">
                  <w:pPr>
                    <w:spacing w:after="0" w:line="240" w:lineRule="auto"/>
                    <w:rPr>
                      <w:rFonts w:ascii="Segoe UI" w:eastAsia="Times New Roman" w:hAnsi="Segoe UI" w:cs="Segoe UI"/>
                      <w:color w:val="000000"/>
                      <w:sz w:val="18"/>
                      <w:szCs w:val="18"/>
                      <w:lang w:eastAsia="en-AU"/>
                    </w:rPr>
                  </w:pPr>
                  <w:r w:rsidRPr="000B1385">
                    <w:rPr>
                      <w:rFonts w:ascii="Segoe UI" w:eastAsia="Times New Roman" w:hAnsi="Segoe UI" w:cs="Segoe UI"/>
                      <w:color w:val="000000"/>
                      <w:sz w:val="18"/>
                      <w:szCs w:val="18"/>
                      <w:lang w:eastAsia="en-AU"/>
                    </w:rPr>
                    <w:t> </w:t>
                  </w:r>
                </w:p>
              </w:tc>
              <w:tc>
                <w:tcPr>
                  <w:tcW w:w="1846" w:type="pct"/>
                  <w:tcBorders>
                    <w:top w:val="nil"/>
                    <w:left w:val="nil"/>
                    <w:bottom w:val="nil"/>
                    <w:right w:val="nil"/>
                  </w:tcBorders>
                  <w:shd w:val="clear" w:color="000000" w:fill="C5D9F1"/>
                  <w:noWrap/>
                  <w:vAlign w:val="center"/>
                  <w:hideMark/>
                </w:tcPr>
                <w:p w14:paraId="3CBCADE8" w14:textId="77777777" w:rsidR="00C3133D" w:rsidRPr="000B1385" w:rsidRDefault="00C3133D" w:rsidP="00C3133D">
                  <w:pPr>
                    <w:spacing w:after="0" w:line="240" w:lineRule="auto"/>
                    <w:rPr>
                      <w:rFonts w:ascii="Segoe UI" w:eastAsia="Times New Roman" w:hAnsi="Segoe UI" w:cs="Segoe UI"/>
                      <w:color w:val="000000"/>
                      <w:sz w:val="18"/>
                      <w:szCs w:val="18"/>
                      <w:lang w:eastAsia="en-AU"/>
                    </w:rPr>
                  </w:pPr>
                  <w:r w:rsidRPr="000B1385">
                    <w:rPr>
                      <w:rFonts w:ascii="Segoe UI" w:eastAsia="Times New Roman" w:hAnsi="Segoe UI" w:cs="Segoe UI"/>
                      <w:color w:val="000000"/>
                      <w:sz w:val="18"/>
                      <w:szCs w:val="18"/>
                      <w:lang w:eastAsia="en-AU"/>
                    </w:rPr>
                    <w:t> </w:t>
                  </w:r>
                </w:p>
              </w:tc>
            </w:tr>
            <w:tr w:rsidR="000257C8" w:rsidRPr="000B1385" w14:paraId="44DBF4D7" w14:textId="77777777" w:rsidTr="000257C8">
              <w:trPr>
                <w:trHeight w:val="271"/>
              </w:trPr>
              <w:tc>
                <w:tcPr>
                  <w:tcW w:w="2190" w:type="pct"/>
                  <w:tcBorders>
                    <w:top w:val="nil"/>
                    <w:left w:val="nil"/>
                    <w:bottom w:val="nil"/>
                    <w:right w:val="nil"/>
                  </w:tcBorders>
                  <w:shd w:val="clear" w:color="000000" w:fill="C5D9F1"/>
                  <w:noWrap/>
                  <w:vAlign w:val="center"/>
                  <w:hideMark/>
                </w:tcPr>
                <w:p w14:paraId="1D9D1BB1" w14:textId="77777777" w:rsidR="00C3133D" w:rsidRPr="000B1385" w:rsidRDefault="00C3133D" w:rsidP="00C3133D">
                  <w:pPr>
                    <w:spacing w:after="0" w:line="240" w:lineRule="auto"/>
                    <w:jc w:val="right"/>
                    <w:rPr>
                      <w:rFonts w:ascii="Segoe UI" w:eastAsia="Times New Roman" w:hAnsi="Segoe UI" w:cs="Segoe UI"/>
                      <w:color w:val="000000"/>
                      <w:sz w:val="18"/>
                      <w:szCs w:val="18"/>
                      <w:lang w:eastAsia="en-AU"/>
                    </w:rPr>
                  </w:pPr>
                  <w:r w:rsidRPr="000B1385">
                    <w:rPr>
                      <w:rFonts w:ascii="Segoe UI" w:eastAsia="Times New Roman" w:hAnsi="Segoe UI" w:cs="Segoe UI"/>
                      <w:color w:val="000000"/>
                      <w:sz w:val="18"/>
                      <w:szCs w:val="18"/>
                      <w:lang w:eastAsia="en-AU"/>
                    </w:rPr>
                    <w:t>Dermal LD</w:t>
                  </w:r>
                  <w:r w:rsidRPr="000B1385">
                    <w:rPr>
                      <w:rFonts w:ascii="Segoe UI" w:eastAsia="Times New Roman" w:hAnsi="Segoe UI" w:cs="Segoe UI"/>
                      <w:color w:val="000000"/>
                      <w:sz w:val="18"/>
                      <w:szCs w:val="18"/>
                      <w:vertAlign w:val="subscript"/>
                      <w:lang w:eastAsia="en-AU"/>
                    </w:rPr>
                    <w:t>50</w:t>
                  </w:r>
                  <w:r w:rsidRPr="000B1385">
                    <w:rPr>
                      <w:rFonts w:ascii="Segoe UI" w:eastAsia="Times New Roman" w:hAnsi="Segoe UI" w:cs="Segoe UI"/>
                      <w:color w:val="000000"/>
                      <w:sz w:val="18"/>
                      <w:szCs w:val="18"/>
                      <w:lang w:eastAsia="en-AU"/>
                    </w:rPr>
                    <w:t>/Inhalation LD</w:t>
                  </w:r>
                  <w:r w:rsidRPr="000B1385">
                    <w:rPr>
                      <w:rFonts w:ascii="Segoe UI" w:eastAsia="Times New Roman" w:hAnsi="Segoe UI" w:cs="Segoe UI"/>
                      <w:color w:val="000000"/>
                      <w:sz w:val="18"/>
                      <w:szCs w:val="18"/>
                      <w:vertAlign w:val="subscript"/>
                      <w:lang w:eastAsia="en-AU"/>
                    </w:rPr>
                    <w:t>50</w:t>
                  </w:r>
                  <w:r w:rsidRPr="000B1385">
                    <w:rPr>
                      <w:rFonts w:ascii="Segoe UI" w:eastAsia="Times New Roman" w:hAnsi="Segoe UI" w:cs="Segoe UI"/>
                      <w:color w:val="000000"/>
                      <w:sz w:val="18"/>
                      <w:szCs w:val="18"/>
                      <w:lang w:eastAsia="en-AU"/>
                    </w:rPr>
                    <w:t xml:space="preserve"> &lt;10:</w:t>
                  </w:r>
                </w:p>
              </w:tc>
              <w:tc>
                <w:tcPr>
                  <w:tcW w:w="230" w:type="pct"/>
                  <w:tcBorders>
                    <w:top w:val="nil"/>
                    <w:left w:val="nil"/>
                    <w:bottom w:val="nil"/>
                    <w:right w:val="nil"/>
                  </w:tcBorders>
                  <w:shd w:val="clear" w:color="000000" w:fill="C5D9F1"/>
                  <w:noWrap/>
                  <w:vAlign w:val="center"/>
                  <w:hideMark/>
                </w:tcPr>
                <w:p w14:paraId="2F3C1C69" w14:textId="77777777" w:rsidR="00C3133D" w:rsidRPr="000B1385" w:rsidRDefault="00C3133D" w:rsidP="00C3133D">
                  <w:pPr>
                    <w:spacing w:after="0" w:line="240" w:lineRule="auto"/>
                    <w:jc w:val="center"/>
                    <w:rPr>
                      <w:rFonts w:ascii="Segoe UI" w:eastAsia="Times New Roman" w:hAnsi="Segoe UI" w:cs="Segoe UI"/>
                      <w:color w:val="000000"/>
                      <w:sz w:val="18"/>
                      <w:szCs w:val="18"/>
                      <w:lang w:eastAsia="en-AU"/>
                    </w:rPr>
                  </w:pPr>
                  <w:r w:rsidRPr="000B1385">
                    <w:rPr>
                      <w:rFonts w:ascii="Segoe UI" w:eastAsia="Times New Roman" w:hAnsi="Segoe UI" w:cs="Segoe UI"/>
                      <w:color w:val="000000"/>
                      <w:sz w:val="18"/>
                      <w:szCs w:val="18"/>
                      <w:lang w:eastAsia="en-AU"/>
                    </w:rPr>
                    <w:t> </w:t>
                  </w:r>
                </w:p>
              </w:tc>
              <w:tc>
                <w:tcPr>
                  <w:tcW w:w="310" w:type="pct"/>
                  <w:tcBorders>
                    <w:top w:val="nil"/>
                    <w:left w:val="nil"/>
                    <w:bottom w:val="nil"/>
                    <w:right w:val="nil"/>
                  </w:tcBorders>
                  <w:shd w:val="clear" w:color="000000" w:fill="C5D9F1"/>
                  <w:noWrap/>
                  <w:vAlign w:val="center"/>
                  <w:hideMark/>
                </w:tcPr>
                <w:p w14:paraId="301AAA15" w14:textId="77777777" w:rsidR="00C3133D" w:rsidRPr="000B1385" w:rsidRDefault="00C3133D" w:rsidP="00C3133D">
                  <w:pPr>
                    <w:spacing w:after="0" w:line="240" w:lineRule="auto"/>
                    <w:rPr>
                      <w:rFonts w:ascii="Segoe UI" w:eastAsia="Times New Roman" w:hAnsi="Segoe UI" w:cs="Segoe UI"/>
                      <w:color w:val="C5D9F1"/>
                      <w:sz w:val="18"/>
                      <w:szCs w:val="18"/>
                      <w:lang w:eastAsia="en-AU"/>
                    </w:rPr>
                  </w:pPr>
                  <w:r w:rsidRPr="000B1385">
                    <w:rPr>
                      <w:rFonts w:ascii="Segoe UI" w:eastAsia="Times New Roman" w:hAnsi="Segoe UI" w:cs="Segoe UI"/>
                      <w:color w:val="C5D9F1"/>
                      <w:sz w:val="18"/>
                      <w:szCs w:val="18"/>
                      <w:lang w:eastAsia="en-AU"/>
                    </w:rPr>
                    <w:t> </w:t>
                  </w:r>
                </w:p>
              </w:tc>
              <w:tc>
                <w:tcPr>
                  <w:tcW w:w="425" w:type="pct"/>
                  <w:tcBorders>
                    <w:top w:val="nil"/>
                    <w:left w:val="nil"/>
                    <w:bottom w:val="nil"/>
                    <w:right w:val="nil"/>
                  </w:tcBorders>
                  <w:shd w:val="clear" w:color="000000" w:fill="C5D9F1"/>
                  <w:noWrap/>
                  <w:vAlign w:val="center"/>
                  <w:hideMark/>
                </w:tcPr>
                <w:p w14:paraId="09FBBB7A" w14:textId="77777777" w:rsidR="00C3133D" w:rsidRPr="000B1385" w:rsidRDefault="00C3133D" w:rsidP="00C3133D">
                  <w:pPr>
                    <w:spacing w:after="0" w:line="240" w:lineRule="auto"/>
                    <w:rPr>
                      <w:rFonts w:ascii="Segoe UI" w:eastAsia="Times New Roman" w:hAnsi="Segoe UI" w:cs="Segoe UI"/>
                      <w:color w:val="000000"/>
                      <w:sz w:val="18"/>
                      <w:szCs w:val="18"/>
                      <w:lang w:eastAsia="en-AU"/>
                    </w:rPr>
                  </w:pPr>
                  <w:r w:rsidRPr="000B1385">
                    <w:rPr>
                      <w:rFonts w:ascii="Segoe UI" w:eastAsia="Times New Roman" w:hAnsi="Segoe UI" w:cs="Segoe UI"/>
                      <w:color w:val="000000"/>
                      <w:sz w:val="18"/>
                      <w:szCs w:val="18"/>
                      <w:lang w:eastAsia="en-AU"/>
                    </w:rPr>
                    <w:t> </w:t>
                  </w:r>
                </w:p>
              </w:tc>
              <w:tc>
                <w:tcPr>
                  <w:tcW w:w="1846" w:type="pct"/>
                  <w:tcBorders>
                    <w:top w:val="nil"/>
                    <w:left w:val="nil"/>
                    <w:bottom w:val="nil"/>
                    <w:right w:val="nil"/>
                  </w:tcBorders>
                  <w:shd w:val="clear" w:color="000000" w:fill="C5D9F1"/>
                  <w:noWrap/>
                  <w:vAlign w:val="center"/>
                  <w:hideMark/>
                </w:tcPr>
                <w:p w14:paraId="1953F49D" w14:textId="77777777" w:rsidR="00C3133D" w:rsidRPr="000B1385" w:rsidRDefault="00C3133D" w:rsidP="00C3133D">
                  <w:pPr>
                    <w:spacing w:after="0" w:line="240" w:lineRule="auto"/>
                    <w:rPr>
                      <w:rFonts w:ascii="Segoe UI" w:eastAsia="Times New Roman" w:hAnsi="Segoe UI" w:cs="Segoe UI"/>
                      <w:color w:val="000000"/>
                      <w:sz w:val="18"/>
                      <w:szCs w:val="18"/>
                      <w:lang w:eastAsia="en-AU"/>
                    </w:rPr>
                  </w:pPr>
                  <w:r w:rsidRPr="000B1385">
                    <w:rPr>
                      <w:rFonts w:ascii="Segoe UI" w:eastAsia="Times New Roman" w:hAnsi="Segoe UI" w:cs="Segoe UI"/>
                      <w:color w:val="000000"/>
                      <w:sz w:val="18"/>
                      <w:szCs w:val="18"/>
                      <w:lang w:eastAsia="en-AU"/>
                    </w:rPr>
                    <w:t> </w:t>
                  </w:r>
                </w:p>
              </w:tc>
            </w:tr>
            <w:tr w:rsidR="000257C8" w:rsidRPr="000B1385" w14:paraId="4E4CE111" w14:textId="77777777" w:rsidTr="000257C8">
              <w:trPr>
                <w:trHeight w:val="271"/>
              </w:trPr>
              <w:tc>
                <w:tcPr>
                  <w:tcW w:w="2190" w:type="pct"/>
                  <w:tcBorders>
                    <w:top w:val="nil"/>
                    <w:left w:val="nil"/>
                    <w:bottom w:val="nil"/>
                    <w:right w:val="nil"/>
                  </w:tcBorders>
                  <w:shd w:val="clear" w:color="000000" w:fill="C5D9F1"/>
                  <w:noWrap/>
                  <w:vAlign w:val="center"/>
                  <w:hideMark/>
                </w:tcPr>
                <w:p w14:paraId="454CB2B9" w14:textId="77777777" w:rsidR="00C3133D" w:rsidRPr="000B1385" w:rsidRDefault="00C3133D" w:rsidP="00C3133D">
                  <w:pPr>
                    <w:spacing w:after="0" w:line="240" w:lineRule="auto"/>
                    <w:jc w:val="right"/>
                    <w:rPr>
                      <w:rFonts w:ascii="Segoe UI" w:eastAsia="Times New Roman" w:hAnsi="Segoe UI" w:cs="Segoe UI"/>
                      <w:i/>
                      <w:iCs/>
                      <w:color w:val="000000"/>
                      <w:sz w:val="18"/>
                      <w:szCs w:val="18"/>
                      <w:lang w:eastAsia="en-AU"/>
                    </w:rPr>
                  </w:pPr>
                  <w:r w:rsidRPr="000B1385">
                    <w:rPr>
                      <w:rFonts w:ascii="Segoe UI" w:eastAsia="Times New Roman" w:hAnsi="Segoe UI" w:cs="Segoe UI"/>
                      <w:i/>
                      <w:iCs/>
                      <w:color w:val="000000"/>
                      <w:sz w:val="18"/>
                      <w:szCs w:val="18"/>
                      <w:lang w:eastAsia="en-AU"/>
                    </w:rPr>
                    <w:t>In vivo</w:t>
                  </w:r>
                  <w:r w:rsidRPr="000B1385">
                    <w:rPr>
                      <w:rFonts w:ascii="Segoe UI" w:eastAsia="Times New Roman" w:hAnsi="Segoe UI" w:cs="Segoe UI"/>
                      <w:color w:val="000000"/>
                      <w:sz w:val="18"/>
                      <w:szCs w:val="18"/>
                      <w:lang w:eastAsia="en-AU"/>
                    </w:rPr>
                    <w:t xml:space="preserve"> dermal absorption rate &gt;10%:</w:t>
                  </w:r>
                </w:p>
              </w:tc>
              <w:tc>
                <w:tcPr>
                  <w:tcW w:w="230" w:type="pct"/>
                  <w:tcBorders>
                    <w:top w:val="nil"/>
                    <w:left w:val="nil"/>
                    <w:bottom w:val="nil"/>
                    <w:right w:val="nil"/>
                  </w:tcBorders>
                  <w:shd w:val="clear" w:color="000000" w:fill="C5D9F1"/>
                  <w:noWrap/>
                  <w:vAlign w:val="center"/>
                  <w:hideMark/>
                </w:tcPr>
                <w:p w14:paraId="2A713C26" w14:textId="77777777" w:rsidR="00C3133D" w:rsidRPr="000B1385" w:rsidRDefault="00C3133D" w:rsidP="00C3133D">
                  <w:pPr>
                    <w:spacing w:after="0" w:line="240" w:lineRule="auto"/>
                    <w:jc w:val="center"/>
                    <w:rPr>
                      <w:rFonts w:ascii="Segoe UI" w:eastAsia="Times New Roman" w:hAnsi="Segoe UI" w:cs="Segoe UI"/>
                      <w:color w:val="000000"/>
                      <w:sz w:val="18"/>
                      <w:szCs w:val="18"/>
                      <w:lang w:eastAsia="en-AU"/>
                    </w:rPr>
                  </w:pPr>
                  <w:r w:rsidRPr="000B1385">
                    <w:rPr>
                      <w:rFonts w:ascii="Segoe UI" w:eastAsia="Times New Roman" w:hAnsi="Segoe UI" w:cs="Segoe UI"/>
                      <w:color w:val="000000"/>
                      <w:sz w:val="18"/>
                      <w:szCs w:val="18"/>
                      <w:lang w:eastAsia="en-AU"/>
                    </w:rPr>
                    <w:t> </w:t>
                  </w:r>
                </w:p>
              </w:tc>
              <w:tc>
                <w:tcPr>
                  <w:tcW w:w="310" w:type="pct"/>
                  <w:tcBorders>
                    <w:top w:val="nil"/>
                    <w:left w:val="nil"/>
                    <w:bottom w:val="nil"/>
                    <w:right w:val="nil"/>
                  </w:tcBorders>
                  <w:shd w:val="clear" w:color="000000" w:fill="C5D9F1"/>
                  <w:noWrap/>
                  <w:vAlign w:val="center"/>
                  <w:hideMark/>
                </w:tcPr>
                <w:p w14:paraId="551D4895" w14:textId="77777777" w:rsidR="00C3133D" w:rsidRPr="000B1385" w:rsidRDefault="00C3133D" w:rsidP="00C3133D">
                  <w:pPr>
                    <w:spacing w:after="0" w:line="240" w:lineRule="auto"/>
                    <w:rPr>
                      <w:rFonts w:ascii="Segoe UI" w:eastAsia="Times New Roman" w:hAnsi="Segoe UI" w:cs="Segoe UI"/>
                      <w:color w:val="C5D9F1"/>
                      <w:sz w:val="18"/>
                      <w:szCs w:val="18"/>
                      <w:lang w:eastAsia="en-AU"/>
                    </w:rPr>
                  </w:pPr>
                  <w:r w:rsidRPr="000B1385">
                    <w:rPr>
                      <w:rFonts w:ascii="Segoe UI" w:eastAsia="Times New Roman" w:hAnsi="Segoe UI" w:cs="Segoe UI"/>
                      <w:color w:val="C5D9F1"/>
                      <w:sz w:val="18"/>
                      <w:szCs w:val="18"/>
                      <w:lang w:eastAsia="en-AU"/>
                    </w:rPr>
                    <w:t> </w:t>
                  </w:r>
                </w:p>
              </w:tc>
              <w:tc>
                <w:tcPr>
                  <w:tcW w:w="425" w:type="pct"/>
                  <w:tcBorders>
                    <w:top w:val="nil"/>
                    <w:left w:val="nil"/>
                    <w:bottom w:val="nil"/>
                    <w:right w:val="nil"/>
                  </w:tcBorders>
                  <w:shd w:val="clear" w:color="000000" w:fill="C5D9F1"/>
                  <w:noWrap/>
                  <w:vAlign w:val="center"/>
                  <w:hideMark/>
                </w:tcPr>
                <w:p w14:paraId="5F76609B" w14:textId="77777777" w:rsidR="00C3133D" w:rsidRPr="000B1385" w:rsidRDefault="00C3133D" w:rsidP="00C3133D">
                  <w:pPr>
                    <w:spacing w:after="0" w:line="240" w:lineRule="auto"/>
                    <w:rPr>
                      <w:rFonts w:ascii="Segoe UI" w:eastAsia="Times New Roman" w:hAnsi="Segoe UI" w:cs="Segoe UI"/>
                      <w:color w:val="000000"/>
                      <w:sz w:val="18"/>
                      <w:szCs w:val="18"/>
                      <w:lang w:eastAsia="en-AU"/>
                    </w:rPr>
                  </w:pPr>
                  <w:r w:rsidRPr="000B1385">
                    <w:rPr>
                      <w:rFonts w:ascii="Segoe UI" w:eastAsia="Times New Roman" w:hAnsi="Segoe UI" w:cs="Segoe UI"/>
                      <w:color w:val="000000"/>
                      <w:sz w:val="18"/>
                      <w:szCs w:val="18"/>
                      <w:lang w:eastAsia="en-AU"/>
                    </w:rPr>
                    <w:t> </w:t>
                  </w:r>
                </w:p>
              </w:tc>
              <w:tc>
                <w:tcPr>
                  <w:tcW w:w="1846" w:type="pct"/>
                  <w:tcBorders>
                    <w:top w:val="nil"/>
                    <w:left w:val="nil"/>
                    <w:bottom w:val="nil"/>
                    <w:right w:val="nil"/>
                  </w:tcBorders>
                  <w:shd w:val="clear" w:color="000000" w:fill="C5D9F1"/>
                  <w:noWrap/>
                  <w:vAlign w:val="center"/>
                  <w:hideMark/>
                </w:tcPr>
                <w:p w14:paraId="5B650A66" w14:textId="77777777" w:rsidR="00C3133D" w:rsidRPr="000B1385" w:rsidRDefault="00C3133D" w:rsidP="00C3133D">
                  <w:pPr>
                    <w:spacing w:after="0" w:line="240" w:lineRule="auto"/>
                    <w:rPr>
                      <w:rFonts w:ascii="Segoe UI" w:eastAsia="Times New Roman" w:hAnsi="Segoe UI" w:cs="Segoe UI"/>
                      <w:color w:val="000000"/>
                      <w:sz w:val="18"/>
                      <w:szCs w:val="18"/>
                      <w:lang w:eastAsia="en-AU"/>
                    </w:rPr>
                  </w:pPr>
                  <w:r w:rsidRPr="000B1385">
                    <w:rPr>
                      <w:rFonts w:ascii="Segoe UI" w:eastAsia="Times New Roman" w:hAnsi="Segoe UI" w:cs="Segoe UI"/>
                      <w:color w:val="000000"/>
                      <w:sz w:val="18"/>
                      <w:szCs w:val="18"/>
                      <w:lang w:eastAsia="en-AU"/>
                    </w:rPr>
                    <w:t> </w:t>
                  </w:r>
                </w:p>
              </w:tc>
            </w:tr>
            <w:tr w:rsidR="000257C8" w:rsidRPr="000B1385" w14:paraId="420BDCE3" w14:textId="77777777" w:rsidTr="000257C8">
              <w:trPr>
                <w:trHeight w:val="271"/>
              </w:trPr>
              <w:tc>
                <w:tcPr>
                  <w:tcW w:w="2190" w:type="pct"/>
                  <w:tcBorders>
                    <w:top w:val="nil"/>
                    <w:left w:val="nil"/>
                    <w:bottom w:val="nil"/>
                    <w:right w:val="nil"/>
                  </w:tcBorders>
                  <w:shd w:val="clear" w:color="000000" w:fill="C5D9F1"/>
                  <w:noWrap/>
                  <w:vAlign w:val="center"/>
                  <w:hideMark/>
                </w:tcPr>
                <w:p w14:paraId="7663263C" w14:textId="77777777" w:rsidR="00C3133D" w:rsidRPr="000B1385" w:rsidRDefault="00C3133D" w:rsidP="00C3133D">
                  <w:pPr>
                    <w:spacing w:after="0" w:line="240" w:lineRule="auto"/>
                    <w:jc w:val="right"/>
                    <w:rPr>
                      <w:rFonts w:ascii="Segoe UI" w:eastAsia="Times New Roman" w:hAnsi="Segoe UI" w:cs="Segoe UI"/>
                      <w:color w:val="000000"/>
                      <w:sz w:val="18"/>
                      <w:szCs w:val="18"/>
                      <w:lang w:eastAsia="en-AU"/>
                    </w:rPr>
                  </w:pPr>
                  <w:r w:rsidRPr="000B1385">
                    <w:rPr>
                      <w:rFonts w:ascii="Segoe UI" w:eastAsia="Times New Roman" w:hAnsi="Segoe UI" w:cs="Segoe UI"/>
                      <w:color w:val="000000"/>
                      <w:sz w:val="18"/>
                      <w:szCs w:val="18"/>
                      <w:lang w:eastAsia="en-AU"/>
                    </w:rPr>
                    <w:t>Estimated dermal exposure at WES &gt;10%:</w:t>
                  </w:r>
                </w:p>
              </w:tc>
              <w:tc>
                <w:tcPr>
                  <w:tcW w:w="230" w:type="pct"/>
                  <w:tcBorders>
                    <w:top w:val="nil"/>
                    <w:left w:val="nil"/>
                    <w:bottom w:val="nil"/>
                    <w:right w:val="nil"/>
                  </w:tcBorders>
                  <w:shd w:val="clear" w:color="000000" w:fill="C5D9F1"/>
                  <w:noWrap/>
                  <w:vAlign w:val="center"/>
                  <w:hideMark/>
                </w:tcPr>
                <w:p w14:paraId="54BEBC90" w14:textId="77777777" w:rsidR="00C3133D" w:rsidRPr="000B1385" w:rsidRDefault="00C3133D" w:rsidP="00C3133D">
                  <w:pPr>
                    <w:spacing w:after="0" w:line="240" w:lineRule="auto"/>
                    <w:jc w:val="center"/>
                    <w:rPr>
                      <w:rFonts w:ascii="Segoe UI" w:eastAsia="Times New Roman" w:hAnsi="Segoe UI" w:cs="Segoe UI"/>
                      <w:color w:val="000000"/>
                      <w:sz w:val="18"/>
                      <w:szCs w:val="18"/>
                      <w:lang w:eastAsia="en-AU"/>
                    </w:rPr>
                  </w:pPr>
                  <w:r w:rsidRPr="000B1385">
                    <w:rPr>
                      <w:rFonts w:ascii="Segoe UI" w:eastAsia="Times New Roman" w:hAnsi="Segoe UI" w:cs="Segoe UI"/>
                      <w:color w:val="000000"/>
                      <w:sz w:val="18"/>
                      <w:szCs w:val="18"/>
                      <w:lang w:eastAsia="en-AU"/>
                    </w:rPr>
                    <w:t> </w:t>
                  </w:r>
                </w:p>
              </w:tc>
              <w:tc>
                <w:tcPr>
                  <w:tcW w:w="310" w:type="pct"/>
                  <w:tcBorders>
                    <w:top w:val="nil"/>
                    <w:left w:val="nil"/>
                    <w:bottom w:val="nil"/>
                    <w:right w:val="nil"/>
                  </w:tcBorders>
                  <w:shd w:val="clear" w:color="000000" w:fill="C5D9F1"/>
                  <w:noWrap/>
                  <w:vAlign w:val="center"/>
                  <w:hideMark/>
                </w:tcPr>
                <w:p w14:paraId="3454C864" w14:textId="77777777" w:rsidR="00C3133D" w:rsidRPr="000B1385" w:rsidRDefault="00C3133D" w:rsidP="00C3133D">
                  <w:pPr>
                    <w:spacing w:after="0" w:line="240" w:lineRule="auto"/>
                    <w:rPr>
                      <w:rFonts w:ascii="Segoe UI" w:eastAsia="Times New Roman" w:hAnsi="Segoe UI" w:cs="Segoe UI"/>
                      <w:color w:val="C5D9F1"/>
                      <w:sz w:val="18"/>
                      <w:szCs w:val="18"/>
                      <w:lang w:eastAsia="en-AU"/>
                    </w:rPr>
                  </w:pPr>
                  <w:r w:rsidRPr="000B1385">
                    <w:rPr>
                      <w:rFonts w:ascii="Segoe UI" w:eastAsia="Times New Roman" w:hAnsi="Segoe UI" w:cs="Segoe UI"/>
                      <w:color w:val="C5D9F1"/>
                      <w:sz w:val="18"/>
                      <w:szCs w:val="18"/>
                      <w:lang w:eastAsia="en-AU"/>
                    </w:rPr>
                    <w:t> </w:t>
                  </w:r>
                </w:p>
              </w:tc>
              <w:tc>
                <w:tcPr>
                  <w:tcW w:w="425" w:type="pct"/>
                  <w:tcBorders>
                    <w:top w:val="nil"/>
                    <w:left w:val="nil"/>
                    <w:bottom w:val="nil"/>
                    <w:right w:val="nil"/>
                  </w:tcBorders>
                  <w:shd w:val="clear" w:color="000000" w:fill="C5D9F1"/>
                  <w:noWrap/>
                  <w:vAlign w:val="center"/>
                  <w:hideMark/>
                </w:tcPr>
                <w:p w14:paraId="33986345" w14:textId="77777777" w:rsidR="00C3133D" w:rsidRPr="000B1385" w:rsidRDefault="00C3133D" w:rsidP="00C3133D">
                  <w:pPr>
                    <w:spacing w:after="0" w:line="240" w:lineRule="auto"/>
                    <w:rPr>
                      <w:rFonts w:ascii="Segoe UI" w:eastAsia="Times New Roman" w:hAnsi="Segoe UI" w:cs="Segoe UI"/>
                      <w:color w:val="000000"/>
                      <w:sz w:val="18"/>
                      <w:szCs w:val="18"/>
                      <w:lang w:eastAsia="en-AU"/>
                    </w:rPr>
                  </w:pPr>
                  <w:r w:rsidRPr="000B1385">
                    <w:rPr>
                      <w:rFonts w:ascii="Segoe UI" w:eastAsia="Times New Roman" w:hAnsi="Segoe UI" w:cs="Segoe UI"/>
                      <w:color w:val="000000"/>
                      <w:sz w:val="18"/>
                      <w:szCs w:val="18"/>
                      <w:lang w:eastAsia="en-AU"/>
                    </w:rPr>
                    <w:t> </w:t>
                  </w:r>
                </w:p>
              </w:tc>
              <w:tc>
                <w:tcPr>
                  <w:tcW w:w="1846" w:type="pct"/>
                  <w:tcBorders>
                    <w:top w:val="nil"/>
                    <w:left w:val="nil"/>
                    <w:bottom w:val="nil"/>
                    <w:right w:val="nil"/>
                  </w:tcBorders>
                  <w:shd w:val="clear" w:color="000000" w:fill="C5D9F1"/>
                  <w:noWrap/>
                  <w:vAlign w:val="center"/>
                  <w:hideMark/>
                </w:tcPr>
                <w:p w14:paraId="782517B8" w14:textId="77777777" w:rsidR="00C3133D" w:rsidRPr="000B1385" w:rsidRDefault="00C3133D" w:rsidP="00C3133D">
                  <w:pPr>
                    <w:spacing w:after="0" w:line="240" w:lineRule="auto"/>
                    <w:rPr>
                      <w:rFonts w:ascii="Segoe UI" w:eastAsia="Times New Roman" w:hAnsi="Segoe UI" w:cs="Segoe UI"/>
                      <w:color w:val="000000"/>
                      <w:sz w:val="18"/>
                      <w:szCs w:val="18"/>
                      <w:lang w:eastAsia="en-AU"/>
                    </w:rPr>
                  </w:pPr>
                  <w:r w:rsidRPr="000B1385">
                    <w:rPr>
                      <w:rFonts w:ascii="Segoe UI" w:eastAsia="Times New Roman" w:hAnsi="Segoe UI" w:cs="Segoe UI"/>
                      <w:color w:val="000000"/>
                      <w:sz w:val="18"/>
                      <w:szCs w:val="18"/>
                      <w:lang w:eastAsia="en-AU"/>
                    </w:rPr>
                    <w:t> </w:t>
                  </w:r>
                </w:p>
              </w:tc>
            </w:tr>
            <w:tr w:rsidR="000257C8" w:rsidRPr="000B1385" w14:paraId="6727FB46" w14:textId="77777777" w:rsidTr="000257C8">
              <w:trPr>
                <w:trHeight w:val="271"/>
              </w:trPr>
              <w:tc>
                <w:tcPr>
                  <w:tcW w:w="2190" w:type="pct"/>
                  <w:tcBorders>
                    <w:top w:val="nil"/>
                    <w:left w:val="nil"/>
                    <w:bottom w:val="nil"/>
                    <w:right w:val="nil"/>
                  </w:tcBorders>
                  <w:shd w:val="clear" w:color="000000" w:fill="C5D9F1"/>
                  <w:noWrap/>
                  <w:vAlign w:val="center"/>
                  <w:hideMark/>
                </w:tcPr>
                <w:p w14:paraId="5C25D1CC" w14:textId="77777777" w:rsidR="00C3133D" w:rsidRPr="000B1385" w:rsidRDefault="00C3133D" w:rsidP="00C3133D">
                  <w:pPr>
                    <w:spacing w:after="0" w:line="240" w:lineRule="auto"/>
                    <w:jc w:val="right"/>
                    <w:rPr>
                      <w:rFonts w:ascii="Segoe UI" w:eastAsia="Times New Roman" w:hAnsi="Segoe UI" w:cs="Segoe UI"/>
                      <w:color w:val="000000"/>
                      <w:sz w:val="18"/>
                      <w:szCs w:val="18"/>
                      <w:lang w:eastAsia="en-AU"/>
                    </w:rPr>
                  </w:pPr>
                  <w:r w:rsidRPr="000B1385">
                    <w:rPr>
                      <w:rFonts w:ascii="Segoe UI" w:eastAsia="Times New Roman" w:hAnsi="Segoe UI" w:cs="Segoe UI"/>
                      <w:color w:val="000000"/>
                      <w:sz w:val="18"/>
                      <w:szCs w:val="18"/>
                      <w:lang w:eastAsia="en-AU"/>
                    </w:rPr>
                    <w:t> </w:t>
                  </w:r>
                </w:p>
              </w:tc>
              <w:tc>
                <w:tcPr>
                  <w:tcW w:w="230" w:type="pct"/>
                  <w:tcBorders>
                    <w:top w:val="nil"/>
                    <w:left w:val="nil"/>
                    <w:bottom w:val="nil"/>
                    <w:right w:val="nil"/>
                  </w:tcBorders>
                  <w:shd w:val="clear" w:color="000000" w:fill="C5D9F1"/>
                  <w:noWrap/>
                  <w:vAlign w:val="center"/>
                  <w:hideMark/>
                </w:tcPr>
                <w:p w14:paraId="31EE5714" w14:textId="77777777" w:rsidR="00C3133D" w:rsidRPr="000B1385" w:rsidRDefault="00C3133D" w:rsidP="00C3133D">
                  <w:pPr>
                    <w:spacing w:after="0" w:line="240" w:lineRule="auto"/>
                    <w:jc w:val="center"/>
                    <w:rPr>
                      <w:rFonts w:ascii="Segoe UI" w:eastAsia="Times New Roman" w:hAnsi="Segoe UI" w:cs="Segoe UI"/>
                      <w:color w:val="000000"/>
                      <w:sz w:val="18"/>
                      <w:szCs w:val="18"/>
                      <w:lang w:eastAsia="en-AU"/>
                    </w:rPr>
                  </w:pPr>
                  <w:r w:rsidRPr="000B1385">
                    <w:rPr>
                      <w:rFonts w:ascii="Segoe UI" w:eastAsia="Times New Roman" w:hAnsi="Segoe UI" w:cs="Segoe UI"/>
                      <w:color w:val="000000"/>
                      <w:sz w:val="18"/>
                      <w:szCs w:val="18"/>
                      <w:lang w:eastAsia="en-AU"/>
                    </w:rPr>
                    <w:t> </w:t>
                  </w:r>
                </w:p>
              </w:tc>
              <w:tc>
                <w:tcPr>
                  <w:tcW w:w="310" w:type="pct"/>
                  <w:tcBorders>
                    <w:top w:val="nil"/>
                    <w:left w:val="nil"/>
                    <w:bottom w:val="nil"/>
                    <w:right w:val="nil"/>
                  </w:tcBorders>
                  <w:shd w:val="clear" w:color="000000" w:fill="C5D9F1"/>
                  <w:noWrap/>
                  <w:vAlign w:val="center"/>
                  <w:hideMark/>
                </w:tcPr>
                <w:p w14:paraId="1F8F572F" w14:textId="77777777" w:rsidR="00C3133D" w:rsidRPr="000B1385" w:rsidRDefault="00C3133D" w:rsidP="00C3133D">
                  <w:pPr>
                    <w:spacing w:after="0" w:line="240" w:lineRule="auto"/>
                    <w:jc w:val="right"/>
                    <w:rPr>
                      <w:rFonts w:ascii="Segoe UI" w:eastAsia="Times New Roman" w:hAnsi="Segoe UI" w:cs="Segoe UI"/>
                      <w:color w:val="C5D9F1"/>
                      <w:sz w:val="18"/>
                      <w:szCs w:val="18"/>
                      <w:lang w:eastAsia="en-AU"/>
                    </w:rPr>
                  </w:pPr>
                  <w:r w:rsidRPr="000B1385">
                    <w:rPr>
                      <w:rFonts w:ascii="Segoe UI" w:eastAsia="Times New Roman" w:hAnsi="Segoe UI" w:cs="Segoe UI"/>
                      <w:color w:val="C5D9F1"/>
                      <w:sz w:val="18"/>
                      <w:szCs w:val="18"/>
                      <w:lang w:eastAsia="en-AU"/>
                    </w:rPr>
                    <w:t>3</w:t>
                  </w:r>
                </w:p>
              </w:tc>
              <w:tc>
                <w:tcPr>
                  <w:tcW w:w="425" w:type="pct"/>
                  <w:tcBorders>
                    <w:top w:val="nil"/>
                    <w:left w:val="nil"/>
                    <w:bottom w:val="nil"/>
                    <w:right w:val="nil"/>
                  </w:tcBorders>
                  <w:shd w:val="clear" w:color="000000" w:fill="C5D9F1"/>
                  <w:noWrap/>
                  <w:vAlign w:val="center"/>
                </w:tcPr>
                <w:p w14:paraId="72F21754" w14:textId="36E51AFE" w:rsidR="00C3133D" w:rsidRPr="000B1385" w:rsidRDefault="00C3133D" w:rsidP="00C3133D">
                  <w:pPr>
                    <w:spacing w:after="0" w:line="240" w:lineRule="auto"/>
                    <w:rPr>
                      <w:rFonts w:ascii="Segoe UI" w:eastAsia="Times New Roman" w:hAnsi="Segoe UI" w:cs="Segoe UI"/>
                      <w:b/>
                      <w:bCs/>
                      <w:color w:val="000000"/>
                      <w:sz w:val="18"/>
                      <w:szCs w:val="18"/>
                      <w:lang w:eastAsia="en-AU"/>
                    </w:rPr>
                  </w:pPr>
                </w:p>
              </w:tc>
              <w:tc>
                <w:tcPr>
                  <w:tcW w:w="1846" w:type="pct"/>
                  <w:tcBorders>
                    <w:top w:val="nil"/>
                    <w:left w:val="nil"/>
                    <w:bottom w:val="nil"/>
                    <w:right w:val="nil"/>
                  </w:tcBorders>
                  <w:shd w:val="clear" w:color="000000" w:fill="C5D9F1"/>
                  <w:vAlign w:val="center"/>
                </w:tcPr>
                <w:p w14:paraId="59107366" w14:textId="245779E9" w:rsidR="00C3133D" w:rsidRPr="000B1385" w:rsidRDefault="00C3133D" w:rsidP="00C3133D">
                  <w:pPr>
                    <w:spacing w:after="0" w:line="240" w:lineRule="auto"/>
                    <w:rPr>
                      <w:rFonts w:ascii="Segoe UI" w:eastAsia="Times New Roman" w:hAnsi="Segoe UI" w:cs="Segoe UI"/>
                      <w:b/>
                      <w:bCs/>
                      <w:color w:val="000000"/>
                      <w:sz w:val="18"/>
                      <w:szCs w:val="18"/>
                      <w:lang w:eastAsia="en-AU"/>
                    </w:rPr>
                  </w:pPr>
                  <w:r w:rsidRPr="000B1385">
                    <w:rPr>
                      <w:rFonts w:ascii="Segoe UI" w:eastAsia="Times New Roman" w:hAnsi="Segoe UI" w:cs="Segoe UI"/>
                      <w:b/>
                      <w:bCs/>
                      <w:color w:val="000000"/>
                      <w:sz w:val="18"/>
                      <w:szCs w:val="18"/>
                      <w:lang w:eastAsia="en-AU"/>
                    </w:rPr>
                    <w:t>consider assigning a skin notation</w:t>
                  </w:r>
                </w:p>
              </w:tc>
            </w:tr>
          </w:tbl>
          <w:p w14:paraId="51F2B280" w14:textId="77777777" w:rsidR="00932DCE" w:rsidRPr="004C23F4" w:rsidRDefault="00932DCE" w:rsidP="00F9496B">
            <w:pPr>
              <w:pStyle w:val="Tablefont"/>
            </w:pPr>
          </w:p>
        </w:tc>
      </w:tr>
    </w:tbl>
    <w:bookmarkEnd w:id="3"/>
    <w:p w14:paraId="0A0143FD"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9"/>
        <w:gridCol w:w="4757"/>
      </w:tblGrid>
      <w:tr w:rsidR="00EB3D1B" w14:paraId="5DE55290" w14:textId="77777777" w:rsidTr="00610F2E">
        <w:trPr>
          <w:trHeight w:val="454"/>
          <w:tblHeader/>
        </w:trPr>
        <w:tc>
          <w:tcPr>
            <w:tcW w:w="4361" w:type="dxa"/>
            <w:vAlign w:val="center"/>
          </w:tcPr>
          <w:p w14:paraId="6D99F116"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45C2D154" w14:textId="4D1E0058" w:rsidR="00EB3D1B" w:rsidRDefault="003262EC" w:rsidP="00EB3D1B">
                <w:pPr>
                  <w:pStyle w:val="Tablefont"/>
                </w:pPr>
                <w:r>
                  <w:t>No</w:t>
                </w:r>
              </w:p>
            </w:tc>
          </w:sdtContent>
        </w:sdt>
      </w:tr>
    </w:tbl>
    <w:p w14:paraId="419D505B" w14:textId="77777777" w:rsidR="00687890" w:rsidRPr="004C23F4" w:rsidRDefault="00B479A9" w:rsidP="00B037AD">
      <w:pPr>
        <w:pStyle w:val="Heading2"/>
        <w:pageBreakBefore/>
      </w:pPr>
      <w:r w:rsidRPr="004C23F4">
        <w:lastRenderedPageBreak/>
        <w:t>Additional information</w:t>
      </w:r>
    </w:p>
    <w:tbl>
      <w:tblPr>
        <w:tblStyle w:val="TableGrid"/>
        <w:tblW w:w="5067"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4111"/>
        <w:gridCol w:w="5036"/>
      </w:tblGrid>
      <w:tr w:rsidR="001B79E5" w:rsidRPr="004C23F4" w14:paraId="378BFDDB" w14:textId="77777777" w:rsidTr="00B037AD">
        <w:trPr>
          <w:cantSplit/>
          <w:tblHeader/>
        </w:trPr>
        <w:tc>
          <w:tcPr>
            <w:tcW w:w="4111" w:type="dxa"/>
            <w:vAlign w:val="center"/>
          </w:tcPr>
          <w:p w14:paraId="4B207811"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036" w:type="dxa"/>
                <w:vAlign w:val="center"/>
              </w:tcPr>
              <w:p w14:paraId="37AB092E" w14:textId="1A320002" w:rsidR="001B79E5" w:rsidRDefault="003262EC" w:rsidP="001B79E5">
                <w:pPr>
                  <w:pStyle w:val="Tablefont"/>
                </w:pPr>
                <w:r w:rsidRPr="003262EC">
                  <w:t>414.07</w:t>
                </w:r>
              </w:p>
            </w:tc>
          </w:sdtContent>
        </w:sdt>
      </w:tr>
      <w:tr w:rsidR="00A31D99" w:rsidRPr="004C23F4" w14:paraId="5D3EA5F1" w14:textId="77777777" w:rsidTr="00B037AD">
        <w:trPr>
          <w:cantSplit/>
          <w:tblHeader/>
        </w:trPr>
        <w:tc>
          <w:tcPr>
            <w:tcW w:w="4111" w:type="dxa"/>
            <w:vAlign w:val="center"/>
          </w:tcPr>
          <w:p w14:paraId="109693BA" w14:textId="77777777" w:rsidR="00A31D99" w:rsidRPr="00263255" w:rsidRDefault="00A31D99" w:rsidP="00A31D99">
            <w:pPr>
              <w:pStyle w:val="Tablefont"/>
            </w:pPr>
            <w:r>
              <w:t>Conversion factors at 25</w:t>
            </w:r>
            <w:r>
              <w:rPr>
                <w:rFonts w:cs="Arial"/>
              </w:rPr>
              <w:t>°</w:t>
            </w:r>
            <w:r>
              <w:t xml:space="preserve">C and 101.3 kPa: </w:t>
            </w:r>
          </w:p>
        </w:tc>
        <w:tc>
          <w:tcPr>
            <w:tcW w:w="5036" w:type="dxa"/>
            <w:vAlign w:val="center"/>
          </w:tcPr>
          <w:p w14:paraId="7BADFFE3" w14:textId="4A8C1CA2" w:rsidR="00A31D99" w:rsidRDefault="00A0643F" w:rsidP="00A174CC">
            <w:pPr>
              <w:pStyle w:val="Tablefont"/>
            </w:pPr>
            <w:r>
              <w:t xml:space="preserve">1 ppm = </w:t>
            </w:r>
            <w:sdt>
              <w:sdtPr>
                <w:id w:val="-371151491"/>
                <w:placeholder>
                  <w:docPart w:val="A7231FB73EFF4B2B92EB3BD21C0CEA01"/>
                </w:placeholder>
              </w:sdtPr>
              <w:sdtEndPr/>
              <w:sdtContent>
                <w:r w:rsidR="00920FA0" w:rsidRPr="00920FA0">
                  <w:t>16.94</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EndPr/>
              <w:sdtContent>
                <w:r w:rsidR="00920FA0">
                  <w:t>0.059</w:t>
                </w:r>
              </w:sdtContent>
            </w:sdt>
            <w:r>
              <w:t xml:space="preserve"> ppm</w:t>
            </w:r>
          </w:p>
        </w:tc>
      </w:tr>
      <w:tr w:rsidR="00687890" w:rsidRPr="004C23F4" w14:paraId="0579E548" w14:textId="77777777" w:rsidTr="00B037AD">
        <w:trPr>
          <w:cantSplit/>
          <w:tblHeader/>
        </w:trPr>
        <w:tc>
          <w:tcPr>
            <w:tcW w:w="4111" w:type="dxa"/>
            <w:vAlign w:val="center"/>
          </w:tcPr>
          <w:p w14:paraId="4770FFC4" w14:textId="77777777" w:rsidR="00687890" w:rsidRPr="00263255" w:rsidRDefault="00687890" w:rsidP="00263255">
            <w:pPr>
              <w:pStyle w:val="Tablefont"/>
            </w:pPr>
            <w:r w:rsidRPr="00263255">
              <w:t>This chemical is used as a pesticide:</w:t>
            </w:r>
          </w:p>
        </w:tc>
        <w:sdt>
          <w:sdtPr>
            <w:id w:val="1704441067"/>
            <w14:checkbox>
              <w14:checked w14:val="0"/>
              <w14:checkedState w14:val="00FC" w14:font="Wingdings"/>
              <w14:uncheckedState w14:val="2610" w14:font="MS Gothic"/>
            </w14:checkbox>
          </w:sdtPr>
          <w:sdtEndPr/>
          <w:sdtContent>
            <w:tc>
              <w:tcPr>
                <w:tcW w:w="5036" w:type="dxa"/>
                <w:vAlign w:val="center"/>
              </w:tcPr>
              <w:p w14:paraId="5510EDA6" w14:textId="77777777" w:rsidR="00687890" w:rsidRPr="004C23F4" w:rsidRDefault="00E46BCB" w:rsidP="00717D45">
                <w:pPr>
                  <w:pStyle w:val="Tablefont"/>
                </w:pPr>
                <w:r w:rsidRPr="004C23F4">
                  <w:rPr>
                    <w:rFonts w:ascii="MS Gothic" w:eastAsia="MS Gothic" w:hAnsi="MS Gothic" w:cs="MS Gothic" w:hint="eastAsia"/>
                  </w:rPr>
                  <w:t>☐</w:t>
                </w:r>
              </w:p>
            </w:tc>
          </w:sdtContent>
        </w:sdt>
      </w:tr>
      <w:tr w:rsidR="00687890" w:rsidRPr="004C23F4" w14:paraId="00261466" w14:textId="77777777" w:rsidTr="00B037AD">
        <w:trPr>
          <w:cantSplit/>
        </w:trPr>
        <w:tc>
          <w:tcPr>
            <w:tcW w:w="4111" w:type="dxa"/>
            <w:vAlign w:val="center"/>
          </w:tcPr>
          <w:p w14:paraId="305DA4D1"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036" w:type="dxa"/>
                <w:vAlign w:val="center"/>
              </w:tcPr>
              <w:p w14:paraId="1388BF78"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381D6AA0" w14:textId="77777777" w:rsidTr="00B037AD">
        <w:trPr>
          <w:cantSplit/>
        </w:trPr>
        <w:tc>
          <w:tcPr>
            <w:tcW w:w="4111" w:type="dxa"/>
            <w:vAlign w:val="center"/>
          </w:tcPr>
          <w:p w14:paraId="4FE92A33" w14:textId="77777777" w:rsidR="00687890" w:rsidRPr="00263255" w:rsidRDefault="00687890" w:rsidP="00263255">
            <w:pPr>
              <w:pStyle w:val="Tablefont"/>
            </w:pPr>
            <w:r w:rsidRPr="00263255">
              <w:t>This chemical is a by-product of a process:</w:t>
            </w:r>
          </w:p>
        </w:tc>
        <w:sdt>
          <w:sdtPr>
            <w:id w:val="-863134491"/>
            <w14:checkbox>
              <w14:checked w14:val="0"/>
              <w14:checkedState w14:val="00FC" w14:font="Wingdings"/>
              <w14:uncheckedState w14:val="2610" w14:font="MS Gothic"/>
            </w14:checkbox>
          </w:sdtPr>
          <w:sdtEndPr/>
          <w:sdtContent>
            <w:tc>
              <w:tcPr>
                <w:tcW w:w="5036" w:type="dxa"/>
                <w:vAlign w:val="center"/>
              </w:tcPr>
              <w:p w14:paraId="3F04D99E" w14:textId="77777777" w:rsidR="00687890" w:rsidRPr="004C23F4" w:rsidRDefault="00687890" w:rsidP="00717D45">
                <w:pPr>
                  <w:pStyle w:val="Tablefont"/>
                </w:pPr>
                <w:r w:rsidRPr="004C23F4">
                  <w:rPr>
                    <w:rFonts w:ascii="MS Gothic" w:eastAsia="MS Gothic" w:hAnsi="MS Gothic" w:cs="MS Gothic" w:hint="eastAsia"/>
                  </w:rPr>
                  <w:t>☐</w:t>
                </w:r>
              </w:p>
            </w:tc>
          </w:sdtContent>
        </w:sdt>
      </w:tr>
      <w:tr w:rsidR="00E06F40" w:rsidRPr="004C23F4" w14:paraId="3A52D7B9" w14:textId="77777777" w:rsidTr="00B037AD">
        <w:trPr>
          <w:cantSplit/>
        </w:trPr>
        <w:tc>
          <w:tcPr>
            <w:tcW w:w="4111" w:type="dxa"/>
            <w:vAlign w:val="center"/>
          </w:tcPr>
          <w:p w14:paraId="5B904900"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036" w:type="dxa"/>
            <w:vAlign w:val="center"/>
          </w:tcPr>
          <w:p w14:paraId="494D6CC7" w14:textId="77777777" w:rsidR="00E06F40" w:rsidRPr="00A006A0" w:rsidRDefault="000015AA"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ACGIH</w:t>
            </w:r>
            <w:r w:rsidR="00E06F40">
              <w:tab/>
            </w:r>
            <w:sdt>
              <w:sdtPr>
                <w:id w:val="129367724"/>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172AAE59"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331142A6" w14:textId="77777777" w:rsidTr="00F053FA">
        <w:trPr>
          <w:tblHeader/>
        </w:trPr>
        <w:tc>
          <w:tcPr>
            <w:tcW w:w="4077" w:type="dxa"/>
            <w:shd w:val="clear" w:color="auto" w:fill="BFBFBF" w:themeFill="background1" w:themeFillShade="BF"/>
            <w:vAlign w:val="center"/>
          </w:tcPr>
          <w:p w14:paraId="5B6F5383" w14:textId="77777777" w:rsidR="00224EE2" w:rsidRPr="004C23F4" w:rsidRDefault="00224EE2" w:rsidP="00EB3D1B">
            <w:pPr>
              <w:pStyle w:val="Tableheader"/>
              <w:keepNext/>
              <w:keepLines/>
            </w:pPr>
            <w:bookmarkStart w:id="4" w:name="History" w:colFirst="0" w:colLast="1"/>
            <w:r>
              <w:t>Year</w:t>
            </w:r>
          </w:p>
        </w:tc>
        <w:tc>
          <w:tcPr>
            <w:tcW w:w="5165" w:type="dxa"/>
            <w:shd w:val="clear" w:color="auto" w:fill="BFBFBF" w:themeFill="background1" w:themeFillShade="BF"/>
            <w:vAlign w:val="center"/>
          </w:tcPr>
          <w:p w14:paraId="58E3B7DB" w14:textId="77777777" w:rsidR="00224EE2" w:rsidRPr="004C23F4" w:rsidRDefault="00224EE2" w:rsidP="00EB3D1B">
            <w:pPr>
              <w:pStyle w:val="Tableheader"/>
              <w:keepNext/>
              <w:keepLines/>
            </w:pPr>
            <w:r>
              <w:t>Standard</w:t>
            </w:r>
          </w:p>
        </w:tc>
      </w:tr>
      <w:tr w:rsidR="007F1005" w:rsidRPr="004C23F4" w14:paraId="04F6C80A" w14:textId="77777777" w:rsidTr="00F053FA">
        <w:trPr>
          <w:tblHeader/>
        </w:trPr>
        <w:sdt>
          <w:sdtPr>
            <w:id w:val="-25557549"/>
            <w:placeholder>
              <w:docPart w:val="2BF891C0AB704CDAB9BC6E80D556473F"/>
            </w:placeholder>
            <w:showingPlcHdr/>
            <w:text/>
          </w:sdtPr>
          <w:sdtEndPr/>
          <w:sdtContent>
            <w:tc>
              <w:tcPr>
                <w:tcW w:w="4077" w:type="dxa"/>
                <w:vAlign w:val="center"/>
              </w:tcPr>
              <w:p w14:paraId="383697F9"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2170F1BE" w14:textId="77777777" w:rsidR="007F1005" w:rsidRPr="004C23F4" w:rsidRDefault="007F1005" w:rsidP="00EB3D1B">
            <w:pPr>
              <w:pStyle w:val="Tablefont"/>
              <w:keepLines/>
            </w:pPr>
          </w:p>
        </w:tc>
      </w:tr>
    </w:tbl>
    <w:bookmarkEnd w:id="4"/>
    <w:p w14:paraId="0A64DC16" w14:textId="77777777" w:rsidR="00F87D92" w:rsidRDefault="00F87D92" w:rsidP="00EF7F78">
      <w:pPr>
        <w:pStyle w:val="Heading2"/>
        <w:tabs>
          <w:tab w:val="right" w:pos="8505"/>
        </w:tabs>
      </w:pPr>
      <w:r>
        <w:t>References</w:t>
      </w:r>
      <w:r w:rsidR="00EF7F78">
        <w:tab/>
      </w:r>
    </w:p>
    <w:p w14:paraId="5A5BF129" w14:textId="344BBA01" w:rsidR="007F1005"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3"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582B8F81" w14:textId="4C81D637" w:rsidR="003262EC" w:rsidRDefault="003262EC" w:rsidP="003262EC">
      <w:r>
        <w:t xml:space="preserve">Deutsche </w:t>
      </w:r>
      <w:proofErr w:type="spellStart"/>
      <w:r>
        <w:t>Forschungsgemeinschaft</w:t>
      </w:r>
      <w:proofErr w:type="spellEnd"/>
      <w:r>
        <w:t xml:space="preserve"> (DFG) (2012) Perfluorooctanoic acid and its inorganic salts – MAK value documentation.</w:t>
      </w:r>
    </w:p>
    <w:p w14:paraId="5E8936F9" w14:textId="4D997691" w:rsidR="003262EC" w:rsidRPr="00404089" w:rsidRDefault="003262EC" w:rsidP="00084859">
      <w:pPr>
        <w:rPr>
          <w:b/>
          <w:bCs/>
        </w:rPr>
      </w:pPr>
      <w:r>
        <w:t>European Chemicals Agency (ECHA) (20</w:t>
      </w:r>
      <w:r w:rsidR="00404089">
        <w:t>20</w:t>
      </w:r>
      <w:r>
        <w:t xml:space="preserve">) </w:t>
      </w:r>
      <w:proofErr w:type="spellStart"/>
      <w:r w:rsidR="00404089" w:rsidRPr="00404089">
        <w:rPr>
          <w:bCs/>
        </w:rPr>
        <w:t>Pentadecafluorooctanoic</w:t>
      </w:r>
      <w:proofErr w:type="spellEnd"/>
      <w:r w:rsidR="00404089" w:rsidRPr="00404089">
        <w:rPr>
          <w:bCs/>
        </w:rPr>
        <w:t xml:space="preserve"> acid</w:t>
      </w:r>
      <w:r w:rsidR="00404089">
        <w:rPr>
          <w:b/>
          <w:bCs/>
        </w:rPr>
        <w:t xml:space="preserve"> </w:t>
      </w:r>
      <w:r>
        <w:t>– REACH assessment.</w:t>
      </w:r>
    </w:p>
    <w:p w14:paraId="4549FD53" w14:textId="77777777" w:rsidR="003262EC" w:rsidRDefault="003262EC" w:rsidP="003262EC">
      <w:r>
        <w:t>Tenth Adaptation to Technical Progress Commission Regulation (EU) No 2017/776 amending, for the purposes of its adaptation to technical and scientific progress, Regulation (EC) No 1272/2008 of the European Parliament and of the Council on classification, labelling and packaging of substances and mixtures (the CLP Regulation).</w:t>
      </w:r>
    </w:p>
    <w:p w14:paraId="1111D5DA" w14:textId="58BC63A7" w:rsidR="003262EC" w:rsidRDefault="003262EC" w:rsidP="00084859">
      <w:r>
        <w:t>International Agency for Research on Cancer (IARC) (</w:t>
      </w:r>
      <w:r w:rsidRPr="003262EC">
        <w:t>2017</w:t>
      </w:r>
      <w:r>
        <w:t>)</w:t>
      </w:r>
      <w:r w:rsidR="0011096B">
        <w:t>, Volume 110,</w:t>
      </w:r>
      <w:r>
        <w:t xml:space="preserve"> </w:t>
      </w:r>
      <w:r w:rsidR="0011096B" w:rsidRPr="0011096B">
        <w:t>Some Chemicals Used as Solvents and in Polymer Manufacture</w:t>
      </w:r>
      <w:r>
        <w:t>. IARC Monographs on the evaluation of the carcinogenic risk to humans.</w:t>
      </w:r>
    </w:p>
    <w:p w14:paraId="0847B025" w14:textId="5C68F9DD" w:rsidR="003262EC" w:rsidRPr="00351FE0" w:rsidRDefault="003262EC" w:rsidP="00084859">
      <w:r>
        <w:t>National Industrial Chemicals Notification and Assessment Scheme (NICNAS) (</w:t>
      </w:r>
      <w:r w:rsidRPr="003262EC">
        <w:t>2015</w:t>
      </w:r>
      <w:r>
        <w:t xml:space="preserve">) </w:t>
      </w:r>
      <w:r w:rsidRPr="003262EC">
        <w:t>Perfluorooctanoic Acid (PFOA) and its Direct Precursors</w:t>
      </w:r>
      <w:r>
        <w:t xml:space="preserve">: Human health </w:t>
      </w:r>
      <w:r w:rsidRPr="003262EC">
        <w:t>tier II</w:t>
      </w:r>
      <w:r>
        <w:t xml:space="preserve"> assessment – IMAP report.</w:t>
      </w:r>
    </w:p>
    <w:sectPr w:rsidR="003262EC" w:rsidRPr="00351FE0" w:rsidSect="00B87D4C">
      <w:headerReference w:type="default" r:id="rId14"/>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664C56" w14:textId="77777777" w:rsidR="00E92259" w:rsidRDefault="00E92259" w:rsidP="00F43AD5">
      <w:pPr>
        <w:spacing w:after="0" w:line="240" w:lineRule="auto"/>
      </w:pPr>
      <w:r>
        <w:separator/>
      </w:r>
    </w:p>
  </w:endnote>
  <w:endnote w:type="continuationSeparator" w:id="0">
    <w:p w14:paraId="537A6EA1" w14:textId="77777777" w:rsidR="00E92259" w:rsidRDefault="00E92259"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22988FD4" w14:textId="273B5499" w:rsidR="00E92259" w:rsidRDefault="00E92259" w:rsidP="0034744C">
        <w:pPr>
          <w:pStyle w:val="Footer"/>
          <w:rPr>
            <w:sz w:val="18"/>
            <w:szCs w:val="18"/>
          </w:rPr>
        </w:pPr>
        <w:r w:rsidRPr="00454081">
          <w:rPr>
            <w:b/>
            <w:sz w:val="18"/>
            <w:szCs w:val="18"/>
          </w:rPr>
          <w:t>Perfluorooctanoic acid (PFOA) and its inorganic salts</w:t>
        </w:r>
        <w:r>
          <w:rPr>
            <w:b/>
            <w:sz w:val="18"/>
            <w:szCs w:val="18"/>
          </w:rPr>
          <w:t xml:space="preserve"> (excluding APFO) (</w:t>
        </w:r>
        <w:r w:rsidRPr="00454081">
          <w:rPr>
            <w:b/>
            <w:sz w:val="18"/>
            <w:szCs w:val="18"/>
          </w:rPr>
          <w:t>335-67-1</w:t>
        </w:r>
        <w:r>
          <w:rPr>
            <w:b/>
            <w:sz w:val="18"/>
            <w:szCs w:val="18"/>
          </w:rPr>
          <w:t>)</w:t>
        </w:r>
        <w:r w:rsidRPr="00F43AD5">
          <w:rPr>
            <w:sz w:val="18"/>
            <w:szCs w:val="18"/>
          </w:rPr>
          <w:br/>
          <w:t xml:space="preserve">Safe Work Australia </w:t>
        </w:r>
        <w:r w:rsidRPr="00F43AD5">
          <w:rPr>
            <w:rFonts w:ascii="Courier New" w:hAnsi="Courier New" w:cs="Courier New"/>
            <w:sz w:val="18"/>
            <w:szCs w:val="18"/>
          </w:rPr>
          <w:t>—</w:t>
        </w:r>
        <w:r w:rsidRPr="00F43AD5">
          <w:rPr>
            <w:sz w:val="18"/>
            <w:szCs w:val="18"/>
          </w:rPr>
          <w:t xml:space="preserve"> 20</w:t>
        </w:r>
        <w:r>
          <w:rPr>
            <w:sz w:val="18"/>
            <w:szCs w:val="18"/>
          </w:rPr>
          <w:t>20</w:t>
        </w:r>
      </w:p>
      <w:p w14:paraId="51D26F63" w14:textId="18764143" w:rsidR="00E92259" w:rsidRPr="00F43AD5" w:rsidRDefault="00E92259"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Pr>
            <w:noProof/>
            <w:sz w:val="18"/>
            <w:szCs w:val="18"/>
          </w:rPr>
          <w:t>9</w:t>
        </w:r>
        <w:r w:rsidRPr="00F43AD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A160EC" w14:textId="77777777" w:rsidR="00E92259" w:rsidRDefault="00E92259" w:rsidP="00F43AD5">
      <w:pPr>
        <w:spacing w:after="0" w:line="240" w:lineRule="auto"/>
      </w:pPr>
      <w:r>
        <w:separator/>
      </w:r>
    </w:p>
  </w:footnote>
  <w:footnote w:type="continuationSeparator" w:id="0">
    <w:p w14:paraId="06180598" w14:textId="77777777" w:rsidR="00E92259" w:rsidRDefault="00E92259"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2EEA4" w14:textId="0CDF4450" w:rsidR="008B1015" w:rsidRDefault="008B1015" w:rsidP="008B1015">
    <w:pPr>
      <w:pStyle w:val="Header"/>
      <w:jc w:val="right"/>
    </w:pPr>
    <w:r>
      <w:rPr>
        <w:noProof/>
        <w:lang w:eastAsia="en-AU"/>
      </w:rPr>
      <w:drawing>
        <wp:inline distT="0" distB="0" distL="0" distR="0" wp14:anchorId="72BAAFB0" wp14:editId="3EB4B709">
          <wp:extent cx="2947670" cy="586740"/>
          <wp:effectExtent l="0" t="0" r="0" b="3810"/>
          <wp:docPr id="1" name="Picture 1" descr="Safe Work Australia logo" title="Image"/>
          <wp:cNvGraphicFramePr/>
          <a:graphic xmlns:a="http://schemas.openxmlformats.org/drawingml/2006/main">
            <a:graphicData uri="http://schemas.openxmlformats.org/drawingml/2006/picture">
              <pic:pic xmlns:pic="http://schemas.openxmlformats.org/drawingml/2006/picture">
                <pic:nvPicPr>
                  <pic:cNvPr id="1" name="Picture 1"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145" cy="594360"/>
                  </a:xfrm>
                  <a:prstGeom prst="rect">
                    <a:avLst/>
                  </a:prstGeom>
                </pic:spPr>
              </pic:pic>
            </a:graphicData>
          </a:graphic>
        </wp:inline>
      </w:drawing>
    </w:r>
  </w:p>
  <w:p w14:paraId="658ACB75" w14:textId="5E0A9FA9" w:rsidR="00E92259" w:rsidRPr="008B1015" w:rsidRDefault="00E92259" w:rsidP="008B10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F3C80" w14:textId="693404B7" w:rsidR="008B1015" w:rsidRDefault="008B1015" w:rsidP="008B1015">
    <w:pPr>
      <w:pStyle w:val="Header"/>
      <w:jc w:val="right"/>
    </w:pPr>
    <w:r>
      <w:rPr>
        <w:noProof/>
        <w:lang w:eastAsia="en-AU"/>
      </w:rPr>
      <w:drawing>
        <wp:inline distT="0" distB="0" distL="0" distR="0" wp14:anchorId="4718BB1E" wp14:editId="2C651072">
          <wp:extent cx="2947670" cy="586740"/>
          <wp:effectExtent l="0" t="0" r="0" b="3810"/>
          <wp:docPr id="3" name="Picture 3" descr="Safe Work Australia logo" title="Image"/>
          <wp:cNvGraphicFramePr/>
          <a:graphic xmlns:a="http://schemas.openxmlformats.org/drawingml/2006/main">
            <a:graphicData uri="http://schemas.openxmlformats.org/drawingml/2006/picture">
              <pic:pic xmlns:pic="http://schemas.openxmlformats.org/drawingml/2006/picture">
                <pic:nvPicPr>
                  <pic:cNvPr id="1" name="Picture 1"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145" cy="594360"/>
                  </a:xfrm>
                  <a:prstGeom prst="rect">
                    <a:avLst/>
                  </a:prstGeom>
                </pic:spPr>
              </pic:pic>
            </a:graphicData>
          </a:graphic>
        </wp:inline>
      </w:drawing>
    </w:r>
  </w:p>
  <w:p w14:paraId="1B50C2BC" w14:textId="77777777" w:rsidR="008B1015" w:rsidRDefault="008B1015" w:rsidP="008B1015">
    <w:pPr>
      <w:pStyle w:val="Header"/>
    </w:pPr>
  </w:p>
  <w:p w14:paraId="684775C8" w14:textId="77777777" w:rsidR="00E92259" w:rsidRDefault="00E92259" w:rsidP="00F43A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A2EAA6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FD21DB"/>
    <w:multiLevelType w:val="hybridMultilevel"/>
    <w:tmpl w:val="EB1E8AC6"/>
    <w:lvl w:ilvl="0" w:tplc="0C090005">
      <w:start w:val="1"/>
      <w:numFmt w:val="bullet"/>
      <w:lvlText w:val=""/>
      <w:lvlJc w:val="left"/>
      <w:pPr>
        <w:ind w:left="1876" w:hanging="360"/>
      </w:pPr>
      <w:rPr>
        <w:rFonts w:ascii="Wingdings" w:hAnsi="Wingdings" w:hint="default"/>
      </w:rPr>
    </w:lvl>
    <w:lvl w:ilvl="1" w:tplc="0C090003" w:tentative="1">
      <w:start w:val="1"/>
      <w:numFmt w:val="bullet"/>
      <w:lvlText w:val="o"/>
      <w:lvlJc w:val="left"/>
      <w:pPr>
        <w:ind w:left="2596" w:hanging="360"/>
      </w:pPr>
      <w:rPr>
        <w:rFonts w:ascii="Courier New" w:hAnsi="Courier New" w:cs="Courier New" w:hint="default"/>
      </w:rPr>
    </w:lvl>
    <w:lvl w:ilvl="2" w:tplc="0C090005" w:tentative="1">
      <w:start w:val="1"/>
      <w:numFmt w:val="bullet"/>
      <w:lvlText w:val=""/>
      <w:lvlJc w:val="left"/>
      <w:pPr>
        <w:ind w:left="3316" w:hanging="360"/>
      </w:pPr>
      <w:rPr>
        <w:rFonts w:ascii="Wingdings" w:hAnsi="Wingdings" w:hint="default"/>
      </w:rPr>
    </w:lvl>
    <w:lvl w:ilvl="3" w:tplc="0C090001" w:tentative="1">
      <w:start w:val="1"/>
      <w:numFmt w:val="bullet"/>
      <w:lvlText w:val=""/>
      <w:lvlJc w:val="left"/>
      <w:pPr>
        <w:ind w:left="4036" w:hanging="360"/>
      </w:pPr>
      <w:rPr>
        <w:rFonts w:ascii="Symbol" w:hAnsi="Symbol" w:hint="default"/>
      </w:rPr>
    </w:lvl>
    <w:lvl w:ilvl="4" w:tplc="0C090003" w:tentative="1">
      <w:start w:val="1"/>
      <w:numFmt w:val="bullet"/>
      <w:lvlText w:val="o"/>
      <w:lvlJc w:val="left"/>
      <w:pPr>
        <w:ind w:left="4756" w:hanging="360"/>
      </w:pPr>
      <w:rPr>
        <w:rFonts w:ascii="Courier New" w:hAnsi="Courier New" w:cs="Courier New" w:hint="default"/>
      </w:rPr>
    </w:lvl>
    <w:lvl w:ilvl="5" w:tplc="0C090005" w:tentative="1">
      <w:start w:val="1"/>
      <w:numFmt w:val="bullet"/>
      <w:lvlText w:val=""/>
      <w:lvlJc w:val="left"/>
      <w:pPr>
        <w:ind w:left="5476" w:hanging="360"/>
      </w:pPr>
      <w:rPr>
        <w:rFonts w:ascii="Wingdings" w:hAnsi="Wingdings" w:hint="default"/>
      </w:rPr>
    </w:lvl>
    <w:lvl w:ilvl="6" w:tplc="0C090001" w:tentative="1">
      <w:start w:val="1"/>
      <w:numFmt w:val="bullet"/>
      <w:lvlText w:val=""/>
      <w:lvlJc w:val="left"/>
      <w:pPr>
        <w:ind w:left="6196" w:hanging="360"/>
      </w:pPr>
      <w:rPr>
        <w:rFonts w:ascii="Symbol" w:hAnsi="Symbol" w:hint="default"/>
      </w:rPr>
    </w:lvl>
    <w:lvl w:ilvl="7" w:tplc="0C090003" w:tentative="1">
      <w:start w:val="1"/>
      <w:numFmt w:val="bullet"/>
      <w:lvlText w:val="o"/>
      <w:lvlJc w:val="left"/>
      <w:pPr>
        <w:ind w:left="6916" w:hanging="360"/>
      </w:pPr>
      <w:rPr>
        <w:rFonts w:ascii="Courier New" w:hAnsi="Courier New" w:cs="Courier New" w:hint="default"/>
      </w:rPr>
    </w:lvl>
    <w:lvl w:ilvl="8" w:tplc="0C090005" w:tentative="1">
      <w:start w:val="1"/>
      <w:numFmt w:val="bullet"/>
      <w:lvlText w:val=""/>
      <w:lvlJc w:val="left"/>
      <w:pPr>
        <w:ind w:left="7636" w:hanging="360"/>
      </w:pPr>
      <w:rPr>
        <w:rFonts w:ascii="Wingdings" w:hAnsi="Wingdings" w:hint="default"/>
      </w:rPr>
    </w:lvl>
  </w:abstractNum>
  <w:abstractNum w:abstractNumId="2" w15:restartNumberingAfterBreak="0">
    <w:nsid w:val="3E212CA5"/>
    <w:multiLevelType w:val="hybridMultilevel"/>
    <w:tmpl w:val="E8407F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48B293F"/>
    <w:multiLevelType w:val="hybridMultilevel"/>
    <w:tmpl w:val="121AECCA"/>
    <w:lvl w:ilvl="0" w:tplc="2F563E00">
      <w:numFmt w:val="bullet"/>
      <w:lvlText w:val=""/>
      <w:lvlJc w:val="left"/>
      <w:pPr>
        <w:ind w:left="720" w:hanging="360"/>
      </w:pPr>
      <w:rPr>
        <w:rFonts w:ascii="Symbol" w:eastAsiaTheme="minorHAnsi" w:hAnsi="Symbol"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548B314B"/>
    <w:multiLevelType w:val="hybridMultilevel"/>
    <w:tmpl w:val="9C9822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7F4E1E99"/>
    <w:multiLevelType w:val="hybridMultilevel"/>
    <w:tmpl w:val="A31625B2"/>
    <w:lvl w:ilvl="0" w:tplc="223CAC6E">
      <w:numFmt w:val="bullet"/>
      <w:lvlText w:val=""/>
      <w:lvlJc w:val="left"/>
      <w:pPr>
        <w:ind w:left="720" w:hanging="360"/>
      </w:pPr>
      <w:rPr>
        <w:rFonts w:ascii="Symbol" w:eastAsiaTheme="minorHAnsi" w:hAnsi="Symbol"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336614544">
    <w:abstractNumId w:val="3"/>
  </w:num>
  <w:num w:numId="2" w16cid:durableId="936330762">
    <w:abstractNumId w:val="5"/>
  </w:num>
  <w:num w:numId="3" w16cid:durableId="1296369714">
    <w:abstractNumId w:val="0"/>
  </w:num>
  <w:num w:numId="4" w16cid:durableId="1554191417">
    <w:abstractNumId w:val="2"/>
  </w:num>
  <w:num w:numId="5" w16cid:durableId="575943052">
    <w:abstractNumId w:val="1"/>
  </w:num>
  <w:num w:numId="6" w16cid:durableId="18816740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1433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140F"/>
    <w:rsid w:val="000015AA"/>
    <w:rsid w:val="00006C14"/>
    <w:rsid w:val="00007B80"/>
    <w:rsid w:val="00013A22"/>
    <w:rsid w:val="00014C3F"/>
    <w:rsid w:val="00016C60"/>
    <w:rsid w:val="00017C82"/>
    <w:rsid w:val="000257C8"/>
    <w:rsid w:val="00026C32"/>
    <w:rsid w:val="00032B88"/>
    <w:rsid w:val="000400FF"/>
    <w:rsid w:val="00046DF5"/>
    <w:rsid w:val="00052060"/>
    <w:rsid w:val="00054A60"/>
    <w:rsid w:val="0005574A"/>
    <w:rsid w:val="00055FE1"/>
    <w:rsid w:val="00056EC2"/>
    <w:rsid w:val="00060B48"/>
    <w:rsid w:val="00067F32"/>
    <w:rsid w:val="00071807"/>
    <w:rsid w:val="000803E1"/>
    <w:rsid w:val="00082848"/>
    <w:rsid w:val="00084513"/>
    <w:rsid w:val="00084859"/>
    <w:rsid w:val="00092D94"/>
    <w:rsid w:val="00095525"/>
    <w:rsid w:val="000A0738"/>
    <w:rsid w:val="000B0868"/>
    <w:rsid w:val="000B0B8C"/>
    <w:rsid w:val="000B3E12"/>
    <w:rsid w:val="000B3E78"/>
    <w:rsid w:val="000B4E26"/>
    <w:rsid w:val="000B7B48"/>
    <w:rsid w:val="000C096D"/>
    <w:rsid w:val="000C139A"/>
    <w:rsid w:val="000C160F"/>
    <w:rsid w:val="000C2053"/>
    <w:rsid w:val="000C248C"/>
    <w:rsid w:val="000C2A5E"/>
    <w:rsid w:val="000D15AA"/>
    <w:rsid w:val="000D291C"/>
    <w:rsid w:val="000D64EE"/>
    <w:rsid w:val="000D7657"/>
    <w:rsid w:val="000E3FA9"/>
    <w:rsid w:val="000E5A54"/>
    <w:rsid w:val="000E63D3"/>
    <w:rsid w:val="000E67CF"/>
    <w:rsid w:val="0010414B"/>
    <w:rsid w:val="0010461E"/>
    <w:rsid w:val="00106FAA"/>
    <w:rsid w:val="0011027D"/>
    <w:rsid w:val="0011096B"/>
    <w:rsid w:val="00110E6A"/>
    <w:rsid w:val="00113443"/>
    <w:rsid w:val="001269A7"/>
    <w:rsid w:val="00130BB9"/>
    <w:rsid w:val="00131092"/>
    <w:rsid w:val="0013295E"/>
    <w:rsid w:val="00137E5C"/>
    <w:rsid w:val="00137F02"/>
    <w:rsid w:val="00140E6A"/>
    <w:rsid w:val="00142F93"/>
    <w:rsid w:val="00146545"/>
    <w:rsid w:val="00146B75"/>
    <w:rsid w:val="00150CC0"/>
    <w:rsid w:val="0015266D"/>
    <w:rsid w:val="0015288A"/>
    <w:rsid w:val="00154151"/>
    <w:rsid w:val="00160BF3"/>
    <w:rsid w:val="00160F47"/>
    <w:rsid w:val="00177CA1"/>
    <w:rsid w:val="00182278"/>
    <w:rsid w:val="001831BA"/>
    <w:rsid w:val="00183823"/>
    <w:rsid w:val="00183942"/>
    <w:rsid w:val="00187F5D"/>
    <w:rsid w:val="001929E4"/>
    <w:rsid w:val="001A009E"/>
    <w:rsid w:val="001A1287"/>
    <w:rsid w:val="001A3859"/>
    <w:rsid w:val="001A3C9D"/>
    <w:rsid w:val="001A43F8"/>
    <w:rsid w:val="001B4529"/>
    <w:rsid w:val="001B79E5"/>
    <w:rsid w:val="001B7CD4"/>
    <w:rsid w:val="001D0D0C"/>
    <w:rsid w:val="001D56F0"/>
    <w:rsid w:val="001D590B"/>
    <w:rsid w:val="001D663B"/>
    <w:rsid w:val="001D7B41"/>
    <w:rsid w:val="001E35E3"/>
    <w:rsid w:val="001E46DA"/>
    <w:rsid w:val="001E7D80"/>
    <w:rsid w:val="001F4B6C"/>
    <w:rsid w:val="001F5D24"/>
    <w:rsid w:val="001F62CB"/>
    <w:rsid w:val="001F6ED0"/>
    <w:rsid w:val="001F72E6"/>
    <w:rsid w:val="001F73C5"/>
    <w:rsid w:val="002046A6"/>
    <w:rsid w:val="00204956"/>
    <w:rsid w:val="00213640"/>
    <w:rsid w:val="00213C45"/>
    <w:rsid w:val="00221547"/>
    <w:rsid w:val="002216FC"/>
    <w:rsid w:val="00222533"/>
    <w:rsid w:val="00222F30"/>
    <w:rsid w:val="00223639"/>
    <w:rsid w:val="00224EE2"/>
    <w:rsid w:val="00227EC7"/>
    <w:rsid w:val="00230A46"/>
    <w:rsid w:val="00231A8C"/>
    <w:rsid w:val="00233541"/>
    <w:rsid w:val="002367E2"/>
    <w:rsid w:val="00244AD1"/>
    <w:rsid w:val="00244E30"/>
    <w:rsid w:val="002463BC"/>
    <w:rsid w:val="002465CE"/>
    <w:rsid w:val="0025734A"/>
    <w:rsid w:val="00260329"/>
    <w:rsid w:val="00263255"/>
    <w:rsid w:val="002674A9"/>
    <w:rsid w:val="00276494"/>
    <w:rsid w:val="00277B0C"/>
    <w:rsid w:val="002A34DE"/>
    <w:rsid w:val="002B1A2C"/>
    <w:rsid w:val="002C34F2"/>
    <w:rsid w:val="002C58FF"/>
    <w:rsid w:val="002C7AFE"/>
    <w:rsid w:val="002D05D2"/>
    <w:rsid w:val="002D27A0"/>
    <w:rsid w:val="002D430F"/>
    <w:rsid w:val="002D6E4B"/>
    <w:rsid w:val="002E0D61"/>
    <w:rsid w:val="002E112B"/>
    <w:rsid w:val="002E1580"/>
    <w:rsid w:val="002E4C7B"/>
    <w:rsid w:val="002E58B6"/>
    <w:rsid w:val="002E58DC"/>
    <w:rsid w:val="002E6299"/>
    <w:rsid w:val="002F21C0"/>
    <w:rsid w:val="002F5654"/>
    <w:rsid w:val="00300C26"/>
    <w:rsid w:val="00302CD8"/>
    <w:rsid w:val="0030740C"/>
    <w:rsid w:val="00315833"/>
    <w:rsid w:val="003209BE"/>
    <w:rsid w:val="00320B8B"/>
    <w:rsid w:val="003215EE"/>
    <w:rsid w:val="003224BF"/>
    <w:rsid w:val="003241A8"/>
    <w:rsid w:val="003253F0"/>
    <w:rsid w:val="003262EC"/>
    <w:rsid w:val="003312FC"/>
    <w:rsid w:val="003337DA"/>
    <w:rsid w:val="00334EFB"/>
    <w:rsid w:val="00335CDE"/>
    <w:rsid w:val="003365A5"/>
    <w:rsid w:val="00344C2F"/>
    <w:rsid w:val="00346254"/>
    <w:rsid w:val="00347192"/>
    <w:rsid w:val="0034744C"/>
    <w:rsid w:val="00351FE0"/>
    <w:rsid w:val="00352615"/>
    <w:rsid w:val="0035412B"/>
    <w:rsid w:val="003567A8"/>
    <w:rsid w:val="003576EF"/>
    <w:rsid w:val="00361322"/>
    <w:rsid w:val="00362895"/>
    <w:rsid w:val="00365FE1"/>
    <w:rsid w:val="00370DBF"/>
    <w:rsid w:val="00370DCD"/>
    <w:rsid w:val="00385A91"/>
    <w:rsid w:val="00386093"/>
    <w:rsid w:val="00386A4E"/>
    <w:rsid w:val="003904A4"/>
    <w:rsid w:val="00391841"/>
    <w:rsid w:val="00391B6D"/>
    <w:rsid w:val="00394922"/>
    <w:rsid w:val="003A0596"/>
    <w:rsid w:val="003A0E32"/>
    <w:rsid w:val="003A2B94"/>
    <w:rsid w:val="003B387D"/>
    <w:rsid w:val="003C0D58"/>
    <w:rsid w:val="003C4F0D"/>
    <w:rsid w:val="003D28E4"/>
    <w:rsid w:val="003D44E3"/>
    <w:rsid w:val="003D4FA3"/>
    <w:rsid w:val="003D6457"/>
    <w:rsid w:val="003E0807"/>
    <w:rsid w:val="003E51FB"/>
    <w:rsid w:val="003E6B39"/>
    <w:rsid w:val="003E78C5"/>
    <w:rsid w:val="003F07E1"/>
    <w:rsid w:val="003F2301"/>
    <w:rsid w:val="00400A78"/>
    <w:rsid w:val="0040136F"/>
    <w:rsid w:val="004030BC"/>
    <w:rsid w:val="00403F7D"/>
    <w:rsid w:val="00404089"/>
    <w:rsid w:val="00406785"/>
    <w:rsid w:val="004079B4"/>
    <w:rsid w:val="00411474"/>
    <w:rsid w:val="00415BC6"/>
    <w:rsid w:val="0041613D"/>
    <w:rsid w:val="0041788E"/>
    <w:rsid w:val="00417A56"/>
    <w:rsid w:val="00420957"/>
    <w:rsid w:val="00422A10"/>
    <w:rsid w:val="00430179"/>
    <w:rsid w:val="004414B5"/>
    <w:rsid w:val="00443CD9"/>
    <w:rsid w:val="00444482"/>
    <w:rsid w:val="00444B42"/>
    <w:rsid w:val="00445E44"/>
    <w:rsid w:val="00446200"/>
    <w:rsid w:val="004467AF"/>
    <w:rsid w:val="00446B91"/>
    <w:rsid w:val="004509E2"/>
    <w:rsid w:val="004515EE"/>
    <w:rsid w:val="004529F0"/>
    <w:rsid w:val="00454081"/>
    <w:rsid w:val="00460A03"/>
    <w:rsid w:val="00462684"/>
    <w:rsid w:val="00466F88"/>
    <w:rsid w:val="00472A11"/>
    <w:rsid w:val="00472AAD"/>
    <w:rsid w:val="00474E33"/>
    <w:rsid w:val="00476803"/>
    <w:rsid w:val="00485BFD"/>
    <w:rsid w:val="004867A2"/>
    <w:rsid w:val="004873F2"/>
    <w:rsid w:val="004901C3"/>
    <w:rsid w:val="00490D4C"/>
    <w:rsid w:val="00493A35"/>
    <w:rsid w:val="0049527A"/>
    <w:rsid w:val="004966BF"/>
    <w:rsid w:val="00497984"/>
    <w:rsid w:val="004A5088"/>
    <w:rsid w:val="004B1AEB"/>
    <w:rsid w:val="004C1E3F"/>
    <w:rsid w:val="004C23F4"/>
    <w:rsid w:val="004C3475"/>
    <w:rsid w:val="004C3E48"/>
    <w:rsid w:val="004C4CE5"/>
    <w:rsid w:val="004C58B6"/>
    <w:rsid w:val="004D0AA5"/>
    <w:rsid w:val="004D16A3"/>
    <w:rsid w:val="004D4AA1"/>
    <w:rsid w:val="004D6D68"/>
    <w:rsid w:val="004E5EDD"/>
    <w:rsid w:val="004E7596"/>
    <w:rsid w:val="004E7943"/>
    <w:rsid w:val="004F30B8"/>
    <w:rsid w:val="004F448A"/>
    <w:rsid w:val="004F493D"/>
    <w:rsid w:val="004F65E8"/>
    <w:rsid w:val="0050005E"/>
    <w:rsid w:val="00502B88"/>
    <w:rsid w:val="00504AAC"/>
    <w:rsid w:val="00507600"/>
    <w:rsid w:val="005142C4"/>
    <w:rsid w:val="0051509C"/>
    <w:rsid w:val="005272E2"/>
    <w:rsid w:val="00527FF3"/>
    <w:rsid w:val="0053108F"/>
    <w:rsid w:val="00532B56"/>
    <w:rsid w:val="00534B10"/>
    <w:rsid w:val="005446A2"/>
    <w:rsid w:val="00544D2F"/>
    <w:rsid w:val="00551BD8"/>
    <w:rsid w:val="005547EE"/>
    <w:rsid w:val="00555E4C"/>
    <w:rsid w:val="00574AC9"/>
    <w:rsid w:val="00581055"/>
    <w:rsid w:val="00591E38"/>
    <w:rsid w:val="00595A0C"/>
    <w:rsid w:val="005A19C5"/>
    <w:rsid w:val="005A3034"/>
    <w:rsid w:val="005A462D"/>
    <w:rsid w:val="005A5908"/>
    <w:rsid w:val="005B253B"/>
    <w:rsid w:val="005B771D"/>
    <w:rsid w:val="005C05EF"/>
    <w:rsid w:val="005C5D16"/>
    <w:rsid w:val="005C6565"/>
    <w:rsid w:val="005D3193"/>
    <w:rsid w:val="005D4A6E"/>
    <w:rsid w:val="005E6979"/>
    <w:rsid w:val="005E75CB"/>
    <w:rsid w:val="005F1F33"/>
    <w:rsid w:val="005F2212"/>
    <w:rsid w:val="005F2BD5"/>
    <w:rsid w:val="005F77CE"/>
    <w:rsid w:val="006013C1"/>
    <w:rsid w:val="0060669E"/>
    <w:rsid w:val="00610F2E"/>
    <w:rsid w:val="00611399"/>
    <w:rsid w:val="00624C4E"/>
    <w:rsid w:val="00625200"/>
    <w:rsid w:val="006326ED"/>
    <w:rsid w:val="006363A8"/>
    <w:rsid w:val="00636DB7"/>
    <w:rsid w:val="00650905"/>
    <w:rsid w:val="006532ED"/>
    <w:rsid w:val="006549F2"/>
    <w:rsid w:val="006567B7"/>
    <w:rsid w:val="00657BFB"/>
    <w:rsid w:val="00661887"/>
    <w:rsid w:val="0066333C"/>
    <w:rsid w:val="006639B4"/>
    <w:rsid w:val="006650FE"/>
    <w:rsid w:val="0067305D"/>
    <w:rsid w:val="00675EEE"/>
    <w:rsid w:val="00677A1F"/>
    <w:rsid w:val="00677D9B"/>
    <w:rsid w:val="006867F3"/>
    <w:rsid w:val="00687890"/>
    <w:rsid w:val="006901A2"/>
    <w:rsid w:val="00690368"/>
    <w:rsid w:val="0069079C"/>
    <w:rsid w:val="00690B53"/>
    <w:rsid w:val="00695B72"/>
    <w:rsid w:val="00697D12"/>
    <w:rsid w:val="006B160A"/>
    <w:rsid w:val="006B4E6C"/>
    <w:rsid w:val="006B50B6"/>
    <w:rsid w:val="006C014D"/>
    <w:rsid w:val="006C7659"/>
    <w:rsid w:val="006D1DE1"/>
    <w:rsid w:val="006D79EA"/>
    <w:rsid w:val="006E5D05"/>
    <w:rsid w:val="006F6603"/>
    <w:rsid w:val="00701053"/>
    <w:rsid w:val="00701507"/>
    <w:rsid w:val="00714021"/>
    <w:rsid w:val="00716A0F"/>
    <w:rsid w:val="00717D45"/>
    <w:rsid w:val="007208F7"/>
    <w:rsid w:val="007218AF"/>
    <w:rsid w:val="00722F00"/>
    <w:rsid w:val="0073231B"/>
    <w:rsid w:val="007365D1"/>
    <w:rsid w:val="00737AAC"/>
    <w:rsid w:val="00740E0E"/>
    <w:rsid w:val="00740FE4"/>
    <w:rsid w:val="007464AA"/>
    <w:rsid w:val="0074795F"/>
    <w:rsid w:val="00750212"/>
    <w:rsid w:val="00750566"/>
    <w:rsid w:val="00754779"/>
    <w:rsid w:val="007559C7"/>
    <w:rsid w:val="0075716D"/>
    <w:rsid w:val="00765F14"/>
    <w:rsid w:val="00770E31"/>
    <w:rsid w:val="007770F1"/>
    <w:rsid w:val="00783FB1"/>
    <w:rsid w:val="0078490E"/>
    <w:rsid w:val="00785CDD"/>
    <w:rsid w:val="00786A69"/>
    <w:rsid w:val="00791847"/>
    <w:rsid w:val="007925F0"/>
    <w:rsid w:val="007939B3"/>
    <w:rsid w:val="0079509C"/>
    <w:rsid w:val="007964D1"/>
    <w:rsid w:val="00796708"/>
    <w:rsid w:val="007B1B42"/>
    <w:rsid w:val="007B7284"/>
    <w:rsid w:val="007C30EB"/>
    <w:rsid w:val="007E063C"/>
    <w:rsid w:val="007E158E"/>
    <w:rsid w:val="007E2A4B"/>
    <w:rsid w:val="007E307D"/>
    <w:rsid w:val="007E64EF"/>
    <w:rsid w:val="007E6A4E"/>
    <w:rsid w:val="007E6C94"/>
    <w:rsid w:val="007F1005"/>
    <w:rsid w:val="007F25E0"/>
    <w:rsid w:val="007F5328"/>
    <w:rsid w:val="007F6AD1"/>
    <w:rsid w:val="00804F5A"/>
    <w:rsid w:val="00810C6D"/>
    <w:rsid w:val="00812887"/>
    <w:rsid w:val="008200E8"/>
    <w:rsid w:val="0082155C"/>
    <w:rsid w:val="00826F21"/>
    <w:rsid w:val="00831202"/>
    <w:rsid w:val="00834CC8"/>
    <w:rsid w:val="00835E00"/>
    <w:rsid w:val="00837113"/>
    <w:rsid w:val="008414E4"/>
    <w:rsid w:val="00843E21"/>
    <w:rsid w:val="00844549"/>
    <w:rsid w:val="008446E8"/>
    <w:rsid w:val="0084508E"/>
    <w:rsid w:val="00851BB4"/>
    <w:rsid w:val="00856446"/>
    <w:rsid w:val="00857A8A"/>
    <w:rsid w:val="008630EE"/>
    <w:rsid w:val="00864D13"/>
    <w:rsid w:val="00871CD5"/>
    <w:rsid w:val="00871E1C"/>
    <w:rsid w:val="008745A2"/>
    <w:rsid w:val="008768A8"/>
    <w:rsid w:val="0088798F"/>
    <w:rsid w:val="00887E4B"/>
    <w:rsid w:val="00890FA0"/>
    <w:rsid w:val="008915C8"/>
    <w:rsid w:val="008A0E74"/>
    <w:rsid w:val="008A36CF"/>
    <w:rsid w:val="008A3BC4"/>
    <w:rsid w:val="008B1015"/>
    <w:rsid w:val="008B403C"/>
    <w:rsid w:val="008B7983"/>
    <w:rsid w:val="008C2511"/>
    <w:rsid w:val="008D026D"/>
    <w:rsid w:val="008D23AB"/>
    <w:rsid w:val="008D4B8B"/>
    <w:rsid w:val="008D5A78"/>
    <w:rsid w:val="008D7B0C"/>
    <w:rsid w:val="008E72EE"/>
    <w:rsid w:val="008E7B64"/>
    <w:rsid w:val="008E7BDB"/>
    <w:rsid w:val="008F5DCD"/>
    <w:rsid w:val="00900951"/>
    <w:rsid w:val="009118A6"/>
    <w:rsid w:val="0091347B"/>
    <w:rsid w:val="00916909"/>
    <w:rsid w:val="00916EC0"/>
    <w:rsid w:val="00920467"/>
    <w:rsid w:val="00920FA0"/>
    <w:rsid w:val="00921DE7"/>
    <w:rsid w:val="00923725"/>
    <w:rsid w:val="0093041A"/>
    <w:rsid w:val="00930714"/>
    <w:rsid w:val="00931B03"/>
    <w:rsid w:val="009323B9"/>
    <w:rsid w:val="00932DCE"/>
    <w:rsid w:val="0093327E"/>
    <w:rsid w:val="00934028"/>
    <w:rsid w:val="0093760E"/>
    <w:rsid w:val="00946044"/>
    <w:rsid w:val="0094660B"/>
    <w:rsid w:val="00946A33"/>
    <w:rsid w:val="0095260E"/>
    <w:rsid w:val="009566AE"/>
    <w:rsid w:val="009578DD"/>
    <w:rsid w:val="00961124"/>
    <w:rsid w:val="009621B6"/>
    <w:rsid w:val="009667F0"/>
    <w:rsid w:val="00967889"/>
    <w:rsid w:val="00974F2D"/>
    <w:rsid w:val="00975501"/>
    <w:rsid w:val="00977524"/>
    <w:rsid w:val="00977E88"/>
    <w:rsid w:val="00981731"/>
    <w:rsid w:val="00983673"/>
    <w:rsid w:val="00984920"/>
    <w:rsid w:val="009859E6"/>
    <w:rsid w:val="00986114"/>
    <w:rsid w:val="0099303A"/>
    <w:rsid w:val="009971C2"/>
    <w:rsid w:val="009A1254"/>
    <w:rsid w:val="009A4B41"/>
    <w:rsid w:val="009A58D3"/>
    <w:rsid w:val="009A78FC"/>
    <w:rsid w:val="009B0665"/>
    <w:rsid w:val="009B2FF2"/>
    <w:rsid w:val="009B380C"/>
    <w:rsid w:val="009B3DE8"/>
    <w:rsid w:val="009B4843"/>
    <w:rsid w:val="009B6543"/>
    <w:rsid w:val="009C0B6F"/>
    <w:rsid w:val="009C199D"/>
    <w:rsid w:val="009C278F"/>
    <w:rsid w:val="009C2B94"/>
    <w:rsid w:val="009C5874"/>
    <w:rsid w:val="009D3B5A"/>
    <w:rsid w:val="009D77F7"/>
    <w:rsid w:val="009D7801"/>
    <w:rsid w:val="009E0C05"/>
    <w:rsid w:val="009E0D1C"/>
    <w:rsid w:val="009E2214"/>
    <w:rsid w:val="009E32D1"/>
    <w:rsid w:val="009E355A"/>
    <w:rsid w:val="009E63E2"/>
    <w:rsid w:val="009F04D2"/>
    <w:rsid w:val="009F05CF"/>
    <w:rsid w:val="009F08AA"/>
    <w:rsid w:val="009F0F3A"/>
    <w:rsid w:val="009F4A0C"/>
    <w:rsid w:val="009F55C5"/>
    <w:rsid w:val="009F6D95"/>
    <w:rsid w:val="00A01D0C"/>
    <w:rsid w:val="00A0643F"/>
    <w:rsid w:val="00A067EE"/>
    <w:rsid w:val="00A10FCE"/>
    <w:rsid w:val="00A16D91"/>
    <w:rsid w:val="00A174CC"/>
    <w:rsid w:val="00A2073D"/>
    <w:rsid w:val="00A20751"/>
    <w:rsid w:val="00A27E2D"/>
    <w:rsid w:val="00A27F41"/>
    <w:rsid w:val="00A31D99"/>
    <w:rsid w:val="00A357BA"/>
    <w:rsid w:val="00A35ADC"/>
    <w:rsid w:val="00A402A3"/>
    <w:rsid w:val="00A40863"/>
    <w:rsid w:val="00A53681"/>
    <w:rsid w:val="00A633D4"/>
    <w:rsid w:val="00A6461A"/>
    <w:rsid w:val="00A70AA7"/>
    <w:rsid w:val="00A76EB8"/>
    <w:rsid w:val="00A84504"/>
    <w:rsid w:val="00A8672F"/>
    <w:rsid w:val="00A93057"/>
    <w:rsid w:val="00A968B0"/>
    <w:rsid w:val="00AA1F6C"/>
    <w:rsid w:val="00AA445D"/>
    <w:rsid w:val="00AA7CB9"/>
    <w:rsid w:val="00AB2672"/>
    <w:rsid w:val="00AB2817"/>
    <w:rsid w:val="00AB43C4"/>
    <w:rsid w:val="00AB4823"/>
    <w:rsid w:val="00AC1F5F"/>
    <w:rsid w:val="00AC32E7"/>
    <w:rsid w:val="00AC3A9F"/>
    <w:rsid w:val="00AC3B5B"/>
    <w:rsid w:val="00AC6D2F"/>
    <w:rsid w:val="00AE2745"/>
    <w:rsid w:val="00AE2F64"/>
    <w:rsid w:val="00AF42CB"/>
    <w:rsid w:val="00AF483F"/>
    <w:rsid w:val="00AF49CF"/>
    <w:rsid w:val="00AF5E07"/>
    <w:rsid w:val="00AF5F06"/>
    <w:rsid w:val="00AF717F"/>
    <w:rsid w:val="00B00A25"/>
    <w:rsid w:val="00B037AD"/>
    <w:rsid w:val="00B1422A"/>
    <w:rsid w:val="00B1605A"/>
    <w:rsid w:val="00B1765C"/>
    <w:rsid w:val="00B213C4"/>
    <w:rsid w:val="00B335E8"/>
    <w:rsid w:val="00B34870"/>
    <w:rsid w:val="00B37320"/>
    <w:rsid w:val="00B40604"/>
    <w:rsid w:val="00B40728"/>
    <w:rsid w:val="00B40C60"/>
    <w:rsid w:val="00B479A9"/>
    <w:rsid w:val="00B5075F"/>
    <w:rsid w:val="00B52EDF"/>
    <w:rsid w:val="00B662D9"/>
    <w:rsid w:val="00B71188"/>
    <w:rsid w:val="00B73564"/>
    <w:rsid w:val="00B76A41"/>
    <w:rsid w:val="00B826D3"/>
    <w:rsid w:val="00B87D4C"/>
    <w:rsid w:val="00B93646"/>
    <w:rsid w:val="00BA0B38"/>
    <w:rsid w:val="00BA0E55"/>
    <w:rsid w:val="00BA1DBB"/>
    <w:rsid w:val="00BA4510"/>
    <w:rsid w:val="00BA529A"/>
    <w:rsid w:val="00BB612A"/>
    <w:rsid w:val="00BC66F4"/>
    <w:rsid w:val="00BC6784"/>
    <w:rsid w:val="00BD39E3"/>
    <w:rsid w:val="00BD499F"/>
    <w:rsid w:val="00BD56DE"/>
    <w:rsid w:val="00BF2406"/>
    <w:rsid w:val="00C06E43"/>
    <w:rsid w:val="00C16315"/>
    <w:rsid w:val="00C21DC3"/>
    <w:rsid w:val="00C2485C"/>
    <w:rsid w:val="00C3091E"/>
    <w:rsid w:val="00C3133D"/>
    <w:rsid w:val="00C40FF1"/>
    <w:rsid w:val="00C419E2"/>
    <w:rsid w:val="00C433C3"/>
    <w:rsid w:val="00C5020E"/>
    <w:rsid w:val="00C52C0E"/>
    <w:rsid w:val="00C57452"/>
    <w:rsid w:val="00C61EDF"/>
    <w:rsid w:val="00C6239D"/>
    <w:rsid w:val="00C6393E"/>
    <w:rsid w:val="00C646ED"/>
    <w:rsid w:val="00C6594B"/>
    <w:rsid w:val="00C67FFB"/>
    <w:rsid w:val="00C7155E"/>
    <w:rsid w:val="00C71D1E"/>
    <w:rsid w:val="00C71D7D"/>
    <w:rsid w:val="00C74833"/>
    <w:rsid w:val="00C850A0"/>
    <w:rsid w:val="00C85A86"/>
    <w:rsid w:val="00C978F0"/>
    <w:rsid w:val="00CA58FE"/>
    <w:rsid w:val="00CB04FA"/>
    <w:rsid w:val="00CB1CB1"/>
    <w:rsid w:val="00CB6BC1"/>
    <w:rsid w:val="00CB6CB8"/>
    <w:rsid w:val="00CC1A68"/>
    <w:rsid w:val="00CC2123"/>
    <w:rsid w:val="00CD2BFD"/>
    <w:rsid w:val="00CE20CD"/>
    <w:rsid w:val="00CE5AD6"/>
    <w:rsid w:val="00CE617F"/>
    <w:rsid w:val="00CE78EF"/>
    <w:rsid w:val="00CF210E"/>
    <w:rsid w:val="00D037E1"/>
    <w:rsid w:val="00D048F7"/>
    <w:rsid w:val="00D0517E"/>
    <w:rsid w:val="00D10DBE"/>
    <w:rsid w:val="00D140FC"/>
    <w:rsid w:val="00D21D8C"/>
    <w:rsid w:val="00D27637"/>
    <w:rsid w:val="00D27743"/>
    <w:rsid w:val="00D308BA"/>
    <w:rsid w:val="00D31357"/>
    <w:rsid w:val="00D33220"/>
    <w:rsid w:val="00D334D1"/>
    <w:rsid w:val="00D43A2D"/>
    <w:rsid w:val="00D44C89"/>
    <w:rsid w:val="00D47666"/>
    <w:rsid w:val="00D516CD"/>
    <w:rsid w:val="00D668E6"/>
    <w:rsid w:val="00D70670"/>
    <w:rsid w:val="00D74D80"/>
    <w:rsid w:val="00D76624"/>
    <w:rsid w:val="00D87570"/>
    <w:rsid w:val="00D91CB9"/>
    <w:rsid w:val="00D97989"/>
    <w:rsid w:val="00D97D8D"/>
    <w:rsid w:val="00DA352E"/>
    <w:rsid w:val="00DB3817"/>
    <w:rsid w:val="00DC7694"/>
    <w:rsid w:val="00DD1BF6"/>
    <w:rsid w:val="00DD2F9B"/>
    <w:rsid w:val="00DD2FD8"/>
    <w:rsid w:val="00DE2513"/>
    <w:rsid w:val="00DE26E8"/>
    <w:rsid w:val="00DE6B4E"/>
    <w:rsid w:val="00DF6F36"/>
    <w:rsid w:val="00E0084C"/>
    <w:rsid w:val="00E025AB"/>
    <w:rsid w:val="00E02B23"/>
    <w:rsid w:val="00E06F40"/>
    <w:rsid w:val="00E07CE8"/>
    <w:rsid w:val="00E16276"/>
    <w:rsid w:val="00E266B3"/>
    <w:rsid w:val="00E26A07"/>
    <w:rsid w:val="00E32595"/>
    <w:rsid w:val="00E35D7E"/>
    <w:rsid w:val="00E37CFD"/>
    <w:rsid w:val="00E41A26"/>
    <w:rsid w:val="00E46BCB"/>
    <w:rsid w:val="00E51CAF"/>
    <w:rsid w:val="00E53C72"/>
    <w:rsid w:val="00E543D2"/>
    <w:rsid w:val="00E60F04"/>
    <w:rsid w:val="00E62AAC"/>
    <w:rsid w:val="00E6335B"/>
    <w:rsid w:val="00E67C2F"/>
    <w:rsid w:val="00E67EF5"/>
    <w:rsid w:val="00E75466"/>
    <w:rsid w:val="00E75716"/>
    <w:rsid w:val="00E804EA"/>
    <w:rsid w:val="00E80A71"/>
    <w:rsid w:val="00E82337"/>
    <w:rsid w:val="00E82937"/>
    <w:rsid w:val="00E92259"/>
    <w:rsid w:val="00E92499"/>
    <w:rsid w:val="00E949AF"/>
    <w:rsid w:val="00E96077"/>
    <w:rsid w:val="00E96950"/>
    <w:rsid w:val="00EA0A06"/>
    <w:rsid w:val="00EA6243"/>
    <w:rsid w:val="00EA74AB"/>
    <w:rsid w:val="00EB2B58"/>
    <w:rsid w:val="00EB3D1B"/>
    <w:rsid w:val="00EB75A4"/>
    <w:rsid w:val="00EC5F40"/>
    <w:rsid w:val="00ED1552"/>
    <w:rsid w:val="00ED1D89"/>
    <w:rsid w:val="00ED66BC"/>
    <w:rsid w:val="00EE14A9"/>
    <w:rsid w:val="00EE4A77"/>
    <w:rsid w:val="00EF233A"/>
    <w:rsid w:val="00EF303E"/>
    <w:rsid w:val="00EF3A40"/>
    <w:rsid w:val="00EF482B"/>
    <w:rsid w:val="00EF7F78"/>
    <w:rsid w:val="00F01B08"/>
    <w:rsid w:val="00F01C4D"/>
    <w:rsid w:val="00F02188"/>
    <w:rsid w:val="00F053FA"/>
    <w:rsid w:val="00F10C97"/>
    <w:rsid w:val="00F11C71"/>
    <w:rsid w:val="00F16019"/>
    <w:rsid w:val="00F20E68"/>
    <w:rsid w:val="00F22093"/>
    <w:rsid w:val="00F236DF"/>
    <w:rsid w:val="00F43AD5"/>
    <w:rsid w:val="00F43D3E"/>
    <w:rsid w:val="00F4402E"/>
    <w:rsid w:val="00F56DD0"/>
    <w:rsid w:val="00F56F5E"/>
    <w:rsid w:val="00F60644"/>
    <w:rsid w:val="00F6491C"/>
    <w:rsid w:val="00F66C73"/>
    <w:rsid w:val="00F6774D"/>
    <w:rsid w:val="00F67BBB"/>
    <w:rsid w:val="00F87D92"/>
    <w:rsid w:val="00F90AA7"/>
    <w:rsid w:val="00F92498"/>
    <w:rsid w:val="00F9496B"/>
    <w:rsid w:val="00F953F0"/>
    <w:rsid w:val="00F970C9"/>
    <w:rsid w:val="00FA06A8"/>
    <w:rsid w:val="00FA3DF5"/>
    <w:rsid w:val="00FA741F"/>
    <w:rsid w:val="00FB24AD"/>
    <w:rsid w:val="00FB4E07"/>
    <w:rsid w:val="00FB755A"/>
    <w:rsid w:val="00FC3032"/>
    <w:rsid w:val="00FC60A2"/>
    <w:rsid w:val="00FD1871"/>
    <w:rsid w:val="00FD3110"/>
    <w:rsid w:val="00FD443B"/>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339"/>
    <o:shapelayout v:ext="edit">
      <o:idmap v:ext="edit" data="1"/>
    </o:shapelayout>
  </w:shapeDefaults>
  <w:decimalSymbol w:val="."/>
  <w:listSeparator w:val=","/>
  <w14:docId w14:val="090CA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character" w:styleId="CommentReference">
    <w:name w:val="annotation reference"/>
    <w:basedOn w:val="DefaultParagraphFont"/>
    <w:uiPriority w:val="99"/>
    <w:semiHidden/>
    <w:unhideWhenUsed/>
    <w:rsid w:val="003312FC"/>
    <w:rPr>
      <w:sz w:val="16"/>
      <w:szCs w:val="16"/>
    </w:rPr>
  </w:style>
  <w:style w:type="paragraph" w:styleId="CommentText">
    <w:name w:val="annotation text"/>
    <w:basedOn w:val="Normal"/>
    <w:link w:val="CommentTextChar"/>
    <w:uiPriority w:val="99"/>
    <w:semiHidden/>
    <w:unhideWhenUsed/>
    <w:rsid w:val="003312FC"/>
    <w:pPr>
      <w:spacing w:line="240" w:lineRule="auto"/>
    </w:pPr>
    <w:rPr>
      <w:szCs w:val="20"/>
    </w:rPr>
  </w:style>
  <w:style w:type="character" w:customStyle="1" w:styleId="CommentTextChar">
    <w:name w:val="Comment Text Char"/>
    <w:basedOn w:val="DefaultParagraphFont"/>
    <w:link w:val="CommentText"/>
    <w:uiPriority w:val="99"/>
    <w:semiHidden/>
    <w:rsid w:val="003312FC"/>
    <w:rPr>
      <w:szCs w:val="20"/>
    </w:rPr>
  </w:style>
  <w:style w:type="paragraph" w:styleId="CommentSubject">
    <w:name w:val="annotation subject"/>
    <w:basedOn w:val="CommentText"/>
    <w:next w:val="CommentText"/>
    <w:link w:val="CommentSubjectChar"/>
    <w:uiPriority w:val="99"/>
    <w:semiHidden/>
    <w:unhideWhenUsed/>
    <w:rsid w:val="003312FC"/>
    <w:rPr>
      <w:b/>
      <w:bCs/>
    </w:rPr>
  </w:style>
  <w:style w:type="character" w:customStyle="1" w:styleId="CommentSubjectChar">
    <w:name w:val="Comment Subject Char"/>
    <w:basedOn w:val="CommentTextChar"/>
    <w:link w:val="CommentSubject"/>
    <w:uiPriority w:val="99"/>
    <w:semiHidden/>
    <w:rsid w:val="003312FC"/>
    <w:rPr>
      <w:b/>
      <w:bCs/>
      <w:szCs w:val="20"/>
    </w:rPr>
  </w:style>
  <w:style w:type="paragraph" w:styleId="ListBullet">
    <w:name w:val="List Bullet"/>
    <w:basedOn w:val="Normal"/>
    <w:uiPriority w:val="99"/>
    <w:unhideWhenUsed/>
    <w:rsid w:val="00C433C3"/>
    <w:pPr>
      <w:numPr>
        <w:numId w:val="3"/>
      </w:numPr>
      <w:contextualSpacing/>
    </w:pPr>
  </w:style>
  <w:style w:type="paragraph" w:styleId="Revision">
    <w:name w:val="Revision"/>
    <w:hidden/>
    <w:uiPriority w:val="99"/>
    <w:semiHidden/>
    <w:rsid w:val="00A4086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536709">
      <w:bodyDiv w:val="1"/>
      <w:marLeft w:val="0"/>
      <w:marRight w:val="0"/>
      <w:marTop w:val="0"/>
      <w:marBottom w:val="0"/>
      <w:divBdr>
        <w:top w:val="none" w:sz="0" w:space="0" w:color="auto"/>
        <w:left w:val="none" w:sz="0" w:space="0" w:color="auto"/>
        <w:bottom w:val="none" w:sz="0" w:space="0" w:color="auto"/>
        <w:right w:val="none" w:sz="0" w:space="0" w:color="auto"/>
      </w:divBdr>
    </w:div>
    <w:div w:id="373502297">
      <w:bodyDiv w:val="1"/>
      <w:marLeft w:val="0"/>
      <w:marRight w:val="0"/>
      <w:marTop w:val="0"/>
      <w:marBottom w:val="0"/>
      <w:divBdr>
        <w:top w:val="none" w:sz="0" w:space="0" w:color="auto"/>
        <w:left w:val="none" w:sz="0" w:space="0" w:color="auto"/>
        <w:bottom w:val="none" w:sz="0" w:space="0" w:color="auto"/>
        <w:right w:val="none" w:sz="0" w:space="0" w:color="auto"/>
      </w:divBdr>
    </w:div>
    <w:div w:id="627854350">
      <w:bodyDiv w:val="1"/>
      <w:marLeft w:val="0"/>
      <w:marRight w:val="0"/>
      <w:marTop w:val="0"/>
      <w:marBottom w:val="0"/>
      <w:divBdr>
        <w:top w:val="none" w:sz="0" w:space="0" w:color="auto"/>
        <w:left w:val="none" w:sz="0" w:space="0" w:color="auto"/>
        <w:bottom w:val="none" w:sz="0" w:space="0" w:color="auto"/>
        <w:right w:val="none" w:sz="0" w:space="0" w:color="auto"/>
      </w:divBdr>
    </w:div>
    <w:div w:id="1389301549">
      <w:bodyDiv w:val="1"/>
      <w:marLeft w:val="0"/>
      <w:marRight w:val="0"/>
      <w:marTop w:val="0"/>
      <w:marBottom w:val="0"/>
      <w:divBdr>
        <w:top w:val="none" w:sz="0" w:space="0" w:color="auto"/>
        <w:left w:val="none" w:sz="0" w:space="0" w:color="auto"/>
        <w:bottom w:val="none" w:sz="0" w:space="0" w:color="auto"/>
        <w:right w:val="none" w:sz="0" w:space="0" w:color="auto"/>
      </w:divBdr>
    </w:div>
    <w:div w:id="1581871647">
      <w:bodyDiv w:val="1"/>
      <w:marLeft w:val="0"/>
      <w:marRight w:val="0"/>
      <w:marTop w:val="0"/>
      <w:marBottom w:val="0"/>
      <w:divBdr>
        <w:top w:val="none" w:sz="0" w:space="0" w:color="auto"/>
        <w:left w:val="none" w:sz="0" w:space="0" w:color="auto"/>
        <w:bottom w:val="none" w:sz="0" w:space="0" w:color="auto"/>
        <w:right w:val="none" w:sz="0" w:space="0" w:color="auto"/>
      </w:divBdr>
    </w:div>
    <w:div w:id="1835562152">
      <w:bodyDiv w:val="1"/>
      <w:marLeft w:val="0"/>
      <w:marRight w:val="0"/>
      <w:marTop w:val="0"/>
      <w:marBottom w:val="0"/>
      <w:divBdr>
        <w:top w:val="none" w:sz="0" w:space="0" w:color="auto"/>
        <w:left w:val="none" w:sz="0" w:space="0" w:color="auto"/>
        <w:bottom w:val="none" w:sz="0" w:space="0" w:color="auto"/>
        <w:right w:val="none" w:sz="0" w:space="0" w:color="auto"/>
      </w:divBdr>
    </w:div>
    <w:div w:id="1865509636">
      <w:bodyDiv w:val="1"/>
      <w:marLeft w:val="0"/>
      <w:marRight w:val="0"/>
      <w:marTop w:val="0"/>
      <w:marBottom w:val="0"/>
      <w:divBdr>
        <w:top w:val="none" w:sz="0" w:space="0" w:color="auto"/>
        <w:left w:val="none" w:sz="0" w:space="0" w:color="auto"/>
        <w:bottom w:val="none" w:sz="0" w:space="0" w:color="auto"/>
        <w:right w:val="none" w:sz="0" w:space="0" w:color="auto"/>
      </w:divBdr>
    </w:div>
    <w:div w:id="1989741350">
      <w:bodyDiv w:val="1"/>
      <w:marLeft w:val="0"/>
      <w:marRight w:val="0"/>
      <w:marTop w:val="0"/>
      <w:marBottom w:val="0"/>
      <w:divBdr>
        <w:top w:val="none" w:sz="0" w:space="0" w:color="auto"/>
        <w:left w:val="none" w:sz="0" w:space="0" w:color="auto"/>
        <w:bottom w:val="none" w:sz="0" w:space="0" w:color="auto"/>
        <w:right w:val="none" w:sz="0" w:space="0" w:color="auto"/>
      </w:divBdr>
    </w:div>
    <w:div w:id="211173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cgih.org/tlv-bei-guidelines/policies-procedures-presentation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C2B44F29000D47BD8588D2D5E8DFA6C8"/>
        <w:category>
          <w:name w:val="General"/>
          <w:gallery w:val="placeholder"/>
        </w:category>
        <w:types>
          <w:type w:val="bbPlcHdr"/>
        </w:types>
        <w:behaviors>
          <w:behavior w:val="content"/>
        </w:behaviors>
        <w:guid w:val="{9D2592D5-75B8-4D64-A901-EB344ED20046}"/>
      </w:docPartPr>
      <w:docPartBody>
        <w:p w:rsidR="00D21A9F" w:rsidRDefault="00D21A9F">
          <w:pPr>
            <w:pStyle w:val="C2B44F29000D47BD8588D2D5E8DFA6C8"/>
          </w:pPr>
          <w:r w:rsidRPr="00724F1C">
            <w:rPr>
              <w:rStyle w:val="PlaceholderText"/>
            </w:rPr>
            <w:t>Choose an item.</w:t>
          </w:r>
        </w:p>
      </w:docPartBody>
    </w:docPart>
    <w:docPart>
      <w:docPartPr>
        <w:name w:val="20BC8D26515A4C11AC6304FB75A7CBAD"/>
        <w:category>
          <w:name w:val="General"/>
          <w:gallery w:val="placeholder"/>
        </w:category>
        <w:types>
          <w:type w:val="bbPlcHdr"/>
        </w:types>
        <w:behaviors>
          <w:behavior w:val="content"/>
        </w:behaviors>
        <w:guid w:val="{95AF72BE-1073-48D1-A613-18F5D94AD94A}"/>
      </w:docPartPr>
      <w:docPartBody>
        <w:p w:rsidR="00D21A9F" w:rsidRDefault="00D21A9F">
          <w:pPr>
            <w:pStyle w:val="20BC8D26515A4C11AC6304FB75A7CBAD"/>
          </w:pPr>
          <w:r w:rsidRPr="00724F1C">
            <w:rPr>
              <w:rStyle w:val="PlaceholderText"/>
            </w:rPr>
            <w:t>Choose an item.</w:t>
          </w:r>
        </w:p>
      </w:docPartBody>
    </w:docPart>
    <w:docPart>
      <w:docPartPr>
        <w:name w:val="320A77D155374054996F168A20882C28"/>
        <w:category>
          <w:name w:val="General"/>
          <w:gallery w:val="placeholder"/>
        </w:category>
        <w:types>
          <w:type w:val="bbPlcHdr"/>
        </w:types>
        <w:behaviors>
          <w:behavior w:val="content"/>
        </w:behaviors>
        <w:guid w:val="{F4DC0181-19B2-490D-83F0-D85D1689E2A9}"/>
      </w:docPartPr>
      <w:docPartBody>
        <w:p w:rsidR="00D21A9F" w:rsidRDefault="00D21A9F">
          <w:pPr>
            <w:pStyle w:val="320A77D155374054996F168A20882C28"/>
          </w:pPr>
          <w:r w:rsidRPr="00724F1C">
            <w:rPr>
              <w:rStyle w:val="PlaceholderText"/>
            </w:rPr>
            <w:t>Choose an item.</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CAD2D506A5824AB88D896BC2795BCEDE"/>
        <w:category>
          <w:name w:val="General"/>
          <w:gallery w:val="placeholder"/>
        </w:category>
        <w:types>
          <w:type w:val="bbPlcHdr"/>
        </w:types>
        <w:behaviors>
          <w:behavior w:val="content"/>
        </w:behaviors>
        <w:guid w:val="{4E99D28C-1B09-4DD0-B83A-09A1AFF622AA}"/>
      </w:docPartPr>
      <w:docPartBody>
        <w:p w:rsidR="00D21A9F" w:rsidRDefault="00D21A9F">
          <w:pPr>
            <w:pStyle w:val="CAD2D506A5824AB88D896BC2795BCEDE"/>
          </w:pPr>
          <w:r w:rsidRPr="001D56F0">
            <w:rPr>
              <w:rStyle w:val="PlaceholderText"/>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538157ED622A42EB9A43372CF36F14E2"/>
        <w:category>
          <w:name w:val="General"/>
          <w:gallery w:val="placeholder"/>
        </w:category>
        <w:types>
          <w:type w:val="bbPlcHdr"/>
        </w:types>
        <w:behaviors>
          <w:behavior w:val="content"/>
        </w:behaviors>
        <w:guid w:val="{47268079-C860-4613-A831-AFAC2A4D69D4}"/>
      </w:docPartPr>
      <w:docPartBody>
        <w:p w:rsidR="000C46EC" w:rsidRDefault="00FE2B90" w:rsidP="00FE2B90">
          <w:pPr>
            <w:pStyle w:val="538157ED622A42EB9A43372CF36F14E2"/>
          </w:pPr>
          <w:r>
            <w:rPr>
              <w:rStyle w:val="PlaceholderText"/>
            </w:rPr>
            <w:t>Has this value changed?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092EA4"/>
    <w:rsid w:val="000C46EC"/>
    <w:rsid w:val="001B509A"/>
    <w:rsid w:val="00260329"/>
    <w:rsid w:val="00261E7B"/>
    <w:rsid w:val="00411474"/>
    <w:rsid w:val="00730B35"/>
    <w:rsid w:val="00A263DC"/>
    <w:rsid w:val="00CA64AC"/>
    <w:rsid w:val="00D21A9F"/>
    <w:rsid w:val="00D7067C"/>
    <w:rsid w:val="00E72FB0"/>
    <w:rsid w:val="00F70566"/>
    <w:rsid w:val="00FE2B9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E2B90"/>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C2B44F29000D47BD8588D2D5E8DFA6C8">
    <w:name w:val="C2B44F29000D47BD8588D2D5E8DFA6C8"/>
  </w:style>
  <w:style w:type="paragraph" w:customStyle="1" w:styleId="20BC8D26515A4C11AC6304FB75A7CBAD">
    <w:name w:val="20BC8D26515A4C11AC6304FB75A7CBAD"/>
  </w:style>
  <w:style w:type="paragraph" w:customStyle="1" w:styleId="320A77D155374054996F168A20882C28">
    <w:name w:val="320A77D155374054996F168A20882C28"/>
  </w:style>
  <w:style w:type="paragraph" w:customStyle="1" w:styleId="0168237C60E6479CAFA3D9A1A8409B78">
    <w:name w:val="0168237C60E6479CAFA3D9A1A8409B78"/>
  </w:style>
  <w:style w:type="paragraph" w:customStyle="1" w:styleId="CAD2D506A5824AB88D896BC2795BCEDE">
    <w:name w:val="CAD2D506A5824AB88D896BC2795BCEDE"/>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538157ED622A42EB9A43372CF36F14E2">
    <w:name w:val="538157ED622A42EB9A43372CF36F14E2"/>
    <w:rsid w:val="00FE2B9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B6C9DB-DA99-462E-8E0D-4D07965E65C7}">
  <ds:schemaRefs>
    <ds:schemaRef ds:uri="1c567317-0c4d-4a62-8516-c22afd1b5354"/>
    <ds:schemaRef ds:uri="http://schemas.microsoft.com/office/2006/documentManagement/types"/>
    <ds:schemaRef ds:uri="http://purl.org/dc/dcmitype/"/>
    <ds:schemaRef ds:uri="http://purl.org/dc/elements/1.1/"/>
    <ds:schemaRef ds:uri="http://schemas.microsoft.com/office/2006/metadata/properties"/>
    <ds:schemaRef ds:uri="http://www.w3.org/XML/1998/namespace"/>
    <ds:schemaRef ds:uri="http://purl.org/dc/terms/"/>
    <ds:schemaRef ds:uri="http://schemas.openxmlformats.org/package/2006/metadata/core-properties"/>
    <ds:schemaRef ds:uri="http://schemas.microsoft.com/office/infopath/2007/PartnerControls"/>
    <ds:schemaRef ds:uri="a0509f21-ed56-4150-9955-96be669e5f2d"/>
  </ds:schemaRefs>
</ds:datastoreItem>
</file>

<file path=customXml/itemProps2.xml><?xml version="1.0" encoding="utf-8"?>
<ds:datastoreItem xmlns:ds="http://schemas.openxmlformats.org/officeDocument/2006/customXml" ds:itemID="{864D975A-0475-4FD6-B493-48AB440203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09f21-ed56-4150-9955-96be669e5f2d"/>
    <ds:schemaRef ds:uri="1c567317-0c4d-4a62-8516-c22afd1b5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8BD488-4CED-4907-9BCD-288451E25E17}">
  <ds:schemaRefs>
    <ds:schemaRef ds:uri="http://schemas.openxmlformats.org/officeDocument/2006/bibliography"/>
  </ds:schemaRefs>
</ds:datastoreItem>
</file>

<file path=customXml/itemProps4.xml><?xml version="1.0" encoding="utf-8"?>
<ds:datastoreItem xmlns:ds="http://schemas.openxmlformats.org/officeDocument/2006/customXml" ds:itemID="{0104BF5A-7D17-458C-AAAC-8680B1ED9B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2941</Words>
  <Characters>16770</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2020-07-13T23:45:00Z</dcterms:created>
  <dcterms:modified xsi:type="dcterms:W3CDTF">2026-01-09T01:48:00Z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2026-01-07T01:18:36Z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abb7041e-8cac-4992-a52e-4cf4ca512e05</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y fmtid="{D5CDD505-2E9C-101B-9397-08002B2CF9AE}" pid="11" name="MediaServiceImageTags">
    <vt:lpwstr/>
  </property>
</Properties>
</file>