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2846DE7" w14:textId="4D96825F" w:rsidR="00BD499F" w:rsidRPr="004C23F4" w:rsidRDefault="007A1F70" w:rsidP="00B40C60">
          <w:pPr>
            <w:pStyle w:val="Heading1"/>
            <w:jc w:val="center"/>
            <w:rPr>
              <w:rFonts w:ascii="Arial" w:hAnsi="Arial" w:cs="Arial"/>
            </w:rPr>
          </w:pPr>
          <w:r w:rsidRPr="007A1F70">
            <w:rPr>
              <w:rFonts w:ascii="Arial" w:hAnsi="Arial" w:cs="Arial"/>
            </w:rPr>
            <w:t>Pentane</w:t>
          </w:r>
          <w:r w:rsidR="003852D0">
            <w:rPr>
              <w:rFonts w:ascii="Arial" w:hAnsi="Arial" w:cs="Arial"/>
            </w:rPr>
            <w:t xml:space="preserve"> </w:t>
          </w:r>
          <w:r w:rsidR="00DD33E5">
            <w:rPr>
              <w:rFonts w:ascii="Arial" w:hAnsi="Arial" w:cs="Arial"/>
            </w:rPr>
            <w:t>(</w:t>
          </w:r>
          <w:r w:rsidR="003852D0">
            <w:rPr>
              <w:rFonts w:ascii="Arial" w:hAnsi="Arial" w:cs="Arial"/>
            </w:rPr>
            <w:t>all isomers</w:t>
          </w:r>
          <w:r w:rsidR="00DD33E5">
            <w:rPr>
              <w:rFonts w:ascii="Arial" w:hAnsi="Arial" w:cs="Arial"/>
            </w:rPr>
            <w:t>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1150A7" w14:paraId="5CA80D6B" w14:textId="77777777" w:rsidTr="00B76A41">
        <w:trPr>
          <w:cantSplit/>
          <w:tblHeader/>
        </w:trPr>
        <w:tc>
          <w:tcPr>
            <w:tcW w:w="4077" w:type="dxa"/>
          </w:tcPr>
          <w:p w14:paraId="0D791A3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1416197" w14:textId="793125BC" w:rsidR="003852D0" w:rsidRPr="001150A7" w:rsidRDefault="007A1F70" w:rsidP="00B76A41">
            <w:pPr>
              <w:pStyle w:val="Tablefont"/>
              <w:rPr>
                <w:lang w:val="it-IT"/>
              </w:rPr>
            </w:pPr>
            <w:r w:rsidRPr="001150A7">
              <w:rPr>
                <w:lang w:val="it-IT"/>
              </w:rPr>
              <w:t>109-66-0</w:t>
            </w:r>
            <w:r w:rsidR="000035B8" w:rsidRPr="001150A7">
              <w:rPr>
                <w:lang w:val="it-IT"/>
              </w:rPr>
              <w:t xml:space="preserve"> (n-pentane)</w:t>
            </w:r>
          </w:p>
          <w:p w14:paraId="27CBB9C6" w14:textId="6B564DCE" w:rsidR="003852D0" w:rsidRPr="001150A7" w:rsidRDefault="003852D0" w:rsidP="00B76A41">
            <w:pPr>
              <w:pStyle w:val="Tablefont"/>
              <w:rPr>
                <w:lang w:val="it-IT"/>
              </w:rPr>
            </w:pPr>
            <w:r w:rsidRPr="001150A7">
              <w:rPr>
                <w:lang w:val="it-IT"/>
              </w:rPr>
              <w:t xml:space="preserve">463-82-1 (neo-pentane) </w:t>
            </w:r>
          </w:p>
          <w:p w14:paraId="79EEE3DA" w14:textId="376BC60F" w:rsidR="003852D0" w:rsidRPr="001150A7" w:rsidRDefault="003852D0" w:rsidP="00B76A41">
            <w:pPr>
              <w:pStyle w:val="Tablefont"/>
              <w:rPr>
                <w:lang w:val="it-IT"/>
              </w:rPr>
            </w:pPr>
            <w:r w:rsidRPr="001150A7">
              <w:rPr>
                <w:lang w:val="it-IT"/>
              </w:rPr>
              <w:t xml:space="preserve">78-78-4 (isopentane) </w:t>
            </w:r>
          </w:p>
        </w:tc>
      </w:tr>
      <w:tr w:rsidR="00F43AD5" w:rsidRPr="001150A7" w14:paraId="753648B5" w14:textId="77777777" w:rsidTr="00B76A41">
        <w:trPr>
          <w:cantSplit/>
        </w:trPr>
        <w:tc>
          <w:tcPr>
            <w:tcW w:w="4077" w:type="dxa"/>
          </w:tcPr>
          <w:p w14:paraId="3617990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255EB72" w14:textId="7CDB2BDE" w:rsidR="00F43AD5" w:rsidRPr="001150A7" w:rsidRDefault="006922CF" w:rsidP="00B76A41">
            <w:pPr>
              <w:pStyle w:val="Tablefont"/>
              <w:rPr>
                <w:lang w:val="it-IT"/>
              </w:rPr>
            </w:pPr>
            <w:r w:rsidRPr="001150A7">
              <w:rPr>
                <w:lang w:val="it-IT"/>
              </w:rPr>
              <w:t>Amyl hydride</w:t>
            </w:r>
            <w:r w:rsidR="006143D2" w:rsidRPr="001150A7">
              <w:rPr>
                <w:lang w:val="it-IT"/>
              </w:rPr>
              <w:t xml:space="preserve"> (n-pentane), </w:t>
            </w:r>
            <w:r w:rsidR="00DB3525" w:rsidRPr="001150A7">
              <w:rPr>
                <w:lang w:val="it-IT"/>
              </w:rPr>
              <w:br/>
            </w:r>
            <w:r w:rsidR="003852D0" w:rsidRPr="001150A7">
              <w:rPr>
                <w:lang w:val="it-IT"/>
              </w:rPr>
              <w:t>2,2-dimethylpropane</w:t>
            </w:r>
            <w:r w:rsidR="006143D2" w:rsidRPr="001150A7">
              <w:rPr>
                <w:lang w:val="it-IT"/>
              </w:rPr>
              <w:t xml:space="preserve"> (neo-pentane), </w:t>
            </w:r>
            <w:r w:rsidR="00DB3525" w:rsidRPr="001150A7">
              <w:rPr>
                <w:lang w:val="it-IT"/>
              </w:rPr>
              <w:br/>
            </w:r>
            <w:r w:rsidR="006143D2" w:rsidRPr="001150A7">
              <w:rPr>
                <w:lang w:val="it-IT"/>
              </w:rPr>
              <w:t>2-methylbutane (isopentane)</w:t>
            </w:r>
          </w:p>
        </w:tc>
      </w:tr>
      <w:tr w:rsidR="00F43AD5" w:rsidRPr="004C23F4" w14:paraId="24E35BDE" w14:textId="77777777" w:rsidTr="00B76A41">
        <w:trPr>
          <w:cantSplit/>
        </w:trPr>
        <w:tc>
          <w:tcPr>
            <w:tcW w:w="4077" w:type="dxa"/>
          </w:tcPr>
          <w:p w14:paraId="3E902ED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C625F00" w14:textId="05AEA3FC" w:rsidR="00F43AD5" w:rsidRPr="00717D45" w:rsidRDefault="006922CF" w:rsidP="00B76A41">
            <w:pPr>
              <w:pStyle w:val="Tablefont"/>
            </w:pPr>
            <w:r>
              <w:t>C</w:t>
            </w:r>
            <w:r w:rsidRPr="006922CF">
              <w:rPr>
                <w:vertAlign w:val="subscript"/>
              </w:rPr>
              <w:t>5</w:t>
            </w:r>
            <w:r>
              <w:t>H</w:t>
            </w:r>
            <w:r w:rsidRPr="006922CF">
              <w:rPr>
                <w:vertAlign w:val="subscript"/>
              </w:rPr>
              <w:t>12</w:t>
            </w:r>
          </w:p>
        </w:tc>
      </w:tr>
      <w:tr w:rsidR="00F43AD5" w:rsidRPr="004C23F4" w14:paraId="1D7AF12A" w14:textId="77777777" w:rsidTr="00B76A41">
        <w:trPr>
          <w:cantSplit/>
        </w:trPr>
        <w:tc>
          <w:tcPr>
            <w:tcW w:w="4077" w:type="dxa"/>
          </w:tcPr>
          <w:p w14:paraId="41481775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5B8CC1C" w14:textId="531725E7" w:rsidR="00F43AD5" w:rsidRPr="00B40C60" w:rsidRDefault="006922CF" w:rsidP="00B76A41">
            <w:pPr>
              <w:pStyle w:val="Tablerowheading"/>
              <w:rPr>
                <w:b w:val="0"/>
              </w:rPr>
            </w:pPr>
            <w:r w:rsidRPr="006922CF">
              <w:rPr>
                <w:b w:val="0"/>
              </w:rPr>
              <w:t>—</w:t>
            </w:r>
          </w:p>
        </w:tc>
      </w:tr>
    </w:tbl>
    <w:p w14:paraId="1082AB6E" w14:textId="1F6CDC0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143D2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6"/>
        <w:gridCol w:w="5030"/>
      </w:tblGrid>
      <w:tr w:rsidR="002C7AFE" w:rsidRPr="004C23F4" w14:paraId="14F15C0C" w14:textId="77777777" w:rsidTr="006B65F1">
        <w:trPr>
          <w:cantSplit/>
          <w:tblHeader/>
        </w:trPr>
        <w:tc>
          <w:tcPr>
            <w:tcW w:w="3996" w:type="dxa"/>
            <w:vAlign w:val="center"/>
          </w:tcPr>
          <w:p w14:paraId="7FF7664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30" w:type="dxa"/>
          </w:tcPr>
          <w:p w14:paraId="511B073C" w14:textId="25404ADC" w:rsidR="002C7AFE" w:rsidRPr="00826989" w:rsidRDefault="0082698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1,000 ppm (3,000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2210EEF1" w14:textId="77777777" w:rsidTr="006B65F1">
        <w:trPr>
          <w:cantSplit/>
        </w:trPr>
        <w:tc>
          <w:tcPr>
            <w:tcW w:w="3996" w:type="dxa"/>
            <w:vAlign w:val="center"/>
          </w:tcPr>
          <w:p w14:paraId="0A64E44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30" w:type="dxa"/>
          </w:tcPr>
          <w:p w14:paraId="5B95EF79" w14:textId="377814A1" w:rsidR="002C7AFE" w:rsidRPr="00826989" w:rsidRDefault="00826989" w:rsidP="00017C82">
            <w:pPr>
              <w:pStyle w:val="Tablefon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—</w:t>
            </w:r>
          </w:p>
        </w:tc>
      </w:tr>
      <w:tr w:rsidR="002C7AFE" w:rsidRPr="004C23F4" w14:paraId="2B170CB9" w14:textId="77777777" w:rsidTr="006B65F1">
        <w:trPr>
          <w:cantSplit/>
        </w:trPr>
        <w:tc>
          <w:tcPr>
            <w:tcW w:w="3996" w:type="dxa"/>
            <w:vAlign w:val="center"/>
          </w:tcPr>
          <w:p w14:paraId="7EAB624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30" w:type="dxa"/>
          </w:tcPr>
          <w:p w14:paraId="0FE6FA25" w14:textId="14E2AEC4" w:rsidR="002C7AFE" w:rsidRPr="00EB3D1B" w:rsidRDefault="0082698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FD79CD5" w14:textId="77777777" w:rsidTr="006B65F1">
        <w:trPr>
          <w:cantSplit/>
        </w:trPr>
        <w:tc>
          <w:tcPr>
            <w:tcW w:w="3996" w:type="dxa"/>
          </w:tcPr>
          <w:p w14:paraId="2E4FE049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30" w:type="dxa"/>
          </w:tcPr>
          <w:p w14:paraId="495C2A82" w14:textId="712BA994" w:rsidR="002C7AFE" w:rsidRPr="00EB3D1B" w:rsidRDefault="00826989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062766B" w14:textId="77777777" w:rsidTr="006B65F1">
        <w:trPr>
          <w:cantSplit/>
        </w:trPr>
        <w:tc>
          <w:tcPr>
            <w:tcW w:w="3996" w:type="dxa"/>
            <w:vAlign w:val="center"/>
          </w:tcPr>
          <w:p w14:paraId="3DA88EE4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30" w:type="dxa"/>
          </w:tcPr>
          <w:p w14:paraId="067E8FE2" w14:textId="05D5DAA7" w:rsidR="002C7AFE" w:rsidRPr="00EB3D1B" w:rsidRDefault="006922C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3852D0">
              <w:rPr>
                <w:b/>
              </w:rPr>
              <w:t>,</w:t>
            </w:r>
            <w:r>
              <w:rPr>
                <w:b/>
              </w:rPr>
              <w:t>500 ppm</w:t>
            </w:r>
            <w:r w:rsidR="00826989">
              <w:rPr>
                <w:b/>
              </w:rPr>
              <w:t xml:space="preserve"> </w:t>
            </w:r>
          </w:p>
        </w:tc>
      </w:tr>
      <w:tr w:rsidR="006B65F1" w:rsidRPr="004C23F4" w14:paraId="56523C2B" w14:textId="77777777" w:rsidTr="00A60F0B">
        <w:trPr>
          <w:cantSplit/>
          <w:trHeight w:val="795"/>
        </w:trPr>
        <w:tc>
          <w:tcPr>
            <w:tcW w:w="9026" w:type="dxa"/>
            <w:gridSpan w:val="2"/>
            <w:vAlign w:val="center"/>
          </w:tcPr>
          <w:p w14:paraId="037FBBBF" w14:textId="1FDCB4D7" w:rsidR="006B65F1" w:rsidRPr="00EB3D1B" w:rsidRDefault="006B65F1" w:rsidP="00DB3525">
            <w:pPr>
              <w:pStyle w:val="Tablerowright"/>
              <w:jc w:val="left"/>
            </w:pPr>
            <w:r>
              <w:t>Sampling and analysis:</w:t>
            </w:r>
            <w:r>
              <w:rPr>
                <w:rStyle w:val="WESstatus"/>
                <w:b w:val="0"/>
                <w:color w:val="auto"/>
              </w:rPr>
              <w:t xml:space="preserve">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E499FF8FF974428785B3F11E3C4267F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6B65F1"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BDB16C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F05FCB5" w14:textId="37105E89" w:rsidR="006639B4" w:rsidRPr="004C23F4" w:rsidRDefault="000035B8" w:rsidP="000C139A">
      <w:pPr>
        <w:rPr>
          <w:rFonts w:cs="Arial"/>
        </w:rPr>
      </w:pPr>
      <w:r w:rsidRPr="000035B8">
        <w:rPr>
          <w:rFonts w:cs="Arial"/>
        </w:rPr>
        <w:t xml:space="preserve">A TWA of </w:t>
      </w:r>
      <w:r>
        <w:rPr>
          <w:rFonts w:cs="Arial"/>
        </w:rPr>
        <w:t xml:space="preserve">1,000 </w:t>
      </w:r>
      <w:r w:rsidRPr="000035B8">
        <w:rPr>
          <w:rFonts w:cs="Arial"/>
        </w:rPr>
        <w:t>ppm (</w:t>
      </w:r>
      <w:r>
        <w:rPr>
          <w:rFonts w:cs="Arial"/>
        </w:rPr>
        <w:t>3,000</w:t>
      </w:r>
      <w:r w:rsidRPr="000035B8">
        <w:rPr>
          <w:rFonts w:cs="Arial"/>
        </w:rPr>
        <w:t xml:space="preserve"> mg/m</w:t>
      </w:r>
      <w:r w:rsidRPr="000035B8">
        <w:rPr>
          <w:rFonts w:cs="Arial"/>
          <w:vertAlign w:val="superscript"/>
        </w:rPr>
        <w:t>3</w:t>
      </w:r>
      <w:r w:rsidRPr="000035B8">
        <w:rPr>
          <w:rFonts w:cs="Arial"/>
        </w:rPr>
        <w:t>) is recommended to protect for</w:t>
      </w:r>
      <w:r>
        <w:rPr>
          <w:rFonts w:cs="Arial"/>
        </w:rPr>
        <w:t xml:space="preserve"> </w:t>
      </w:r>
      <w:r w:rsidR="00DB3525">
        <w:rPr>
          <w:rFonts w:cs="Arial"/>
        </w:rPr>
        <w:t>irritation</w:t>
      </w:r>
      <w:r w:rsidRPr="000035B8">
        <w:rPr>
          <w:rFonts w:cs="Arial"/>
        </w:rPr>
        <w:t xml:space="preserve"> and </w:t>
      </w:r>
      <w:r>
        <w:rPr>
          <w:rFonts w:cs="Arial"/>
        </w:rPr>
        <w:t>narcosis</w:t>
      </w:r>
      <w:r w:rsidRPr="000035B8">
        <w:rPr>
          <w:rFonts w:cs="Arial"/>
        </w:rPr>
        <w:t xml:space="preserve"> in exposed</w:t>
      </w:r>
      <w:r w:rsidR="005D26D1">
        <w:rPr>
          <w:rFonts w:cs="Arial"/>
        </w:rPr>
        <w:t xml:space="preserve"> </w:t>
      </w:r>
      <w:r w:rsidRPr="000035B8">
        <w:rPr>
          <w:rFonts w:cs="Arial"/>
        </w:rPr>
        <w:t>workers</w:t>
      </w:r>
      <w:r>
        <w:rPr>
          <w:rFonts w:cs="Arial"/>
        </w:rPr>
        <w:t>.</w:t>
      </w:r>
    </w:p>
    <w:p w14:paraId="73BC5D8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C357A4A" w14:textId="0A07745B" w:rsidR="00DB3525" w:rsidRDefault="006143D2" w:rsidP="006639B4">
      <w:pPr>
        <w:rPr>
          <w:rFonts w:cs="Arial"/>
        </w:rPr>
      </w:pPr>
      <w:r>
        <w:rPr>
          <w:rFonts w:cs="Arial"/>
        </w:rPr>
        <w:t xml:space="preserve">n-Pentane and isopentane are liquids and neo-pentane is a gas under standard conditions. </w:t>
      </w:r>
      <w:r w:rsidR="00D85542">
        <w:rPr>
          <w:rFonts w:cs="Arial"/>
        </w:rPr>
        <w:t>They</w:t>
      </w:r>
      <w:r>
        <w:rPr>
          <w:rFonts w:cs="Arial"/>
        </w:rPr>
        <w:t xml:space="preserve"> are used as aerosol</w:t>
      </w:r>
      <w:r w:rsidR="00E74243">
        <w:rPr>
          <w:rFonts w:cs="Arial"/>
        </w:rPr>
        <w:t xml:space="preserve"> and </w:t>
      </w:r>
      <w:r w:rsidR="00CE077F">
        <w:rPr>
          <w:rFonts w:cs="Arial"/>
        </w:rPr>
        <w:t>foam</w:t>
      </w:r>
      <w:r>
        <w:rPr>
          <w:rFonts w:cs="Arial"/>
        </w:rPr>
        <w:t xml:space="preserve"> propellants, solvents and </w:t>
      </w:r>
      <w:r w:rsidR="009E3BE7">
        <w:rPr>
          <w:rFonts w:cs="Arial"/>
        </w:rPr>
        <w:t>in petrol production</w:t>
      </w:r>
      <w:r w:rsidR="005D26D1">
        <w:rPr>
          <w:rFonts w:cs="Arial"/>
        </w:rPr>
        <w:t>.</w:t>
      </w:r>
      <w:r w:rsidR="00AB274E">
        <w:rPr>
          <w:rFonts w:cs="Arial"/>
        </w:rPr>
        <w:t xml:space="preserve"> </w:t>
      </w:r>
      <w:r w:rsidR="005D26D1">
        <w:rPr>
          <w:rFonts w:cs="Arial"/>
        </w:rPr>
        <w:t>T</w:t>
      </w:r>
      <w:r w:rsidR="000035B8">
        <w:rPr>
          <w:rFonts w:cs="Arial"/>
        </w:rPr>
        <w:t>heir vapours are denser than air</w:t>
      </w:r>
      <w:r w:rsidR="009E3BE7">
        <w:rPr>
          <w:rFonts w:cs="Arial"/>
        </w:rPr>
        <w:t xml:space="preserve">. </w:t>
      </w:r>
    </w:p>
    <w:p w14:paraId="2EF473E1" w14:textId="303C3D8A" w:rsidR="00AF4B42" w:rsidRDefault="00AF4B42" w:rsidP="006639B4">
      <w:pPr>
        <w:rPr>
          <w:rFonts w:cs="Arial"/>
        </w:rPr>
      </w:pPr>
      <w:r>
        <w:rPr>
          <w:rFonts w:cs="Arial"/>
        </w:rPr>
        <w:t>All three pentane isomers are metabolised analogously</w:t>
      </w:r>
      <w:r w:rsidR="005D26D1">
        <w:rPr>
          <w:rFonts w:cs="Arial"/>
        </w:rPr>
        <w:t xml:space="preserve"> and</w:t>
      </w:r>
      <w:r>
        <w:rPr>
          <w:rFonts w:cs="Arial"/>
        </w:rPr>
        <w:t xml:space="preserve"> share comparable toxic endpoints</w:t>
      </w:r>
      <w:r w:rsidR="005D26D1">
        <w:rPr>
          <w:rFonts w:cs="Arial"/>
        </w:rPr>
        <w:t>. They</w:t>
      </w:r>
      <w:r>
        <w:rPr>
          <w:rFonts w:cs="Arial"/>
        </w:rPr>
        <w:t xml:space="preserve"> are often used as isomeric mixtures, which supports their </w:t>
      </w:r>
      <w:r w:rsidR="007E42D6">
        <w:rPr>
          <w:rFonts w:cs="Arial"/>
        </w:rPr>
        <w:t>grouping for this evaluation</w:t>
      </w:r>
      <w:r>
        <w:rPr>
          <w:rFonts w:cs="Arial"/>
        </w:rPr>
        <w:t xml:space="preserve"> (ACGIH, 2018; DFG, 2007, </w:t>
      </w:r>
      <w:r w:rsidR="00D276CD">
        <w:rPr>
          <w:rFonts w:cs="Arial"/>
        </w:rPr>
        <w:t xml:space="preserve">OECD, 2008; </w:t>
      </w:r>
      <w:r>
        <w:rPr>
          <w:rFonts w:cs="Arial"/>
        </w:rPr>
        <w:t>SCOEL, 1997).</w:t>
      </w:r>
    </w:p>
    <w:p w14:paraId="77967D13" w14:textId="77777777" w:rsidR="00B44F05" w:rsidRDefault="00DB3525" w:rsidP="006639B4">
      <w:pPr>
        <w:rPr>
          <w:rFonts w:cs="Arial"/>
        </w:rPr>
      </w:pPr>
      <w:r>
        <w:rPr>
          <w:rFonts w:cs="Arial"/>
        </w:rPr>
        <w:t xml:space="preserve">Critical effects of exposure are respiratory tract irritation and narcosis as demonstrated in animals. </w:t>
      </w:r>
    </w:p>
    <w:p w14:paraId="10546179" w14:textId="1B8C3B0C" w:rsidR="00E74243" w:rsidRDefault="009E3BE7" w:rsidP="006639B4">
      <w:pPr>
        <w:rPr>
          <w:rFonts w:cs="Arial"/>
        </w:rPr>
      </w:pPr>
      <w:r>
        <w:rPr>
          <w:rFonts w:cs="Arial"/>
        </w:rPr>
        <w:t xml:space="preserve">Acute exposures </w:t>
      </w:r>
      <w:r w:rsidR="00DB3525">
        <w:rPr>
          <w:rFonts w:cs="Arial"/>
        </w:rPr>
        <w:t>at</w:t>
      </w:r>
      <w:r w:rsidR="00A740B1">
        <w:rPr>
          <w:rFonts w:cs="Arial"/>
        </w:rPr>
        <w:t xml:space="preserve"> 5,000 ppm had no effect</w:t>
      </w:r>
      <w:r w:rsidR="00DB3525">
        <w:rPr>
          <w:rFonts w:cs="Arial"/>
        </w:rPr>
        <w:t>s</w:t>
      </w:r>
      <w:r w:rsidR="00A740B1">
        <w:rPr>
          <w:rFonts w:cs="Arial"/>
        </w:rPr>
        <w:t xml:space="preserve"> in volunteers. </w:t>
      </w:r>
      <w:r w:rsidR="00B44F05">
        <w:rPr>
          <w:rFonts w:cs="Arial"/>
        </w:rPr>
        <w:t xml:space="preserve">NOAEC between 3,000 and 6,800 ppm </w:t>
      </w:r>
      <w:r w:rsidR="00AB274E">
        <w:rPr>
          <w:rFonts w:cs="Arial"/>
        </w:rPr>
        <w:t xml:space="preserve">are </w:t>
      </w:r>
      <w:r w:rsidR="00B44F05">
        <w:rPr>
          <w:rFonts w:cs="Arial"/>
        </w:rPr>
        <w:t>reported in s</w:t>
      </w:r>
      <w:r w:rsidR="00A740B1">
        <w:rPr>
          <w:rFonts w:cs="Arial"/>
        </w:rPr>
        <w:t>ub</w:t>
      </w:r>
      <w:r w:rsidR="00B44F05">
        <w:rPr>
          <w:rFonts w:cs="Arial"/>
        </w:rPr>
        <w:noBreakHyphen/>
      </w:r>
      <w:r w:rsidR="00A740B1">
        <w:rPr>
          <w:rFonts w:cs="Arial"/>
        </w:rPr>
        <w:t xml:space="preserve">chronic </w:t>
      </w:r>
      <w:r w:rsidR="00AB274E">
        <w:rPr>
          <w:rFonts w:cs="Arial"/>
        </w:rPr>
        <w:t xml:space="preserve">rat </w:t>
      </w:r>
      <w:r w:rsidR="00A740B1">
        <w:rPr>
          <w:rFonts w:cs="Arial"/>
        </w:rPr>
        <w:t xml:space="preserve">inhalation </w:t>
      </w:r>
      <w:r w:rsidR="00B44F05">
        <w:rPr>
          <w:rFonts w:cs="Arial"/>
        </w:rPr>
        <w:t>studies</w:t>
      </w:r>
      <w:r w:rsidR="008D1A58">
        <w:rPr>
          <w:rFonts w:cs="Arial"/>
        </w:rPr>
        <w:t>; t</w:t>
      </w:r>
      <w:r w:rsidR="00826989">
        <w:rPr>
          <w:rFonts w:cs="Arial"/>
        </w:rPr>
        <w:t xml:space="preserve">he relevance of a slight change in blood serum composition at 3,000 ppm in </w:t>
      </w:r>
      <w:r w:rsidR="000035B8">
        <w:rPr>
          <w:rFonts w:cs="Arial"/>
        </w:rPr>
        <w:t>one study</w:t>
      </w:r>
      <w:r w:rsidR="00826989">
        <w:rPr>
          <w:rFonts w:cs="Arial"/>
        </w:rPr>
        <w:t xml:space="preserve"> is unclear (ACGIH, 2018; DFG, 2007). </w:t>
      </w:r>
      <w:r w:rsidR="00F815EE">
        <w:rPr>
          <w:rFonts w:cs="Arial"/>
        </w:rPr>
        <w:t xml:space="preserve">Respiratory tract irritation is demonstrated at </w:t>
      </w:r>
      <w:r w:rsidR="00826989">
        <w:rPr>
          <w:rFonts w:cs="Arial"/>
        </w:rPr>
        <w:t>32,000 ppm in mice;</w:t>
      </w:r>
      <w:r w:rsidR="00F815EE">
        <w:rPr>
          <w:rFonts w:cs="Arial"/>
        </w:rPr>
        <w:t xml:space="preserve"> narcosis </w:t>
      </w:r>
      <w:r w:rsidR="00D85542">
        <w:rPr>
          <w:rFonts w:cs="Arial"/>
        </w:rPr>
        <w:t xml:space="preserve">follows </w:t>
      </w:r>
      <w:r w:rsidR="00DB3525">
        <w:rPr>
          <w:rFonts w:cs="Arial"/>
        </w:rPr>
        <w:t xml:space="preserve">exposures </w:t>
      </w:r>
      <w:r w:rsidR="00D85542">
        <w:rPr>
          <w:rFonts w:cs="Arial"/>
        </w:rPr>
        <w:t>above</w:t>
      </w:r>
      <w:r w:rsidR="00826989">
        <w:rPr>
          <w:rFonts w:cs="Arial"/>
        </w:rPr>
        <w:t xml:space="preserve"> 90,000 </w:t>
      </w:r>
      <w:r w:rsidR="00F815EE">
        <w:rPr>
          <w:rFonts w:cs="Arial"/>
        </w:rPr>
        <w:t xml:space="preserve">ppm. </w:t>
      </w:r>
    </w:p>
    <w:p w14:paraId="4B6E7D62" w14:textId="02EE12DC" w:rsidR="000035B8" w:rsidRDefault="00DB3525" w:rsidP="006639B4">
      <w:pPr>
        <w:rPr>
          <w:rFonts w:cs="Arial"/>
        </w:rPr>
      </w:pPr>
      <w:r>
        <w:rPr>
          <w:rFonts w:cs="Arial"/>
        </w:rPr>
        <w:t>A</w:t>
      </w:r>
      <w:r w:rsidR="00B44F05">
        <w:rPr>
          <w:rFonts w:cs="Arial"/>
        </w:rPr>
        <w:t xml:space="preserve">ll </w:t>
      </w:r>
      <w:r w:rsidR="000D2DA1">
        <w:rPr>
          <w:rFonts w:cs="Arial"/>
        </w:rPr>
        <w:t xml:space="preserve">available </w:t>
      </w:r>
      <w:r w:rsidR="00B44F05">
        <w:rPr>
          <w:rFonts w:cs="Arial"/>
        </w:rPr>
        <w:t>primary sources</w:t>
      </w:r>
      <w:r w:rsidR="000D2DA1">
        <w:rPr>
          <w:rFonts w:cs="Arial"/>
        </w:rPr>
        <w:t xml:space="preserve"> (ACGIH, 2018; DFG, 2007, SCOEL, 1997)</w:t>
      </w:r>
      <w:r w:rsidR="00B44F05">
        <w:rPr>
          <w:rFonts w:cs="Arial"/>
        </w:rPr>
        <w:t>, other than SWA,</w:t>
      </w:r>
      <w:r w:rsidR="00F815EE">
        <w:rPr>
          <w:rFonts w:cs="Arial"/>
        </w:rPr>
        <w:t xml:space="preserve"> </w:t>
      </w:r>
      <w:r w:rsidR="000D2DA1">
        <w:rPr>
          <w:rFonts w:cs="Arial"/>
        </w:rPr>
        <w:t>published</w:t>
      </w:r>
      <w:r w:rsidR="00B44F05">
        <w:rPr>
          <w:rFonts w:cs="Arial"/>
        </w:rPr>
        <w:t xml:space="preserve"> a</w:t>
      </w:r>
      <w:r w:rsidR="00F815EE">
        <w:rPr>
          <w:rFonts w:cs="Arial"/>
        </w:rPr>
        <w:t xml:space="preserve"> TWA </w:t>
      </w:r>
      <w:r w:rsidR="00826989">
        <w:rPr>
          <w:rFonts w:cs="Arial"/>
        </w:rPr>
        <w:t xml:space="preserve">of 1,000 ppm </w:t>
      </w:r>
      <w:r w:rsidR="00F815EE">
        <w:rPr>
          <w:rFonts w:cs="Arial"/>
        </w:rPr>
        <w:t xml:space="preserve">based on </w:t>
      </w:r>
      <w:r w:rsidR="000D2DA1">
        <w:rPr>
          <w:rFonts w:cs="Arial"/>
        </w:rPr>
        <w:t xml:space="preserve">the </w:t>
      </w:r>
      <w:r w:rsidR="00F815EE">
        <w:rPr>
          <w:rFonts w:cs="Arial"/>
        </w:rPr>
        <w:t>NOAE</w:t>
      </w:r>
      <w:r>
        <w:rPr>
          <w:rFonts w:cs="Arial"/>
        </w:rPr>
        <w:t>C</w:t>
      </w:r>
      <w:r w:rsidR="00F815EE">
        <w:rPr>
          <w:rFonts w:cs="Arial"/>
        </w:rPr>
        <w:t xml:space="preserve"> </w:t>
      </w:r>
      <w:r w:rsidR="000D2DA1">
        <w:rPr>
          <w:rFonts w:cs="Arial"/>
        </w:rPr>
        <w:t>in sub</w:t>
      </w:r>
      <w:r w:rsidR="000D2DA1">
        <w:rPr>
          <w:rFonts w:cs="Arial"/>
        </w:rPr>
        <w:noBreakHyphen/>
        <w:t>chronic studies in rats</w:t>
      </w:r>
      <w:r w:rsidR="00676B71">
        <w:rPr>
          <w:rFonts w:cs="Arial"/>
        </w:rPr>
        <w:t>.</w:t>
      </w:r>
      <w:r w:rsidR="000D2DA1">
        <w:rPr>
          <w:rFonts w:cs="Arial"/>
        </w:rPr>
        <w:t xml:space="preserve"> This TWA is recommended </w:t>
      </w:r>
      <w:r w:rsidR="00676B71">
        <w:rPr>
          <w:rFonts w:cs="Arial"/>
        </w:rPr>
        <w:t xml:space="preserve">to </w:t>
      </w:r>
      <w:r w:rsidR="000D2DA1">
        <w:rPr>
          <w:rFonts w:cs="Arial"/>
        </w:rPr>
        <w:lastRenderedPageBreak/>
        <w:t>be adopted a</w:t>
      </w:r>
      <w:r w:rsidR="00676B71">
        <w:rPr>
          <w:rFonts w:cs="Arial"/>
        </w:rPr>
        <w:t xml:space="preserve">s it </w:t>
      </w:r>
      <w:r w:rsidR="000D2DA1">
        <w:rPr>
          <w:rFonts w:cs="Arial"/>
        </w:rPr>
        <w:t xml:space="preserve">is </w:t>
      </w:r>
      <w:r w:rsidR="00826989">
        <w:rPr>
          <w:rFonts w:cs="Arial"/>
        </w:rPr>
        <w:t xml:space="preserve">expected to be protective of the critical effects observed in animals and is below 10% of the lower explosive limit of n-pentane (NIOSH, 1994). </w:t>
      </w:r>
    </w:p>
    <w:p w14:paraId="00438649" w14:textId="25CBF679" w:rsidR="00826989" w:rsidRPr="004C23F4" w:rsidRDefault="006143D2" w:rsidP="006639B4">
      <w:pPr>
        <w:rPr>
          <w:rFonts w:cs="Arial"/>
        </w:rPr>
      </w:pPr>
      <w:r w:rsidRPr="006143D2">
        <w:rPr>
          <w:rFonts w:cs="Arial"/>
        </w:rPr>
        <w:t xml:space="preserve">There is insufficient evidence to warrant the recommendation of a </w:t>
      </w:r>
      <w:proofErr w:type="gramStart"/>
      <w:r w:rsidRPr="006143D2">
        <w:rPr>
          <w:rFonts w:cs="Arial"/>
        </w:rPr>
        <w:t>STEL</w:t>
      </w:r>
      <w:proofErr w:type="gramEnd"/>
      <w:r w:rsidRPr="006143D2">
        <w:rPr>
          <w:rFonts w:cs="Arial"/>
        </w:rPr>
        <w:t xml:space="preserve"> </w:t>
      </w:r>
      <w:r w:rsidR="00676B71" w:rsidRPr="006143D2">
        <w:rPr>
          <w:rFonts w:cs="Arial"/>
        </w:rPr>
        <w:t>a</w:t>
      </w:r>
      <w:r w:rsidR="00676B71">
        <w:rPr>
          <w:rFonts w:cs="Arial"/>
        </w:rPr>
        <w:t>nd</w:t>
      </w:r>
      <w:r w:rsidR="00676B71" w:rsidRPr="006143D2">
        <w:rPr>
          <w:rFonts w:cs="Arial"/>
        </w:rPr>
        <w:t xml:space="preserve"> </w:t>
      </w:r>
      <w:r w:rsidRPr="006143D2">
        <w:rPr>
          <w:rFonts w:cs="Arial"/>
        </w:rPr>
        <w:t>the recommended TWA is considered adequately protective</w:t>
      </w:r>
      <w:r w:rsidR="00676B71">
        <w:rPr>
          <w:rFonts w:cs="Arial"/>
        </w:rPr>
        <w:t xml:space="preserve"> for acute effects</w:t>
      </w:r>
      <w:r w:rsidR="00826989">
        <w:rPr>
          <w:rFonts w:cs="Arial"/>
        </w:rPr>
        <w:t xml:space="preserve"> (ACGIH, 2018; DFG, 2007, SCOEL, 1997).</w:t>
      </w:r>
    </w:p>
    <w:p w14:paraId="12BB5DCA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1E72185" w14:textId="06642AE6" w:rsidR="006922CF" w:rsidRPr="006922CF" w:rsidRDefault="006922CF" w:rsidP="006922CF">
      <w:pPr>
        <w:rPr>
          <w:rFonts w:cs="Arial"/>
        </w:rPr>
      </w:pPr>
      <w:r w:rsidRPr="006922CF">
        <w:rPr>
          <w:rFonts w:cs="Arial"/>
        </w:rPr>
        <w:t>Not classified as a carcinogen according to the Globally Harmonized System of Classification and Labelling o</w:t>
      </w:r>
      <w:r w:rsidR="006B65F1">
        <w:rPr>
          <w:rFonts w:cs="Arial"/>
        </w:rPr>
        <w:t>f</w:t>
      </w:r>
      <w:r w:rsidRPr="006922CF">
        <w:rPr>
          <w:rFonts w:cs="Arial"/>
        </w:rPr>
        <w:t xml:space="preserve"> Chemicals (GHS). </w:t>
      </w:r>
    </w:p>
    <w:p w14:paraId="2AFDBC51" w14:textId="3900F89A" w:rsidR="006922CF" w:rsidRPr="006922CF" w:rsidRDefault="006922CF" w:rsidP="006922CF">
      <w:pPr>
        <w:rPr>
          <w:rFonts w:cs="Arial"/>
        </w:rPr>
      </w:pPr>
      <w:r w:rsidRPr="006922CF">
        <w:rPr>
          <w:rFonts w:cs="Arial"/>
        </w:rPr>
        <w:t>Not classified as a skin</w:t>
      </w:r>
      <w:r w:rsidR="006B65F1">
        <w:rPr>
          <w:rFonts w:cs="Arial"/>
        </w:rPr>
        <w:t xml:space="preserve"> sensitiser</w:t>
      </w:r>
      <w:r w:rsidRPr="006922CF">
        <w:rPr>
          <w:rFonts w:cs="Arial"/>
        </w:rPr>
        <w:t xml:space="preserve"> or respiratory sensitiser according to the GHS.</w:t>
      </w:r>
    </w:p>
    <w:p w14:paraId="4AA01579" w14:textId="39668A87" w:rsidR="005E6979" w:rsidRPr="004C23F4" w:rsidRDefault="006143D2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6143D2">
        <w:rPr>
          <w:rFonts w:cs="Arial"/>
        </w:rPr>
        <w:t xml:space="preserve">A skin notation is not </w:t>
      </w:r>
      <w:r w:rsidR="006B65F1">
        <w:rPr>
          <w:rFonts w:cs="Arial"/>
        </w:rPr>
        <w:t>recommended</w:t>
      </w:r>
      <w:r w:rsidRPr="006143D2">
        <w:rPr>
          <w:rFonts w:cs="Arial"/>
        </w:rPr>
        <w:t xml:space="preserve"> based on the available evidence.</w:t>
      </w:r>
    </w:p>
    <w:p w14:paraId="7A64A67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252DF1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A3EF59D" w14:textId="77777777" w:rsidTr="00DB3525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045A10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0956D4B" w14:textId="77777777" w:rsidTr="00DB3525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C616CBD" w14:textId="4E05B133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02B0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02B03">
                  <w:t>TWA: 600 ppm (1</w:t>
                </w:r>
                <w:r w:rsidR="003852D0">
                  <w:t>,</w:t>
                </w:r>
                <w:r w:rsidR="00502B03">
                  <w:t>770 mg/m</w:t>
                </w:r>
                <w:r w:rsidR="00502B03" w:rsidRPr="006B6503">
                  <w:rPr>
                    <w:vertAlign w:val="superscript"/>
                  </w:rPr>
                  <w:t>3</w:t>
                </w:r>
                <w:r w:rsidR="00502B03">
                  <w:t>); STEL: 750 ppm (2</w:t>
                </w:r>
                <w:r w:rsidR="003852D0">
                  <w:t>,</w:t>
                </w:r>
                <w:r w:rsidR="00502B03">
                  <w:t>210 mg/m</w:t>
                </w:r>
                <w:r w:rsidR="00502B03" w:rsidRPr="006B6503">
                  <w:rPr>
                    <w:vertAlign w:val="superscript"/>
                  </w:rPr>
                  <w:t>3</w:t>
                </w:r>
                <w:r w:rsidR="00502B03">
                  <w:t>)</w:t>
                </w:r>
              </w:sdtContent>
            </w:sdt>
          </w:p>
        </w:tc>
      </w:tr>
      <w:tr w:rsidR="00C978F0" w:rsidRPr="00DA352E" w14:paraId="12677253" w14:textId="77777777" w:rsidTr="00DB3525">
        <w:trPr>
          <w:gridAfter w:val="1"/>
          <w:wAfter w:w="8" w:type="pct"/>
        </w:trPr>
        <w:tc>
          <w:tcPr>
            <w:tcW w:w="4992" w:type="pct"/>
          </w:tcPr>
          <w:p w14:paraId="2F8EBFF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122B0E9" w14:textId="77777777" w:rsidTr="00DB352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5999CD7" w14:textId="7BCD192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02B03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02B03">
                  <w:t>TLV-TWA: 1</w:t>
                </w:r>
                <w:r w:rsidR="003852D0">
                  <w:t>,</w:t>
                </w:r>
                <w:r w:rsidR="00502B03">
                  <w:t>000 ppm (2</w:t>
                </w:r>
                <w:r w:rsidR="00CA3AFB">
                  <w:t>,</w:t>
                </w:r>
                <w:r w:rsidR="00502B03">
                  <w:t>950 mg/m</w:t>
                </w:r>
                <w:r w:rsidR="00502B03" w:rsidRPr="00502B03">
                  <w:rPr>
                    <w:vertAlign w:val="superscript"/>
                  </w:rPr>
                  <w:t>3</w:t>
                </w:r>
                <w:r w:rsidR="00502B03">
                  <w:t>)</w:t>
                </w:r>
              </w:sdtContent>
            </w:sdt>
          </w:p>
        </w:tc>
      </w:tr>
      <w:tr w:rsidR="00C978F0" w:rsidRPr="00DA352E" w14:paraId="6E0960E7" w14:textId="77777777" w:rsidTr="00DB3525">
        <w:trPr>
          <w:gridAfter w:val="1"/>
          <w:wAfter w:w="8" w:type="pct"/>
        </w:trPr>
        <w:tc>
          <w:tcPr>
            <w:tcW w:w="4992" w:type="pct"/>
          </w:tcPr>
          <w:p w14:paraId="57D41969" w14:textId="77777777" w:rsidR="00C978F0" w:rsidRDefault="006B6503" w:rsidP="003365A5">
            <w:pPr>
              <w:pStyle w:val="Tabletextprimarysource"/>
            </w:pPr>
            <w:r>
              <w:t xml:space="preserve">TLV-TWA intended to protect for irritation and narcosis. </w:t>
            </w:r>
          </w:p>
          <w:p w14:paraId="2E99AE4B" w14:textId="2DA4E5D0" w:rsidR="006B6503" w:rsidRDefault="006B6503" w:rsidP="003365A5">
            <w:pPr>
              <w:pStyle w:val="Tabletextprimarysource"/>
            </w:pPr>
            <w:r>
              <w:t>Summary of data:</w:t>
            </w:r>
          </w:p>
          <w:p w14:paraId="2A1127DE" w14:textId="5575E5E3" w:rsidR="006B6503" w:rsidRDefault="00E27E75" w:rsidP="003365A5">
            <w:pPr>
              <w:pStyle w:val="Tabletextprimarysource"/>
            </w:pPr>
            <w:r>
              <w:t xml:space="preserve">Grouped assessment of </w:t>
            </w:r>
            <w:r w:rsidR="0049305C">
              <w:t>3</w:t>
            </w:r>
            <w:r>
              <w:t xml:space="preserve"> pentane isomers</w:t>
            </w:r>
            <w:r w:rsidR="000D2DA1">
              <w:t xml:space="preserve">: </w:t>
            </w:r>
            <w:r w:rsidRPr="00A60F0B">
              <w:rPr>
                <w:i/>
              </w:rPr>
              <w:t>n</w:t>
            </w:r>
            <w:r>
              <w:t>-, neo- and isopentane</w:t>
            </w:r>
            <w:r w:rsidR="00222E73">
              <w:t xml:space="preserve">. </w:t>
            </w:r>
            <w:r>
              <w:t>All p</w:t>
            </w:r>
            <w:r w:rsidR="006B6503">
              <w:t>entane vapours are denser than air and can accumulate in low-lying areas below the breathing zone. TLV-TWA is based on weight of health-based evidence in humans and animals and safety precautions due to explosive risk.</w:t>
            </w:r>
            <w:r w:rsidR="00222E73">
              <w:t xml:space="preserve"> Considered sufficiently low to provide substantial safety margin for irritant and narcotic effects.</w:t>
            </w:r>
            <w:r w:rsidR="00AF4B42">
              <w:t xml:space="preserve"> TLV-STEL of 750 ppm withdrawn in 1998.</w:t>
            </w:r>
          </w:p>
          <w:p w14:paraId="43A17441" w14:textId="32E7CBC1" w:rsidR="006B6503" w:rsidRDefault="006B6503" w:rsidP="003365A5">
            <w:pPr>
              <w:pStyle w:val="Tabletextprimarysource"/>
            </w:pPr>
            <w:r>
              <w:t>Human data:</w:t>
            </w:r>
          </w:p>
          <w:p w14:paraId="01806DB8" w14:textId="184092B4" w:rsidR="006B6503" w:rsidRDefault="0068572C" w:rsidP="006B650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Odour threshold: </w:t>
            </w:r>
            <w:r w:rsidR="006B6503">
              <w:t>400 ppm</w:t>
            </w:r>
          </w:p>
          <w:p w14:paraId="0048C09C" w14:textId="772C97BA" w:rsidR="00E96619" w:rsidRDefault="00A133CD" w:rsidP="006B650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mucous membrane </w:t>
            </w:r>
            <w:r w:rsidR="000D2DA1">
              <w:t xml:space="preserve">irritation </w:t>
            </w:r>
            <w:r>
              <w:t>or other symptoms observed in volunteers at 5,000 ppm (10 min)</w:t>
            </w:r>
          </w:p>
          <w:p w14:paraId="6E50FDBA" w14:textId="0CBA5634" w:rsidR="00A133CD" w:rsidRDefault="00A133CD" w:rsidP="006B6503">
            <w:pPr>
              <w:pStyle w:val="Tabletextprimarysource"/>
              <w:numPr>
                <w:ilvl w:val="0"/>
                <w:numId w:val="1"/>
              </w:numPr>
            </w:pPr>
            <w:r>
              <w:t>Blisters and itching following topical application (duration not specified), blisters formed after 5 h</w:t>
            </w:r>
          </w:p>
          <w:p w14:paraId="6389CB6D" w14:textId="5E335F0B" w:rsidR="00A133CD" w:rsidRDefault="00CA3AFB" w:rsidP="006B6503">
            <w:pPr>
              <w:pStyle w:val="Tabletextprimarysource"/>
              <w:numPr>
                <w:ilvl w:val="0"/>
                <w:numId w:val="1"/>
              </w:numPr>
            </w:pPr>
            <w:r>
              <w:t>Peripheral nerve damage</w:t>
            </w:r>
            <w:r w:rsidR="00A133CD">
              <w:t xml:space="preserve"> in 5 exposed belt manufactory workers; solvent used by workers comprised 80% pentane, 14% heptane, 5% </w:t>
            </w:r>
            <w:r w:rsidR="00A133CD" w:rsidRPr="00A60F0B">
              <w:rPr>
                <w:i/>
              </w:rPr>
              <w:t>n</w:t>
            </w:r>
            <w:r w:rsidR="00A133CD">
              <w:t>-hexane</w:t>
            </w:r>
            <w:r>
              <w:t>; effects were likely due to n-hexane component of the mixture, symptoms included anorexia, fatigue, weakness, muscular incoordination/failure in legs</w:t>
            </w:r>
            <w:r w:rsidR="00A60F0B">
              <w:t>.</w:t>
            </w:r>
          </w:p>
          <w:p w14:paraId="276B7C72" w14:textId="3DE4EE4D" w:rsidR="006B6503" w:rsidRDefault="006B6503" w:rsidP="003365A5">
            <w:pPr>
              <w:pStyle w:val="Tabletextprimarysource"/>
            </w:pPr>
            <w:r>
              <w:t>Animal data:</w:t>
            </w:r>
          </w:p>
          <w:p w14:paraId="1296DFCF" w14:textId="6297DC9A" w:rsidR="006B6503" w:rsidRDefault="00E27E75" w:rsidP="006B6503">
            <w:pPr>
              <w:pStyle w:val="Tabletextprimarysource"/>
              <w:numPr>
                <w:ilvl w:val="0"/>
                <w:numId w:val="1"/>
              </w:numPr>
            </w:pPr>
            <w:r>
              <w:t>Narcosis at 90,000–120,000 ppm (mice, 5–60 min), lethal at 130,000 ppm (mice, 30 min)</w:t>
            </w:r>
            <w:r w:rsidR="00A23D7C">
              <w:t>:</w:t>
            </w:r>
          </w:p>
          <w:p w14:paraId="0A4EDFBA" w14:textId="15C20E33" w:rsidR="00E27E75" w:rsidRDefault="0049305C" w:rsidP="00DB3525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LC</w:t>
            </w:r>
            <w:r>
              <w:rPr>
                <w:vertAlign w:val="subscript"/>
              </w:rPr>
              <w:t>50:</w:t>
            </w:r>
            <w:r>
              <w:t xml:space="preserve"> 100,000–300,000 ppm (mice, &lt;2 h); survivors recovered in 8 min</w:t>
            </w:r>
          </w:p>
          <w:p w14:paraId="50A769E2" w14:textId="029EB114" w:rsidR="0049305C" w:rsidRDefault="00A60F0B" w:rsidP="00DB3525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</w:t>
            </w:r>
            <w:r w:rsidR="0049305C">
              <w:t>o effects at 16,000 ppm (mice, 5 min) or 6,800 ppm (rats, 8 h/d, 3 d)</w:t>
            </w:r>
            <w:r w:rsidR="00222E73">
              <w:t xml:space="preserve">; signs of respiratory irritation at </w:t>
            </w:r>
            <w:r w:rsidR="00A53C7D">
              <w:t>32,000 and 64,000 ppm (mice, 5 min)</w:t>
            </w:r>
          </w:p>
          <w:p w14:paraId="453AFC5C" w14:textId="427BDF04" w:rsidR="0049305C" w:rsidRDefault="00150358" w:rsidP="0049305C">
            <w:pPr>
              <w:pStyle w:val="Tabletextprimarysource"/>
              <w:numPr>
                <w:ilvl w:val="0"/>
                <w:numId w:val="1"/>
              </w:numPr>
            </w:pPr>
            <w:r>
              <w:t>S</w:t>
            </w:r>
            <w:r w:rsidR="0049305C">
              <w:t xml:space="preserve">light </w:t>
            </w:r>
            <w:r w:rsidR="009C5368">
              <w:t xml:space="preserve">reversible </w:t>
            </w:r>
            <w:r w:rsidR="0049305C">
              <w:t xml:space="preserve">increase in calcium and phosphorus serum concentrations at </w:t>
            </w:r>
            <w:r>
              <w:t>3,000 and 10,000 ppm n-penta</w:t>
            </w:r>
            <w:r w:rsidR="00F42CF1">
              <w:t>ne (rats, 6 h/d, 5 d/</w:t>
            </w:r>
            <w:proofErr w:type="spellStart"/>
            <w:r w:rsidR="00F42CF1">
              <w:t>wk</w:t>
            </w:r>
            <w:proofErr w:type="spellEnd"/>
            <w:r w:rsidR="00F42CF1">
              <w:t xml:space="preserve">, 2 </w:t>
            </w:r>
            <w:proofErr w:type="spellStart"/>
            <w:r w:rsidR="00F42CF1">
              <w:t>wk</w:t>
            </w:r>
            <w:proofErr w:type="spellEnd"/>
            <w:r w:rsidR="00F42CF1">
              <w:t>), effect not observed in related sub</w:t>
            </w:r>
            <w:r w:rsidR="00B44F05">
              <w:noBreakHyphen/>
            </w:r>
            <w:r w:rsidR="00F42CF1">
              <w:t>chronic exposures studies</w:t>
            </w:r>
          </w:p>
          <w:p w14:paraId="10306075" w14:textId="2D052D3B" w:rsidR="00150358" w:rsidRDefault="00150358" w:rsidP="00150358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 w:rsidR="00A60F0B">
              <w:t>:</w:t>
            </w:r>
            <w:r>
              <w:t xml:space="preserve"> &gt;2,000 mg/kg (species unspecified</w:t>
            </w:r>
            <w:r w:rsidR="00A60F0B">
              <w:t>, oral</w:t>
            </w:r>
            <w:r>
              <w:t>)</w:t>
            </w:r>
          </w:p>
          <w:p w14:paraId="6EDB437B" w14:textId="5E14E956" w:rsidR="00150358" w:rsidRDefault="00150358" w:rsidP="00150358">
            <w:pPr>
              <w:pStyle w:val="Tabletextprimarysource"/>
              <w:numPr>
                <w:ilvl w:val="0"/>
                <w:numId w:val="1"/>
              </w:numPr>
            </w:pPr>
            <w:r w:rsidRPr="00A60F0B">
              <w:rPr>
                <w:i/>
              </w:rPr>
              <w:t>n</w:t>
            </w:r>
            <w:r>
              <w:t>-Pentane non-irritating to skin (rabbits) and non-sensitising in maximisation test (guinea pigs, no further details provided)</w:t>
            </w:r>
          </w:p>
          <w:p w14:paraId="388FC5A7" w14:textId="3107F11E" w:rsidR="00150358" w:rsidRDefault="00150358" w:rsidP="00150358">
            <w:pPr>
              <w:pStyle w:val="Tabletextprimarysource"/>
              <w:numPr>
                <w:ilvl w:val="0"/>
                <w:numId w:val="1"/>
              </w:numPr>
            </w:pPr>
            <w:r>
              <w:t>Several sub</w:t>
            </w:r>
            <w:r w:rsidR="00B44F05">
              <w:noBreakHyphen/>
            </w:r>
            <w:r>
              <w:t>chronic inhalation studies report NOAELs in the range of 3,000–6,800 ppm</w:t>
            </w:r>
            <w:r w:rsidR="008111DD">
              <w:t xml:space="preserve"> for haematological, ophthalmic, histopathologic and neurological changes (rats, 6–12 h/d, </w:t>
            </w:r>
            <w:r w:rsidR="00A23D7C">
              <w:br/>
            </w:r>
            <w:r w:rsidR="008111DD">
              <w:t>5–7 d/</w:t>
            </w:r>
            <w:proofErr w:type="spellStart"/>
            <w:r w:rsidR="008111DD">
              <w:t>wk</w:t>
            </w:r>
            <w:proofErr w:type="spellEnd"/>
            <w:r w:rsidR="008111DD">
              <w:t xml:space="preserve">, </w:t>
            </w:r>
            <w:r w:rsidR="00A53C7D">
              <w:t>13</w:t>
            </w:r>
            <w:r w:rsidR="008111DD">
              <w:t xml:space="preserve">–30 </w:t>
            </w:r>
            <w:proofErr w:type="spellStart"/>
            <w:r w:rsidR="008111DD">
              <w:t>wk</w:t>
            </w:r>
            <w:proofErr w:type="spellEnd"/>
            <w:r w:rsidR="008111DD">
              <w:t>); NOAEL are generally at the highest tested doses</w:t>
            </w:r>
            <w:r w:rsidR="00A23D7C">
              <w:t>:</w:t>
            </w:r>
          </w:p>
          <w:p w14:paraId="3D82857C" w14:textId="3FFF1F0C" w:rsidR="008111DD" w:rsidRDefault="00A23D7C" w:rsidP="00DB3525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m</w:t>
            </w:r>
            <w:r w:rsidR="008111DD">
              <w:t xml:space="preserve">ixed exposure to </w:t>
            </w:r>
            <w:r w:rsidR="008111DD" w:rsidRPr="00A60F0B">
              <w:rPr>
                <w:i/>
              </w:rPr>
              <w:t>n</w:t>
            </w:r>
            <w:r w:rsidR="008111DD">
              <w:t xml:space="preserve">-butane and </w:t>
            </w:r>
            <w:r w:rsidR="008111DD" w:rsidRPr="00A60F0B">
              <w:rPr>
                <w:i/>
              </w:rPr>
              <w:t>n</w:t>
            </w:r>
            <w:r w:rsidR="008111DD">
              <w:t xml:space="preserve">-pentane (1:1) at 1,000 or 4,500 ppm caused transient lethargy, eye encrustation, </w:t>
            </w:r>
            <w:r w:rsidR="00D14ED1">
              <w:t xml:space="preserve">tremors and reversible </w:t>
            </w:r>
            <w:r w:rsidR="008F1B9D">
              <w:t xml:space="preserve">body weight </w:t>
            </w:r>
            <w:r w:rsidR="00D14ED1">
              <w:t>reduction, but no nephrotoxicity</w:t>
            </w:r>
            <w:r w:rsidR="009C5368">
              <w:t xml:space="preserve"> (90 d)</w:t>
            </w:r>
          </w:p>
          <w:p w14:paraId="08FB2913" w14:textId="6BD3BF9B" w:rsidR="00D14ED1" w:rsidRDefault="00D14ED1" w:rsidP="00D14ED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effects on development or maternal toxicity between 1,000–10,000 ppm n-pentane (rats, 6 h/d, </w:t>
            </w:r>
            <w:r w:rsidR="00FB7115">
              <w:t>GD</w:t>
            </w:r>
            <w:r>
              <w:t xml:space="preserve"> 6–15)</w:t>
            </w:r>
          </w:p>
          <w:p w14:paraId="031E9EDA" w14:textId="08EAFE79" w:rsidR="00D14ED1" w:rsidRPr="00676B71" w:rsidRDefault="00D14ED1" w:rsidP="00D14ED1">
            <w:pPr>
              <w:pStyle w:val="Tabletextprimarysource"/>
              <w:numPr>
                <w:ilvl w:val="0"/>
                <w:numId w:val="1"/>
              </w:numPr>
            </w:pPr>
            <w:r w:rsidRPr="00676B71">
              <w:t xml:space="preserve">Non-mutagenic </w:t>
            </w:r>
            <w:r w:rsidRPr="00676B71">
              <w:rPr>
                <w:i/>
              </w:rPr>
              <w:t xml:space="preserve">in vitro </w:t>
            </w:r>
            <w:r w:rsidRPr="00676B71">
              <w:t xml:space="preserve">or </w:t>
            </w:r>
            <w:r w:rsidRPr="00676B71">
              <w:rPr>
                <w:i/>
              </w:rPr>
              <w:t>in vivo</w:t>
            </w:r>
          </w:p>
          <w:p w14:paraId="3A310D59" w14:textId="78DED0FA" w:rsidR="00D14ED1" w:rsidRDefault="00D14ED1" w:rsidP="00D14ED1">
            <w:pPr>
              <w:pStyle w:val="Tabletextprimarysource"/>
              <w:numPr>
                <w:ilvl w:val="0"/>
                <w:numId w:val="1"/>
              </w:numPr>
            </w:pPr>
            <w:r>
              <w:t>All isomers are metabolically oxidised to corresponding pentyl alcohols and ketones, none are considered neurotoxic</w:t>
            </w:r>
            <w:r w:rsidR="003852D0">
              <w:t xml:space="preserve"> by the agency</w:t>
            </w:r>
            <w:r w:rsidR="00F1793F">
              <w:t>:</w:t>
            </w:r>
          </w:p>
          <w:p w14:paraId="1975A74A" w14:textId="33DEBC38" w:rsidR="003852D0" w:rsidRDefault="00A60F0B" w:rsidP="00DB3525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lastRenderedPageBreak/>
              <w:t>e</w:t>
            </w:r>
            <w:r w:rsidR="003852D0">
              <w:t>limination half-life</w:t>
            </w:r>
            <w:r w:rsidR="00E96619">
              <w:t>: 0.13 h; below 100 ppm (modelled metabolic saturation)</w:t>
            </w:r>
            <w:r>
              <w:t>.</w:t>
            </w:r>
          </w:p>
          <w:p w14:paraId="2B3EC806" w14:textId="77777777" w:rsidR="00E74243" w:rsidRDefault="00E74243" w:rsidP="003365A5">
            <w:pPr>
              <w:pStyle w:val="Tabletextprimarysource"/>
            </w:pPr>
          </w:p>
          <w:p w14:paraId="2C60B281" w14:textId="356A88C2" w:rsidR="006B6503" w:rsidRDefault="006B6503" w:rsidP="003365A5">
            <w:pPr>
              <w:pStyle w:val="Tabletextprimarysource"/>
            </w:pPr>
            <w:r>
              <w:t>Insufficient data to recommend a TLV-STEL or notations for carcinogenicity, skin absorption or sensitisation.</w:t>
            </w:r>
          </w:p>
          <w:p w14:paraId="7AE99516" w14:textId="58C22DB7" w:rsidR="00E74243" w:rsidRPr="00DA352E" w:rsidRDefault="00E74243" w:rsidP="003365A5">
            <w:pPr>
              <w:pStyle w:val="Tabletextprimarysource"/>
            </w:pPr>
          </w:p>
        </w:tc>
      </w:tr>
      <w:tr w:rsidR="00C978F0" w:rsidRPr="00DA352E" w14:paraId="7E0E3D01" w14:textId="77777777" w:rsidTr="00DB352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8D77E1E" w14:textId="1FDD30A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r w:rsidR="00A740B1">
              <w:t>2007</w:t>
            </w:r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02B03">
                  <w:t>MAK: 1</w:t>
                </w:r>
                <w:r w:rsidR="003852D0">
                  <w:t>,</w:t>
                </w:r>
                <w:r w:rsidR="00502B03">
                  <w:t>000 ppm (3</w:t>
                </w:r>
                <w:r w:rsidR="003852D0">
                  <w:t>,</w:t>
                </w:r>
                <w:r w:rsidR="00502B03">
                  <w:t>000 mg/m</w:t>
                </w:r>
                <w:r w:rsidR="00502B03" w:rsidRPr="00502B03">
                  <w:rPr>
                    <w:vertAlign w:val="superscript"/>
                  </w:rPr>
                  <w:t>3</w:t>
                </w:r>
                <w:r w:rsidR="00502B03">
                  <w:t>)</w:t>
                </w:r>
              </w:sdtContent>
            </w:sdt>
          </w:p>
        </w:tc>
      </w:tr>
      <w:tr w:rsidR="00C978F0" w:rsidRPr="00DA352E" w14:paraId="62C1340A" w14:textId="77777777" w:rsidTr="00DB3525">
        <w:trPr>
          <w:gridAfter w:val="1"/>
          <w:wAfter w:w="8" w:type="pct"/>
        </w:trPr>
        <w:tc>
          <w:tcPr>
            <w:tcW w:w="4992" w:type="pct"/>
          </w:tcPr>
          <w:p w14:paraId="4752FD36" w14:textId="5A535EA5" w:rsidR="00A53C7D" w:rsidRDefault="00A53C7D" w:rsidP="003365A5">
            <w:pPr>
              <w:pStyle w:val="Tabletextprimarysource"/>
            </w:pPr>
            <w:r>
              <w:t>Summary of additional information:</w:t>
            </w:r>
          </w:p>
          <w:p w14:paraId="09A3791A" w14:textId="5F50C109" w:rsidR="00B10A50" w:rsidRDefault="00A53C7D" w:rsidP="003365A5">
            <w:pPr>
              <w:pStyle w:val="Tabletextprimarysource"/>
            </w:pPr>
            <w:r>
              <w:t xml:space="preserve">Assessment grouped with 3 other pentane isomers based primarily on toxicological data for </w:t>
            </w:r>
            <w:r w:rsidRPr="00A60F0B">
              <w:rPr>
                <w:i/>
              </w:rPr>
              <w:t>n</w:t>
            </w:r>
            <w:r>
              <w:t>-</w:t>
            </w:r>
            <w:r w:rsidR="00A60F0B">
              <w:t> </w:t>
            </w:r>
            <w:r>
              <w:t xml:space="preserve">pentane and evidence that other branched pentane isomers are less toxic. </w:t>
            </w:r>
            <w:r w:rsidR="00222E73">
              <w:t>Critical effects are irritation and narcosis at higher concentrations.</w:t>
            </w:r>
            <w:r>
              <w:t xml:space="preserve"> No studies available that determine a threshold for these effects in humans. Based on weight of toxicological evidence of other alkanes and NOAEL of 6,660</w:t>
            </w:r>
            <w:r w:rsidR="00826989">
              <w:t xml:space="preserve"> </w:t>
            </w:r>
            <w:r>
              <w:t>ppm from 13-wk inhalation study with rats (also cited in ACGIH, 201</w:t>
            </w:r>
            <w:r w:rsidR="00A23D7C">
              <w:t>4</w:t>
            </w:r>
            <w:r>
              <w:t>)</w:t>
            </w:r>
            <w:r w:rsidR="00A60F0B">
              <w:t xml:space="preserve">; </w:t>
            </w:r>
            <w:r w:rsidR="00222E73">
              <w:t xml:space="preserve">MAK considered sufficiently low to protect for </w:t>
            </w:r>
            <w:r>
              <w:t>the critical effects.</w:t>
            </w:r>
            <w:r w:rsidR="00B10A50">
              <w:t xml:space="preserve"> </w:t>
            </w:r>
          </w:p>
          <w:p w14:paraId="6FBD4D7B" w14:textId="379106E8" w:rsidR="00B10A50" w:rsidRDefault="00B10A50" w:rsidP="003365A5">
            <w:pPr>
              <w:pStyle w:val="Tabletextprimarysource"/>
            </w:pPr>
            <w:r>
              <w:t xml:space="preserve">Skin notation not assigned due to low modelled dermal penetration rate relative to inhalational exposure at the MAK. </w:t>
            </w:r>
          </w:p>
          <w:p w14:paraId="40731990" w14:textId="432EA6AF" w:rsidR="00C978F0" w:rsidRDefault="00B10A50" w:rsidP="003365A5">
            <w:pPr>
              <w:pStyle w:val="Tabletextprimarysource"/>
            </w:pPr>
            <w:r>
              <w:t>Sensitiser notation not assigned due to negative results in maximisation test with guinea pigs.</w:t>
            </w:r>
          </w:p>
          <w:p w14:paraId="6C12DFCF" w14:textId="77777777" w:rsidR="00B10A50" w:rsidRDefault="00B10A50" w:rsidP="003365A5">
            <w:pPr>
              <w:pStyle w:val="Tabletextprimarysource"/>
            </w:pPr>
            <w:r>
              <w:t>Human data:</w:t>
            </w:r>
          </w:p>
          <w:p w14:paraId="65722CDB" w14:textId="380A56C7" w:rsidR="00B10A50" w:rsidRDefault="00B10A50" w:rsidP="00B10A50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Non-irritating to skin in volunteer study with high purity </w:t>
            </w:r>
            <w:r w:rsidRPr="00A60F0B">
              <w:rPr>
                <w:i/>
              </w:rPr>
              <w:t>n</w:t>
            </w:r>
            <w:r>
              <w:t>-pentane (</w:t>
            </w:r>
            <w:r w:rsidR="00E52C94">
              <w:t xml:space="preserve">n=15, </w:t>
            </w:r>
            <w:r>
              <w:t>occlusive patch, 24 h); contradicts results of second dermal application study that used unspecified isomeric mixture of unknown purity (also cited in ACGIH, 201</w:t>
            </w:r>
            <w:r w:rsidR="00A23D7C">
              <w:t>4</w:t>
            </w:r>
            <w:r>
              <w:t>)</w:t>
            </w:r>
          </w:p>
          <w:p w14:paraId="0974FB91" w14:textId="1DBE1457" w:rsidR="00A90857" w:rsidRDefault="00A90857" w:rsidP="00B10A50">
            <w:pPr>
              <w:pStyle w:val="Tabletextprimarysource"/>
              <w:numPr>
                <w:ilvl w:val="0"/>
                <w:numId w:val="1"/>
              </w:numPr>
            </w:pPr>
            <w:r>
              <w:t>Modelled dermal absorption rates from 2 studies: 0.337 and 0.007 mg/cm</w:t>
            </w:r>
            <w:r>
              <w:rPr>
                <w:vertAlign w:val="superscript"/>
              </w:rPr>
              <w:t>2</w:t>
            </w:r>
            <w:r w:rsidR="00025ECA">
              <w:t>/h</w:t>
            </w:r>
            <w:r w:rsidR="00E64441">
              <w:t>.</w:t>
            </w:r>
          </w:p>
          <w:p w14:paraId="19DB9D8F" w14:textId="77777777" w:rsidR="00B10A50" w:rsidRDefault="00B10A50" w:rsidP="00B10A50">
            <w:pPr>
              <w:pStyle w:val="Tabletextprimarysource"/>
            </w:pPr>
            <w:r>
              <w:t>Animal data:</w:t>
            </w:r>
          </w:p>
          <w:p w14:paraId="1B67B4FA" w14:textId="4DBA0F2C" w:rsidR="00A90857" w:rsidRDefault="00A90857" w:rsidP="00B10A50">
            <w:pPr>
              <w:pStyle w:val="Tabletextprimarysource"/>
              <w:numPr>
                <w:ilvl w:val="0"/>
                <w:numId w:val="1"/>
              </w:numPr>
            </w:pPr>
            <w:r>
              <w:t>Mechanism of toxicity likely due to non-specific membrane binding as with other alkanes and alcohols based on analysis of LC</w:t>
            </w:r>
            <w:r>
              <w:rPr>
                <w:vertAlign w:val="subscript"/>
              </w:rPr>
              <w:t>50</w:t>
            </w:r>
            <w:r>
              <w:t xml:space="preserve"> values (unspecified species)</w:t>
            </w:r>
          </w:p>
          <w:p w14:paraId="75E4F6BA" w14:textId="322047F1" w:rsidR="00A90857" w:rsidRDefault="00A90857" w:rsidP="00B10A50">
            <w:pPr>
              <w:pStyle w:val="Tabletextprimarysource"/>
              <w:numPr>
                <w:ilvl w:val="0"/>
                <w:numId w:val="1"/>
              </w:numPr>
            </w:pPr>
            <w:r>
              <w:t>Absorption in lungs following 50–70 min exposure: 19% (</w:t>
            </w:r>
            <w:r w:rsidRPr="00A60F0B">
              <w:rPr>
                <w:i/>
              </w:rPr>
              <w:t>n</w:t>
            </w:r>
            <w:r>
              <w:t xml:space="preserve">-pentane), 9% (isopentane), </w:t>
            </w:r>
            <w:r w:rsidR="00F1793F">
              <w:br/>
            </w:r>
            <w:r>
              <w:t>5% (neo-pentane), lower toxicity of branched isomers associated with their lower absorption rates (rats)</w:t>
            </w:r>
          </w:p>
          <w:p w14:paraId="1426CD04" w14:textId="2D25E59B" w:rsidR="009C5368" w:rsidRDefault="009C5368" w:rsidP="00B10A50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Skin penetration rate </w:t>
            </w:r>
            <w:r>
              <w:rPr>
                <w:i/>
              </w:rPr>
              <w:t>in vitro</w:t>
            </w:r>
            <w:r>
              <w:t>: 73.4 ng/cm</w:t>
            </w:r>
            <w:r>
              <w:rPr>
                <w:vertAlign w:val="superscript"/>
              </w:rPr>
              <w:t>2</w:t>
            </w:r>
            <w:r>
              <w:t>/min (rats)</w:t>
            </w:r>
          </w:p>
          <w:p w14:paraId="21E63A0F" w14:textId="6A9D6BE8" w:rsidR="009C5368" w:rsidRDefault="009C5368" w:rsidP="00B10A50">
            <w:pPr>
              <w:pStyle w:val="Tabletextprimarysource"/>
              <w:numPr>
                <w:ilvl w:val="0"/>
                <w:numId w:val="1"/>
              </w:numPr>
            </w:pPr>
            <w:r>
              <w:t>No significant effects to kidneys up to 4,500 ppm in 90-d inhalation study with isobutane and isopentane 1:1 mixture; slight signs of nephropathy in males at 28 d (rats, 90 d, also cited by ACGIH, unclear which isomers were used in study)</w:t>
            </w:r>
          </w:p>
          <w:p w14:paraId="34419180" w14:textId="7FAFE855" w:rsidR="009C5368" w:rsidRDefault="0073776E" w:rsidP="00B10A50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adverse effects in repeat gavage developmental study up to 1,000 mg/kg/d </w:t>
            </w:r>
            <w:r w:rsidRPr="00A60F0B">
              <w:rPr>
                <w:i/>
              </w:rPr>
              <w:t>n</w:t>
            </w:r>
            <w:r>
              <w:t xml:space="preserve">-pentane (rats, </w:t>
            </w:r>
            <w:r w:rsidR="00FB7115">
              <w:t>GD</w:t>
            </w:r>
            <w:r>
              <w:t xml:space="preserve"> 6–15)</w:t>
            </w:r>
          </w:p>
          <w:p w14:paraId="3570E717" w14:textId="608768A5" w:rsidR="00E52C94" w:rsidRDefault="00B10A50" w:rsidP="00E52C9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Negative mutagenicity results </w:t>
            </w:r>
            <w:r>
              <w:rPr>
                <w:i/>
              </w:rPr>
              <w:t>in vivo</w:t>
            </w:r>
            <w:r>
              <w:t xml:space="preserve"> in micronucleus assay </w:t>
            </w:r>
            <w:r w:rsidR="00A90857">
              <w:t xml:space="preserve">with n-pentane </w:t>
            </w:r>
            <w:r>
              <w:t>(rats)</w:t>
            </w:r>
            <w:r w:rsidR="00A90857">
              <w:t xml:space="preserve">; negative </w:t>
            </w:r>
            <w:r w:rsidR="00A90857">
              <w:rPr>
                <w:i/>
              </w:rPr>
              <w:t xml:space="preserve">in vitro </w:t>
            </w:r>
            <w:r w:rsidR="00A90857">
              <w:t xml:space="preserve">results for branched isomers in </w:t>
            </w:r>
            <w:r w:rsidR="00A60F0B">
              <w:rPr>
                <w:i/>
              </w:rPr>
              <w:t>S.</w:t>
            </w:r>
            <w:r w:rsidR="00A90857">
              <w:rPr>
                <w:i/>
              </w:rPr>
              <w:t xml:space="preserve"> typhimurium</w:t>
            </w:r>
            <w:r w:rsidR="00A90857">
              <w:t>; equivocal results for chromosomal aberrations with n-pentane in Chinese hamster ovarian cells</w:t>
            </w:r>
            <w:r w:rsidR="00A60F0B">
              <w:t>.</w:t>
            </w:r>
          </w:p>
          <w:p w14:paraId="4A17136D" w14:textId="77777777" w:rsidR="00E74243" w:rsidRDefault="00E74243" w:rsidP="00E52C94">
            <w:pPr>
              <w:pStyle w:val="Tabletextprimarysource"/>
            </w:pPr>
          </w:p>
          <w:p w14:paraId="302FF5F2" w14:textId="77777777" w:rsidR="00B10A50" w:rsidRDefault="00E52C94" w:rsidP="00E52C94">
            <w:pPr>
              <w:pStyle w:val="Tabletextprimarysource"/>
            </w:pPr>
            <w:r>
              <w:t>Insufficient data to recommend notations for carcinogenicity.</w:t>
            </w:r>
          </w:p>
          <w:p w14:paraId="0347562A" w14:textId="1BF8BB23" w:rsidR="00E74243" w:rsidRPr="00DA352E" w:rsidRDefault="00E74243" w:rsidP="00E52C94">
            <w:pPr>
              <w:pStyle w:val="Tabletextprimarysource"/>
            </w:pPr>
          </w:p>
        </w:tc>
      </w:tr>
      <w:tr w:rsidR="00C978F0" w:rsidRPr="00DA352E" w14:paraId="0DC0242C" w14:textId="77777777" w:rsidTr="00DB352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8F658F9" w14:textId="1833E35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02B03">
                  <w:t>1997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502B03" w:rsidRPr="00502B03">
                  <w:t>TWA</w:t>
                </w:r>
                <w:r w:rsidR="00502B03">
                  <w:t>: 1</w:t>
                </w:r>
                <w:r w:rsidR="003852D0">
                  <w:t>,</w:t>
                </w:r>
                <w:r w:rsidR="00502B03">
                  <w:t>000 ppm (3</w:t>
                </w:r>
                <w:r w:rsidR="003852D0">
                  <w:t>,</w:t>
                </w:r>
                <w:r w:rsidR="00502B03">
                  <w:t>000 mg/m</w:t>
                </w:r>
                <w:r w:rsidR="00502B03" w:rsidRPr="00502B03">
                  <w:rPr>
                    <w:vertAlign w:val="superscript"/>
                  </w:rPr>
                  <w:t>3</w:t>
                </w:r>
                <w:r w:rsidR="00502B03">
                  <w:t>)</w:t>
                </w:r>
              </w:sdtContent>
            </w:sdt>
          </w:p>
        </w:tc>
      </w:tr>
      <w:tr w:rsidR="00C978F0" w:rsidRPr="00DA352E" w14:paraId="5295EDD0" w14:textId="77777777" w:rsidTr="00DB3525">
        <w:trPr>
          <w:gridAfter w:val="1"/>
          <w:wAfter w:w="8" w:type="pct"/>
        </w:trPr>
        <w:tc>
          <w:tcPr>
            <w:tcW w:w="4992" w:type="pct"/>
          </w:tcPr>
          <w:p w14:paraId="1018ED6F" w14:textId="77777777" w:rsidR="00C978F0" w:rsidRDefault="0073776E" w:rsidP="003365A5">
            <w:pPr>
              <w:pStyle w:val="Tabletextprimarysource"/>
            </w:pPr>
            <w:r>
              <w:t>Summary of additional information:</w:t>
            </w:r>
          </w:p>
          <w:p w14:paraId="0A33FDEE" w14:textId="3E314730" w:rsidR="0073776E" w:rsidRDefault="00C90402" w:rsidP="003365A5">
            <w:pPr>
              <w:pStyle w:val="Tabletextprimarysource"/>
            </w:pPr>
            <w:r>
              <w:t>Grouped assessment</w:t>
            </w:r>
            <w:r w:rsidR="00E3191E">
              <w:t xml:space="preserve">. </w:t>
            </w:r>
            <w:r w:rsidR="000A2239">
              <w:t xml:space="preserve">Critical effects are irritation and narcosis at very high concentrations. </w:t>
            </w:r>
            <w:r w:rsidR="00E3191E">
              <w:t>Based on weak toxicological database, evidence suggests pentane isomers have low toxicity in humans and animals. Recommended TWA based on sub</w:t>
            </w:r>
            <w:r w:rsidR="000D2DA1">
              <w:t>-</w:t>
            </w:r>
            <w:r w:rsidR="00E3191E">
              <w:t>chronic inhalation studies that reported NOAEL of 3,000 ppm for pentane and 4,437 ppm for mixed exposures with ot</w:t>
            </w:r>
            <w:r w:rsidR="00A60F0B">
              <w:t>her alkanes, which suggest a</w:t>
            </w:r>
            <w:r w:rsidR="00E3191E">
              <w:t xml:space="preserve"> TWA of 1,000 ppm is sufficiently protective given the uncertainties in the available dataset.</w:t>
            </w:r>
          </w:p>
          <w:p w14:paraId="54BD2FFA" w14:textId="3AE5C007" w:rsidR="006143D2" w:rsidRDefault="006143D2" w:rsidP="003365A5">
            <w:pPr>
              <w:pStyle w:val="Tabletextprimarysource"/>
            </w:pPr>
            <w:r>
              <w:t>All isomers have lower explosive limits in the range of 1.32–1.42% in air.</w:t>
            </w:r>
          </w:p>
          <w:p w14:paraId="7C7AB1C5" w14:textId="2DFC54DE" w:rsidR="00E3191E" w:rsidRDefault="000A2239" w:rsidP="003365A5">
            <w:pPr>
              <w:pStyle w:val="Tabletextprimarysource"/>
            </w:pPr>
            <w:r>
              <w:lastRenderedPageBreak/>
              <w:t>Animal data:</w:t>
            </w:r>
          </w:p>
          <w:p w14:paraId="44508351" w14:textId="77FB0999" w:rsidR="000A2239" w:rsidRDefault="000A2239" w:rsidP="000A2239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adverse effects up to 4,437 ppm of 1:1:1:1 mixture of </w:t>
            </w:r>
            <w:r w:rsidRPr="00A60F0B">
              <w:rPr>
                <w:i/>
              </w:rPr>
              <w:t>n</w:t>
            </w:r>
            <w:r>
              <w:t xml:space="preserve">-butane, </w:t>
            </w:r>
            <w:r w:rsidRPr="00A60F0B">
              <w:rPr>
                <w:i/>
              </w:rPr>
              <w:t>n</w:t>
            </w:r>
            <w:r>
              <w:t>-pentane, isobutane and isopentane in sub-chronic inhalation study with rats (also cited in ACGIH, 2018 and DFG, 2004)</w:t>
            </w:r>
          </w:p>
          <w:p w14:paraId="6A1A6CC7" w14:textId="60B0A2DF" w:rsidR="000A2239" w:rsidRDefault="000A2239" w:rsidP="000A2239">
            <w:pPr>
              <w:pStyle w:val="Tabletextprimarysource"/>
              <w:numPr>
                <w:ilvl w:val="0"/>
                <w:numId w:val="1"/>
              </w:numPr>
            </w:pPr>
            <w:r>
              <w:t>No mutagenicity data presented</w:t>
            </w:r>
            <w:r w:rsidR="00A60F0B">
              <w:t>.</w:t>
            </w:r>
          </w:p>
          <w:p w14:paraId="2314DFA3" w14:textId="77777777" w:rsidR="00E74243" w:rsidRDefault="00E74243" w:rsidP="003365A5">
            <w:pPr>
              <w:pStyle w:val="Tabletextprimarysource"/>
            </w:pPr>
          </w:p>
          <w:p w14:paraId="3DC6521B" w14:textId="77777777" w:rsidR="00E3191E" w:rsidRDefault="00E3191E" w:rsidP="003365A5">
            <w:pPr>
              <w:pStyle w:val="Tabletextprimarysource"/>
            </w:pPr>
            <w:r>
              <w:t>Insufficient data to recommend a STEL.</w:t>
            </w:r>
          </w:p>
          <w:p w14:paraId="1F386C0D" w14:textId="6577BE24" w:rsidR="00E74243" w:rsidRPr="00DA352E" w:rsidRDefault="00E74243" w:rsidP="003365A5">
            <w:pPr>
              <w:pStyle w:val="Tabletextprimarysource"/>
            </w:pPr>
          </w:p>
        </w:tc>
      </w:tr>
      <w:tr w:rsidR="00DA352E" w:rsidRPr="00DA352E" w14:paraId="5D31EAF8" w14:textId="77777777" w:rsidTr="00DB352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CD11C27" w14:textId="06F8AC1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02B0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502B03">
                  <w:t>NA</w:t>
                </w:r>
                <w:proofErr w:type="spellEnd"/>
              </w:sdtContent>
            </w:sdt>
          </w:p>
        </w:tc>
      </w:tr>
      <w:tr w:rsidR="00DA352E" w:rsidRPr="00DA352E" w14:paraId="05F6E588" w14:textId="77777777" w:rsidTr="00DB3525">
        <w:trPr>
          <w:gridAfter w:val="1"/>
          <w:wAfter w:w="8" w:type="pct"/>
        </w:trPr>
        <w:tc>
          <w:tcPr>
            <w:tcW w:w="4992" w:type="pct"/>
          </w:tcPr>
          <w:p w14:paraId="5F100E06" w14:textId="415C6B47" w:rsidR="00DA352E" w:rsidRPr="00DA352E" w:rsidRDefault="00502B03" w:rsidP="003365A5">
            <w:pPr>
              <w:pStyle w:val="Tabletextprimarysource"/>
            </w:pPr>
            <w:r>
              <w:t>No report</w:t>
            </w:r>
            <w:r w:rsidR="00A60F0B">
              <w:t>.</w:t>
            </w:r>
          </w:p>
        </w:tc>
      </w:tr>
      <w:tr w:rsidR="00DA352E" w:rsidRPr="00DA352E" w14:paraId="324EE72B" w14:textId="77777777" w:rsidTr="00DB352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BD054B7" w14:textId="1453852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02B0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502B03">
                  <w:t>NA</w:t>
                </w:r>
                <w:proofErr w:type="spellEnd"/>
              </w:sdtContent>
            </w:sdt>
          </w:p>
        </w:tc>
      </w:tr>
      <w:tr w:rsidR="00DA352E" w:rsidRPr="00DA352E" w14:paraId="66233129" w14:textId="77777777" w:rsidTr="00DB3525">
        <w:trPr>
          <w:gridAfter w:val="1"/>
          <w:wAfter w:w="8" w:type="pct"/>
        </w:trPr>
        <w:tc>
          <w:tcPr>
            <w:tcW w:w="4992" w:type="pct"/>
          </w:tcPr>
          <w:p w14:paraId="18072BAC" w14:textId="30569F07" w:rsidR="00DA352E" w:rsidRPr="00DA352E" w:rsidRDefault="00502B03" w:rsidP="003365A5">
            <w:pPr>
              <w:pStyle w:val="Tabletextprimarysource"/>
            </w:pPr>
            <w:r>
              <w:t>No report</w:t>
            </w:r>
            <w:r w:rsidR="00A60F0B">
              <w:t>.</w:t>
            </w:r>
          </w:p>
        </w:tc>
      </w:tr>
    </w:tbl>
    <w:p w14:paraId="6F21DD44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763DD84C" w14:textId="77777777" w:rsidTr="00A60F0B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01325EB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046819E7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8B665B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78692F0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5CEAB53" w14:textId="77777777" w:rsidTr="00A60F0B">
        <w:trPr>
          <w:cantSplit/>
        </w:trPr>
        <w:tc>
          <w:tcPr>
            <w:tcW w:w="1492" w:type="dxa"/>
          </w:tcPr>
          <w:p w14:paraId="0CEC2014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59974D92" w14:textId="25F3A621" w:rsidR="004966BF" w:rsidRPr="00CE617F" w:rsidRDefault="00862FC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D33E5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1C87BD9F" w14:textId="622EF65D" w:rsidR="004966BF" w:rsidRPr="004C23F4" w:rsidRDefault="00DD33E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51" w:type="dxa"/>
          </w:tcPr>
          <w:p w14:paraId="4334C407" w14:textId="04160915" w:rsidR="004966BF" w:rsidRDefault="006F5469" w:rsidP="00DB3525">
            <w:pPr>
              <w:pStyle w:val="Tablefont"/>
              <w:numPr>
                <w:ilvl w:val="0"/>
                <w:numId w:val="2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</w:t>
            </w:r>
            <w:r w:rsidR="00DD33E5">
              <w:rPr>
                <w:rStyle w:val="checkbox"/>
                <w:rFonts w:ascii="Arial" w:hAnsi="Arial" w:cs="Arial"/>
              </w:rPr>
              <w:t>ier I assessment</w:t>
            </w:r>
            <w:r>
              <w:rPr>
                <w:rStyle w:val="checkbox"/>
                <w:rFonts w:ascii="Arial" w:hAnsi="Arial" w:cs="Arial"/>
              </w:rPr>
              <w:t xml:space="preserve"> for n-pentane</w:t>
            </w:r>
            <w:r w:rsidR="00DD33E5">
              <w:rPr>
                <w:rStyle w:val="checkbox"/>
                <w:rFonts w:ascii="Arial" w:hAnsi="Arial" w:cs="Arial"/>
              </w:rPr>
              <w:t xml:space="preserve"> (no further details)</w:t>
            </w:r>
          </w:p>
          <w:p w14:paraId="1E823F9A" w14:textId="50FB7D78" w:rsidR="000A2239" w:rsidRPr="004C23F4" w:rsidRDefault="000A2239" w:rsidP="00DB3525">
            <w:pPr>
              <w:pStyle w:val="Tablefont"/>
              <w:numPr>
                <w:ilvl w:val="0"/>
                <w:numId w:val="2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entry for other isomers</w:t>
            </w:r>
            <w:r w:rsidR="00E74243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05B1315D" w14:textId="77777777" w:rsidTr="00A60F0B">
        <w:trPr>
          <w:cantSplit/>
        </w:trPr>
        <w:tc>
          <w:tcPr>
            <w:tcW w:w="1492" w:type="dxa"/>
          </w:tcPr>
          <w:p w14:paraId="1038E24B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2" w:type="dxa"/>
          </w:tcPr>
          <w:p w14:paraId="714E01F4" w14:textId="21052728" w:rsidR="004966BF" w:rsidRPr="00CE617F" w:rsidRDefault="00862FC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4151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8ADDC02" w14:textId="3C43395F" w:rsidR="004966BF" w:rsidRPr="004C23F4" w:rsidRDefault="00CE077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2008</w:t>
            </w:r>
          </w:p>
        </w:tc>
        <w:tc>
          <w:tcPr>
            <w:tcW w:w="6451" w:type="dxa"/>
          </w:tcPr>
          <w:p w14:paraId="622DCEF5" w14:textId="38E3A569" w:rsidR="00CE077F" w:rsidRDefault="00CE077F" w:rsidP="00DB3525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Grouped assessment of </w:t>
            </w:r>
            <w:r w:rsidRPr="00A60F0B">
              <w:rPr>
                <w:rStyle w:val="checkbox"/>
                <w:rFonts w:ascii="Arial" w:hAnsi="Arial" w:cs="Arial"/>
                <w:i/>
              </w:rPr>
              <w:t>n</w:t>
            </w:r>
            <w:r>
              <w:rPr>
                <w:rStyle w:val="checkbox"/>
                <w:rFonts w:ascii="Arial" w:hAnsi="Arial" w:cs="Arial"/>
              </w:rPr>
              <w:t>-pentane, isopentane and cyclopentane due to similar toxicokinetic profiles</w:t>
            </w:r>
          </w:p>
          <w:p w14:paraId="0D42CD9B" w14:textId="2983DE05" w:rsidR="004966BF" w:rsidRDefault="007E42D6" w:rsidP="00DB3525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Slight haematological changes reported at 1,793 ppm </w:t>
            </w:r>
            <w:r w:rsidR="00F42CF1">
              <w:rPr>
                <w:rStyle w:val="checkbox"/>
                <w:rFonts w:ascii="Arial" w:hAnsi="Arial" w:cs="Arial"/>
              </w:rPr>
              <w:t xml:space="preserve">cyclopentane </w:t>
            </w:r>
            <w:r>
              <w:rPr>
                <w:rStyle w:val="checkbox"/>
                <w:rFonts w:ascii="Arial" w:hAnsi="Arial" w:cs="Arial"/>
              </w:rPr>
              <w:t>in males only in sub</w:t>
            </w:r>
            <w:r w:rsidR="00B44F05">
              <w:rPr>
                <w:rStyle w:val="checkbox"/>
                <w:rFonts w:ascii="Arial" w:hAnsi="Arial" w:cs="Arial"/>
              </w:rPr>
              <w:t>-</w:t>
            </w:r>
            <w:r>
              <w:rPr>
                <w:rStyle w:val="checkbox"/>
                <w:rFonts w:ascii="Arial" w:hAnsi="Arial" w:cs="Arial"/>
              </w:rPr>
              <w:t>chron</w:t>
            </w:r>
            <w:r w:rsidR="00F42CF1">
              <w:rPr>
                <w:rStyle w:val="checkbox"/>
                <w:rFonts w:ascii="Arial" w:hAnsi="Arial" w:cs="Arial"/>
              </w:rPr>
              <w:t xml:space="preserve">ic inhalation study (rats, 2 </w:t>
            </w:r>
            <w:proofErr w:type="spellStart"/>
            <w:r w:rsidR="00F42CF1"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="00F42CF1">
              <w:rPr>
                <w:rStyle w:val="checkbox"/>
                <w:rFonts w:ascii="Arial" w:hAnsi="Arial" w:cs="Arial"/>
              </w:rPr>
              <w:t xml:space="preserve">); effect not observed in subsequent </w:t>
            </w:r>
            <w:r w:rsidR="00CE077F">
              <w:rPr>
                <w:rStyle w:val="checkbox"/>
                <w:rFonts w:ascii="Arial" w:hAnsi="Arial" w:cs="Arial"/>
              </w:rPr>
              <w:t>13-wk study and therefore dismissed for assessment.</w:t>
            </w:r>
          </w:p>
          <w:p w14:paraId="1F34A282" w14:textId="404FBE9B" w:rsidR="00CE077F" w:rsidRDefault="00A60F0B" w:rsidP="00DB3525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CNS</w:t>
            </w:r>
            <w:r w:rsidR="00CE077F">
              <w:rPr>
                <w:rStyle w:val="checkbox"/>
                <w:rFonts w:ascii="Arial" w:hAnsi="Arial" w:cs="Arial"/>
              </w:rPr>
              <w:t xml:space="preserve"> depression only occurs at levels near or above the lower explosive limit (14,000 ppm)</w:t>
            </w:r>
          </w:p>
          <w:p w14:paraId="2ACB3D53" w14:textId="531B6C49" w:rsidR="00CE077F" w:rsidRDefault="00CE077F" w:rsidP="00DB3525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>
              <w:rPr>
                <w:rFonts w:cs="Arial"/>
              </w:rPr>
              <w:t>2 industrial studies (n=203) of</w:t>
            </w:r>
            <w:r w:rsidRPr="00CE077F">
              <w:rPr>
                <w:rFonts w:cs="Arial"/>
              </w:rPr>
              <w:t xml:space="preserve"> pentane </w:t>
            </w:r>
            <w:r>
              <w:rPr>
                <w:rFonts w:cs="Arial"/>
              </w:rPr>
              <w:t xml:space="preserve">exposure during </w:t>
            </w:r>
            <w:r w:rsidRPr="00CE077F">
              <w:rPr>
                <w:rFonts w:cs="Arial"/>
              </w:rPr>
              <w:t>solvent</w:t>
            </w:r>
            <w:r>
              <w:rPr>
                <w:rFonts w:cs="Arial"/>
              </w:rPr>
              <w:t xml:space="preserve"> use reported</w:t>
            </w:r>
            <w:r w:rsidRPr="00CE077F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average exposure of 11 ppm</w:t>
            </w:r>
            <w:r w:rsidRPr="00CE077F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(range: </w:t>
            </w:r>
            <w:r w:rsidR="00E74243">
              <w:rPr>
                <w:rFonts w:cs="Arial"/>
              </w:rPr>
              <w:br/>
            </w:r>
            <w:r>
              <w:rPr>
                <w:rFonts w:cs="Arial"/>
              </w:rPr>
              <w:t>0–200 ppm)</w:t>
            </w:r>
          </w:p>
          <w:p w14:paraId="20DE27FF" w14:textId="1C416E5F" w:rsidR="00CE077F" w:rsidRPr="00CE077F" w:rsidRDefault="00CE077F" w:rsidP="00DB3525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LD</w:t>
            </w:r>
            <w:r>
              <w:rPr>
                <w:rFonts w:cs="Arial"/>
                <w:vertAlign w:val="subscript"/>
              </w:rPr>
              <w:t>50</w:t>
            </w:r>
            <w:r>
              <w:rPr>
                <w:rFonts w:cs="Arial"/>
              </w:rPr>
              <w:t>: 3,000 mg/kg (rabbits</w:t>
            </w:r>
            <w:r w:rsidR="00A60F0B">
              <w:rPr>
                <w:rFonts w:cs="Arial"/>
              </w:rPr>
              <w:t>, dermal</w:t>
            </w:r>
            <w:r>
              <w:rPr>
                <w:rFonts w:cs="Arial"/>
              </w:rPr>
              <w:t>)</w:t>
            </w:r>
            <w:r w:rsidR="00A60F0B">
              <w:rPr>
                <w:rFonts w:cs="Arial"/>
              </w:rPr>
              <w:t>.</w:t>
            </w:r>
          </w:p>
        </w:tc>
      </w:tr>
      <w:tr w:rsidR="004966BF" w:rsidRPr="004C23F4" w14:paraId="5FA9285C" w14:textId="77777777" w:rsidTr="00A60F0B">
        <w:trPr>
          <w:cantSplit/>
        </w:trPr>
        <w:tc>
          <w:tcPr>
            <w:tcW w:w="1492" w:type="dxa"/>
          </w:tcPr>
          <w:p w14:paraId="79BF7A73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41C97A6C" w14:textId="05DC99B4" w:rsidR="004966BF" w:rsidRDefault="00862FC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D33E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96A69C2" w14:textId="0B76DA93" w:rsidR="004966BF" w:rsidRPr="004C23F4" w:rsidRDefault="00DD33E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1" w:type="dxa"/>
          </w:tcPr>
          <w:p w14:paraId="3268203A" w14:textId="09671138" w:rsidR="004966BF" w:rsidRPr="004C23F4" w:rsidRDefault="00DD33E5" w:rsidP="00DB3525">
            <w:pPr>
              <w:pStyle w:val="Tablefont"/>
              <w:numPr>
                <w:ilvl w:val="0"/>
                <w:numId w:val="3"/>
              </w:numPr>
              <w:rPr>
                <w:rStyle w:val="checkbox"/>
                <w:rFonts w:ascii="Arial" w:hAnsi="Arial" w:cs="Arial"/>
              </w:rPr>
            </w:pPr>
            <w:r w:rsidRPr="00DD33E5">
              <w:rPr>
                <w:rFonts w:cs="Arial"/>
              </w:rPr>
              <w:t>IDLH based on 10% of the lower explosive limit</w:t>
            </w:r>
            <w:r>
              <w:rPr>
                <w:rFonts w:cs="Arial"/>
              </w:rPr>
              <w:t xml:space="preserve"> of </w:t>
            </w:r>
            <w:r w:rsidRPr="00A60F0B">
              <w:rPr>
                <w:rFonts w:cs="Arial"/>
                <w:i/>
              </w:rPr>
              <w:t>n</w:t>
            </w:r>
            <w:r>
              <w:rPr>
                <w:rFonts w:cs="Arial"/>
              </w:rPr>
              <w:t>-pentane</w:t>
            </w:r>
            <w:r w:rsidR="00A23D7C">
              <w:rPr>
                <w:rFonts w:cs="Arial"/>
              </w:rPr>
              <w:t>.</w:t>
            </w:r>
          </w:p>
        </w:tc>
      </w:tr>
    </w:tbl>
    <w:bookmarkEnd w:id="0"/>
    <w:p w14:paraId="41D2328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C8B51C8" w14:textId="77777777" w:rsidTr="009E3BE7">
        <w:trPr>
          <w:trHeight w:val="454"/>
          <w:tblHeader/>
        </w:trPr>
        <w:tc>
          <w:tcPr>
            <w:tcW w:w="6603" w:type="dxa"/>
            <w:vAlign w:val="center"/>
          </w:tcPr>
          <w:p w14:paraId="37E9735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1FA5B40" w14:textId="0287960C" w:rsidR="002E0D61" w:rsidRDefault="009E3BE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D60721E" w14:textId="77777777" w:rsidTr="009E3BE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4D9386F" w14:textId="54BE67EE" w:rsidR="008A36CF" w:rsidRPr="006901A2" w:rsidRDefault="009E3BE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C56EA1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E00D49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C148A5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0E808D6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0A7AF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99DD3F8" w14:textId="77777777" w:rsidTr="00812887">
        <w:trPr>
          <w:cantSplit/>
        </w:trPr>
        <w:tc>
          <w:tcPr>
            <w:tcW w:w="3227" w:type="dxa"/>
          </w:tcPr>
          <w:p w14:paraId="5B0CD55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6627136" w14:textId="1287BA7A" w:rsidR="00687890" w:rsidRPr="00DD2F9B" w:rsidRDefault="00DD33E5" w:rsidP="00DD2F9B">
            <w:pPr>
              <w:pStyle w:val="Tablefont"/>
            </w:pPr>
            <w:r w:rsidRPr="00DD33E5">
              <w:rPr>
                <w:i/>
              </w:rPr>
              <w:t>All</w:t>
            </w:r>
            <w:r>
              <w:t xml:space="preserve"> </w:t>
            </w:r>
            <w:r w:rsidRPr="00DD33E5">
              <w:rPr>
                <w:i/>
              </w:rPr>
              <w:t>isomers</w:t>
            </w:r>
            <w:r>
              <w:t xml:space="preserve">: </w:t>
            </w:r>
            <w:r w:rsidR="00502B03" w:rsidRPr="00502B03">
              <w:t>—</w:t>
            </w:r>
          </w:p>
        </w:tc>
      </w:tr>
      <w:tr w:rsidR="007925F0" w:rsidRPr="004C23F4" w14:paraId="6D77F8EA" w14:textId="77777777" w:rsidTr="00812887">
        <w:trPr>
          <w:cantSplit/>
        </w:trPr>
        <w:tc>
          <w:tcPr>
            <w:tcW w:w="3227" w:type="dxa"/>
          </w:tcPr>
          <w:p w14:paraId="16D9C98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C142FBB" w14:textId="7F31A749" w:rsidR="007925F0" w:rsidRPr="00DD2F9B" w:rsidRDefault="00DD33E5" w:rsidP="00DD2F9B">
            <w:pPr>
              <w:pStyle w:val="Tablefont"/>
            </w:pPr>
            <w:r w:rsidRPr="00DD33E5">
              <w:rPr>
                <w:i/>
              </w:rPr>
              <w:t>All</w:t>
            </w:r>
            <w:r>
              <w:t xml:space="preserve"> </w:t>
            </w:r>
            <w:r w:rsidRPr="00DD33E5">
              <w:rPr>
                <w:i/>
              </w:rPr>
              <w:t>isomers</w:t>
            </w:r>
            <w:r>
              <w:t>: —</w:t>
            </w:r>
          </w:p>
        </w:tc>
      </w:tr>
      <w:tr w:rsidR="00AF483F" w:rsidRPr="004C23F4" w14:paraId="1ED35A19" w14:textId="77777777" w:rsidTr="00812887">
        <w:trPr>
          <w:cantSplit/>
        </w:trPr>
        <w:tc>
          <w:tcPr>
            <w:tcW w:w="3227" w:type="dxa"/>
          </w:tcPr>
          <w:p w14:paraId="2E951D00" w14:textId="77777777" w:rsidR="00AF483F" w:rsidRPr="004C23F4" w:rsidRDefault="00AF483F" w:rsidP="00F4402E">
            <w:pPr>
              <w:pStyle w:val="Tablefont"/>
            </w:pPr>
            <w:r>
              <w:lastRenderedPageBreak/>
              <w:t>NICNAS</w:t>
            </w:r>
          </w:p>
        </w:tc>
        <w:tc>
          <w:tcPr>
            <w:tcW w:w="6015" w:type="dxa"/>
          </w:tcPr>
          <w:p w14:paraId="2986435F" w14:textId="109459D2" w:rsidR="00AF483F" w:rsidRPr="00DD2F9B" w:rsidRDefault="0081579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74E2A40" w14:textId="77777777" w:rsidTr="00812887">
        <w:trPr>
          <w:cantSplit/>
        </w:trPr>
        <w:tc>
          <w:tcPr>
            <w:tcW w:w="3227" w:type="dxa"/>
          </w:tcPr>
          <w:p w14:paraId="2D34289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5068CA3" w14:textId="2E5806D4" w:rsidR="00687890" w:rsidRPr="00DD2F9B" w:rsidRDefault="00DD33E5" w:rsidP="00DD2F9B">
            <w:pPr>
              <w:pStyle w:val="Tablefont"/>
            </w:pPr>
            <w:r w:rsidRPr="00DD33E5">
              <w:rPr>
                <w:i/>
              </w:rPr>
              <w:t>All</w:t>
            </w:r>
            <w:r>
              <w:t xml:space="preserve"> </w:t>
            </w:r>
            <w:r w:rsidRPr="00DD33E5">
              <w:rPr>
                <w:i/>
              </w:rPr>
              <w:t>isomers</w:t>
            </w:r>
            <w:r>
              <w:t>: —</w:t>
            </w:r>
          </w:p>
        </w:tc>
      </w:tr>
      <w:tr w:rsidR="00E41A26" w:rsidRPr="004C23F4" w14:paraId="6F3EEE69" w14:textId="77777777" w:rsidTr="00812887">
        <w:trPr>
          <w:cantSplit/>
        </w:trPr>
        <w:tc>
          <w:tcPr>
            <w:tcW w:w="3227" w:type="dxa"/>
          </w:tcPr>
          <w:p w14:paraId="7CB79557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9E91E5F" w14:textId="034BFCD3" w:rsidR="00E41A26" w:rsidRPr="00DD2F9B" w:rsidRDefault="0013590B" w:rsidP="00DD2F9B">
            <w:pPr>
              <w:pStyle w:val="Tablefont"/>
            </w:pPr>
            <w:r>
              <w:rPr>
                <w:i/>
              </w:rPr>
              <w:t>All isomers</w:t>
            </w:r>
            <w:r w:rsidR="00DD33E5">
              <w:rPr>
                <w:i/>
              </w:rPr>
              <w:t xml:space="preserve">: </w:t>
            </w:r>
            <w:r w:rsidR="007D1638" w:rsidRPr="00502B03">
              <w:t>—</w:t>
            </w:r>
          </w:p>
        </w:tc>
      </w:tr>
      <w:tr w:rsidR="002E0D61" w:rsidRPr="004C23F4" w14:paraId="084A33A6" w14:textId="77777777" w:rsidTr="00812887">
        <w:trPr>
          <w:cantSplit/>
        </w:trPr>
        <w:tc>
          <w:tcPr>
            <w:tcW w:w="3227" w:type="dxa"/>
          </w:tcPr>
          <w:p w14:paraId="5C4D326C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89431E1" w14:textId="41F74FE2" w:rsidR="002E0D61" w:rsidRPr="00DD2F9B" w:rsidRDefault="00DD33E5" w:rsidP="00DD2F9B">
            <w:pPr>
              <w:pStyle w:val="Tablefont"/>
            </w:pPr>
            <w:r w:rsidRPr="00DD33E5">
              <w:rPr>
                <w:i/>
              </w:rPr>
              <w:t>All</w:t>
            </w:r>
            <w:r>
              <w:t xml:space="preserve"> </w:t>
            </w:r>
            <w:r w:rsidRPr="00DD33E5">
              <w:rPr>
                <w:i/>
              </w:rPr>
              <w:t>isomers</w:t>
            </w:r>
            <w:r>
              <w:t xml:space="preserve">: </w:t>
            </w:r>
            <w:r w:rsidR="007D1638" w:rsidRPr="00502B03">
              <w:t>—</w:t>
            </w:r>
          </w:p>
        </w:tc>
      </w:tr>
      <w:tr w:rsidR="002E0D61" w:rsidRPr="004C23F4" w14:paraId="1BB1304F" w14:textId="77777777" w:rsidTr="00812887">
        <w:trPr>
          <w:cantSplit/>
        </w:trPr>
        <w:tc>
          <w:tcPr>
            <w:tcW w:w="3227" w:type="dxa"/>
          </w:tcPr>
          <w:p w14:paraId="21AC0F8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0DD0FBA" w14:textId="04F05A6A" w:rsidR="002E0D61" w:rsidRPr="00DD2F9B" w:rsidRDefault="00DD33E5" w:rsidP="00DD2F9B">
            <w:pPr>
              <w:pStyle w:val="Tablefont"/>
            </w:pPr>
            <w:r w:rsidRPr="00DD33E5">
              <w:rPr>
                <w:i/>
              </w:rPr>
              <w:t>All</w:t>
            </w:r>
            <w:r>
              <w:t xml:space="preserve"> </w:t>
            </w:r>
            <w:r w:rsidRPr="00DD33E5">
              <w:rPr>
                <w:i/>
              </w:rPr>
              <w:t>isomers</w:t>
            </w:r>
            <w:r>
              <w:t xml:space="preserve">: </w:t>
            </w:r>
            <w:r w:rsidR="007D1638" w:rsidRPr="00502B03">
              <w:t>—</w:t>
            </w:r>
          </w:p>
        </w:tc>
      </w:tr>
      <w:tr w:rsidR="002E0D61" w:rsidRPr="004C23F4" w14:paraId="7D606C44" w14:textId="77777777" w:rsidTr="00812887">
        <w:trPr>
          <w:cantSplit/>
        </w:trPr>
        <w:tc>
          <w:tcPr>
            <w:tcW w:w="3227" w:type="dxa"/>
          </w:tcPr>
          <w:p w14:paraId="77970317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75E72A0" w14:textId="79AE770B" w:rsidR="002E0D61" w:rsidRPr="00DD2F9B" w:rsidRDefault="00DD33E5" w:rsidP="00DD2F9B">
            <w:pPr>
              <w:pStyle w:val="Tablefont"/>
            </w:pPr>
            <w:r w:rsidRPr="00DD33E5">
              <w:rPr>
                <w:i/>
              </w:rPr>
              <w:t>All</w:t>
            </w:r>
            <w:r>
              <w:t xml:space="preserve"> </w:t>
            </w:r>
            <w:r w:rsidRPr="00DD33E5">
              <w:rPr>
                <w:i/>
              </w:rPr>
              <w:t>isomers</w:t>
            </w:r>
            <w:r>
              <w:t xml:space="preserve">: </w:t>
            </w:r>
            <w:r w:rsidR="007D1638" w:rsidRPr="00502B03">
              <w:t>—</w:t>
            </w:r>
          </w:p>
        </w:tc>
      </w:tr>
      <w:tr w:rsidR="002E0D61" w:rsidRPr="004C23F4" w14:paraId="048F5093" w14:textId="77777777" w:rsidTr="00812887">
        <w:trPr>
          <w:cantSplit/>
        </w:trPr>
        <w:tc>
          <w:tcPr>
            <w:tcW w:w="3227" w:type="dxa"/>
          </w:tcPr>
          <w:p w14:paraId="77266E8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86C0F30" w14:textId="198EB934" w:rsidR="002E0D61" w:rsidRPr="00DD2F9B" w:rsidRDefault="007D163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4500F4D" w14:textId="77777777" w:rsidTr="00812887">
        <w:trPr>
          <w:cantSplit/>
        </w:trPr>
        <w:tc>
          <w:tcPr>
            <w:tcW w:w="3227" w:type="dxa"/>
          </w:tcPr>
          <w:p w14:paraId="0912CA5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0E9CC51" w14:textId="09D0BF9B" w:rsidR="00386093" w:rsidRPr="00DD2F9B" w:rsidRDefault="007D163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BE12EF6" w14:textId="77777777" w:rsidTr="00812887">
        <w:trPr>
          <w:cantSplit/>
        </w:trPr>
        <w:tc>
          <w:tcPr>
            <w:tcW w:w="3227" w:type="dxa"/>
          </w:tcPr>
          <w:p w14:paraId="5E67C89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E8693CE" w14:textId="5D759794" w:rsidR="00386093" w:rsidRPr="00DD2F9B" w:rsidRDefault="007D163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8D3672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128866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329653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AB8EB5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3F5CFA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4006"/>
              <w:gridCol w:w="770"/>
              <w:gridCol w:w="789"/>
              <w:gridCol w:w="3245"/>
            </w:tblGrid>
            <w:tr w:rsidR="00DD33E5" w:rsidRPr="00DD33E5" w14:paraId="515C12F6" w14:textId="77777777" w:rsidTr="00DD33E5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7633BD" w14:textId="77777777" w:rsidR="00DD33E5" w:rsidRPr="00DD33E5" w:rsidRDefault="00DD33E5" w:rsidP="00DD33E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ABAFC1" w14:textId="77777777" w:rsidR="00DD33E5" w:rsidRPr="00DD33E5" w:rsidRDefault="00DD33E5" w:rsidP="00DD33E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824DA4" w14:textId="77777777" w:rsidR="00DD33E5" w:rsidRPr="00DD33E5" w:rsidRDefault="00DD33E5" w:rsidP="00DD3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E94DD7" w14:textId="77777777" w:rsidR="00DD33E5" w:rsidRPr="00DD33E5" w:rsidRDefault="00DD33E5" w:rsidP="00DD3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D33E5" w:rsidRPr="00DD33E5" w14:paraId="6CD5C608" w14:textId="77777777" w:rsidTr="00DD33E5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5049BF" w14:textId="77777777" w:rsidR="00DD33E5" w:rsidRPr="00DD33E5" w:rsidRDefault="00DD33E5" w:rsidP="00DD33E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2A112F" w14:textId="717E7157" w:rsidR="00DD33E5" w:rsidRPr="00DD33E5" w:rsidRDefault="00CE077F" w:rsidP="00DD33E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  <w:r w:rsidR="00DD33E5"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E20807" w14:textId="77777777" w:rsidR="00DD33E5" w:rsidRPr="00DD33E5" w:rsidRDefault="00DD33E5" w:rsidP="00DD3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5AA0C0" w14:textId="77777777" w:rsidR="00DD33E5" w:rsidRPr="00DD33E5" w:rsidRDefault="00DD33E5" w:rsidP="00DD3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D33E5" w:rsidRPr="00DD33E5" w14:paraId="79EDB1C0" w14:textId="77777777" w:rsidTr="00DD33E5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1B0A67" w14:textId="77777777" w:rsidR="00DD33E5" w:rsidRPr="00DD33E5" w:rsidRDefault="00DD33E5" w:rsidP="00DD33E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6B0808" w14:textId="77777777" w:rsidR="00DD33E5" w:rsidRPr="00DD33E5" w:rsidRDefault="00DD33E5" w:rsidP="00DD33E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1FE2FE" w14:textId="77777777" w:rsidR="00DD33E5" w:rsidRPr="00DD33E5" w:rsidRDefault="00DD33E5" w:rsidP="00DD3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53D3B6" w14:textId="77777777" w:rsidR="00DD33E5" w:rsidRPr="00DD33E5" w:rsidRDefault="00DD33E5" w:rsidP="00DD3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D33E5" w:rsidRPr="00DD33E5" w14:paraId="46652B3E" w14:textId="77777777" w:rsidTr="00DD33E5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C8FB47" w14:textId="77777777" w:rsidR="00DD33E5" w:rsidRPr="00DD33E5" w:rsidRDefault="00DD33E5" w:rsidP="00DD33E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5C9540" w14:textId="77777777" w:rsidR="00DD33E5" w:rsidRPr="00DD33E5" w:rsidRDefault="00DD33E5" w:rsidP="00DD33E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D6BCDF" w14:textId="77777777" w:rsidR="00DD33E5" w:rsidRPr="00DD33E5" w:rsidRDefault="00DD33E5" w:rsidP="00DD3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18A455" w14:textId="77777777" w:rsidR="00DD33E5" w:rsidRPr="00DD33E5" w:rsidRDefault="00DD33E5" w:rsidP="00DD3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D33E5" w:rsidRPr="00DD33E5" w14:paraId="103F75B2" w14:textId="77777777" w:rsidTr="00DD33E5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38C59D" w14:textId="77777777" w:rsidR="00DD33E5" w:rsidRPr="00DD33E5" w:rsidRDefault="00DD33E5" w:rsidP="00DD33E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01D494" w14:textId="77777777" w:rsidR="00DD33E5" w:rsidRPr="00DD33E5" w:rsidRDefault="00DD33E5" w:rsidP="00DD33E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45029D" w14:textId="77777777" w:rsidR="00DD33E5" w:rsidRPr="00DD33E5" w:rsidRDefault="00DD33E5" w:rsidP="00DD3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821A7F" w14:textId="77777777" w:rsidR="00DD33E5" w:rsidRPr="00DD33E5" w:rsidRDefault="00DD33E5" w:rsidP="00DD3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D33E5" w:rsidRPr="00DD33E5" w14:paraId="41F6BEB8" w14:textId="77777777" w:rsidTr="00DD33E5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92F55E" w14:textId="77777777" w:rsidR="00DD33E5" w:rsidRPr="00DD33E5" w:rsidRDefault="00DD33E5" w:rsidP="00DD33E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DC10D5" w14:textId="77777777" w:rsidR="00DD33E5" w:rsidRPr="00DD33E5" w:rsidRDefault="00DD33E5" w:rsidP="00DD33E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7E949E" w14:textId="77777777" w:rsidR="00DD33E5" w:rsidRPr="00DD33E5" w:rsidRDefault="00DD33E5" w:rsidP="00DD33E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-2.00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18580C" w14:textId="77777777" w:rsidR="00DD33E5" w:rsidRPr="00DD33E5" w:rsidRDefault="00DD33E5" w:rsidP="00DD3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D33E5" w:rsidRPr="00DD33E5" w14:paraId="488222FC" w14:textId="77777777" w:rsidTr="00DD33E5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FF6426" w14:textId="77777777" w:rsidR="00DD33E5" w:rsidRPr="00DD33E5" w:rsidRDefault="00DD33E5" w:rsidP="00DD33E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B1CE56" w14:textId="77777777" w:rsidR="00DD33E5" w:rsidRPr="00DD33E5" w:rsidRDefault="00DD33E5" w:rsidP="00DD33E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458C7D" w14:textId="77777777" w:rsidR="00DD33E5" w:rsidRPr="00DD33E5" w:rsidRDefault="00DD33E5" w:rsidP="00DD33E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-2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2B69AF" w14:textId="77777777" w:rsidR="00DD33E5" w:rsidRPr="00DD33E5" w:rsidRDefault="00DD33E5" w:rsidP="00DD33E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D33E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261CA515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82BF5E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33B04CE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985C6F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C2F7535" w14:textId="048116EF" w:rsidR="00EB3D1B" w:rsidRDefault="006922CF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0D83A4F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9C9575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E5C9085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020EA4D" w14:textId="7C27A488" w:rsidR="001B79E5" w:rsidRDefault="007D1638" w:rsidP="001B79E5">
                <w:pPr>
                  <w:pStyle w:val="Tablefont"/>
                </w:pPr>
                <w:r w:rsidRPr="007D1638">
                  <w:t>72.15</w:t>
                </w:r>
              </w:p>
            </w:tc>
          </w:sdtContent>
        </w:sdt>
      </w:tr>
      <w:tr w:rsidR="00A31D99" w:rsidRPr="004C23F4" w14:paraId="1C8E41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C28E73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83A3849" w14:textId="4A3C73A6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7D1638">
                  <w:t>2.95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7D1638">
                  <w:t>0.34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DA21BB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874BF4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1DB85A0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D26436F" w14:textId="77777777" w:rsidTr="00EA6243">
        <w:trPr>
          <w:cantSplit/>
        </w:trPr>
        <w:tc>
          <w:tcPr>
            <w:tcW w:w="4077" w:type="dxa"/>
            <w:vAlign w:val="center"/>
          </w:tcPr>
          <w:p w14:paraId="7F0F594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AE20D5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DF928F2" w14:textId="77777777" w:rsidTr="00EA6243">
        <w:trPr>
          <w:cantSplit/>
        </w:trPr>
        <w:tc>
          <w:tcPr>
            <w:tcW w:w="4077" w:type="dxa"/>
            <w:vAlign w:val="center"/>
          </w:tcPr>
          <w:p w14:paraId="5FF5ACB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EF02645" w14:textId="65468500" w:rsidR="00687890" w:rsidRPr="004C23F4" w:rsidRDefault="009E3BE7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56A337E2" w14:textId="77777777" w:rsidTr="00EA6243">
        <w:trPr>
          <w:cantSplit/>
        </w:trPr>
        <w:tc>
          <w:tcPr>
            <w:tcW w:w="4077" w:type="dxa"/>
            <w:vAlign w:val="center"/>
          </w:tcPr>
          <w:p w14:paraId="2AA4736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1EC05B2" w14:textId="77777777" w:rsidR="00E06F40" w:rsidRPr="00A006A0" w:rsidRDefault="00862FC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EA3B81D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DD19CC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9DB074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2B3FBD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0EEA8E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D79770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7D852D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ED31CA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3FF3857" w14:textId="62A0EBC4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281AD9F" w14:textId="49ABEF06" w:rsidR="007D1638" w:rsidRDefault="007D1638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(DFG) (</w:t>
      </w:r>
      <w:r w:rsidR="009E3BE7">
        <w:t>2007</w:t>
      </w:r>
      <w:r>
        <w:t xml:space="preserve">) </w:t>
      </w:r>
      <w:r w:rsidRPr="007D1638">
        <w:t>Pentane (all isomers)</w:t>
      </w:r>
      <w:r>
        <w:t xml:space="preserve"> – MAK value documentation.</w:t>
      </w:r>
    </w:p>
    <w:p w14:paraId="480DAE04" w14:textId="5346115D" w:rsidR="00DD33E5" w:rsidRDefault="00DD33E5" w:rsidP="00DD33E5">
      <w:r>
        <w:t xml:space="preserve">Deutsche </w:t>
      </w:r>
      <w:proofErr w:type="spellStart"/>
      <w:r>
        <w:t>Forschungsgemeinschaft</w:t>
      </w:r>
      <w:proofErr w:type="spellEnd"/>
      <w:r>
        <w:t xml:space="preserve"> (DFG) (</w:t>
      </w:r>
      <w:r w:rsidR="009E3BE7">
        <w:t>2004</w:t>
      </w:r>
      <w:r>
        <w:t xml:space="preserve">) </w:t>
      </w:r>
      <w:r w:rsidRPr="007D1638">
        <w:t>Pentane (all isomers)</w:t>
      </w:r>
      <w:r>
        <w:t xml:space="preserve"> – MAK value documentation.</w:t>
      </w:r>
    </w:p>
    <w:p w14:paraId="6071B5AC" w14:textId="661B550B" w:rsidR="007D1638" w:rsidRDefault="007D1638" w:rsidP="00084859">
      <w:r>
        <w:t>EU Scientific Committee on Occupational Exposure Limits (SCOEL) (</w:t>
      </w:r>
      <w:r w:rsidRPr="007D1638">
        <w:t>1997</w:t>
      </w:r>
      <w:r>
        <w:t xml:space="preserve">) Recommendation from the Scientific Committee on Occupational Exposure Limits for </w:t>
      </w:r>
      <w:r w:rsidRPr="007D1638">
        <w:t>pentane, isopentane and neopentane</w:t>
      </w:r>
      <w:r>
        <w:t>. SCOEL/</w:t>
      </w:r>
      <w:r w:rsidRPr="007D1638">
        <w:t>SUM/79</w:t>
      </w:r>
      <w:r>
        <w:t>.</w:t>
      </w:r>
    </w:p>
    <w:p w14:paraId="419A84BA" w14:textId="49AA2817" w:rsidR="00E64441" w:rsidRDefault="00E64441" w:rsidP="00084859">
      <w:r>
        <w:t>National Industrial Chemicals Notification and Assessment Scheme (NICNAS)</w:t>
      </w:r>
      <w:r w:rsidR="00F1793F">
        <w:t xml:space="preserve"> </w:t>
      </w:r>
      <w:r>
        <w:t xml:space="preserve">(2018) </w:t>
      </w:r>
      <w:r w:rsidR="00F1793F">
        <w:t>n-Pentane: Human health tier I assessment – IMAP report.</w:t>
      </w:r>
    </w:p>
    <w:p w14:paraId="3D0DAF3E" w14:textId="16A312F0" w:rsidR="00E64441" w:rsidRDefault="00E64441" w:rsidP="00CE077F">
      <w:r w:rsidRPr="00D86E03">
        <w:t>Organisation for Economic Cooperation and Development (OECD)</w:t>
      </w:r>
      <w:r>
        <w:t xml:space="preserve"> (2008) SIDS initial assessment profile – </w:t>
      </w:r>
      <w:r w:rsidRPr="00CE077F">
        <w:t>C5 Aliphatic Hydrocarbon Solvents Category</w:t>
      </w:r>
      <w:r>
        <w:t>.</w:t>
      </w:r>
    </w:p>
    <w:p w14:paraId="2B28E0F0" w14:textId="6BCD4645" w:rsidR="00CE077F" w:rsidRDefault="007D1638" w:rsidP="00CE077F">
      <w:r>
        <w:t>US National Institute for Occupational Safety and Health (NIOSH) (</w:t>
      </w:r>
      <w:r w:rsidRPr="007D1638">
        <w:t>1994</w:t>
      </w:r>
      <w:r>
        <w:t xml:space="preserve">) Immediately dangerous to life or health concentrations – </w:t>
      </w:r>
      <w:r w:rsidRPr="007D1638">
        <w:t>n-Pentane</w:t>
      </w:r>
      <w:r>
        <w:t>.</w:t>
      </w:r>
      <w:r w:rsidR="00CE077F" w:rsidRPr="00CE077F">
        <w:t xml:space="preserve"> </w:t>
      </w:r>
    </w:p>
    <w:p w14:paraId="735C6C76" w14:textId="198146DB" w:rsidR="007D1638" w:rsidRPr="00351FE0" w:rsidRDefault="007D1638" w:rsidP="00084859"/>
    <w:sectPr w:rsidR="007D1638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7B437" w14:textId="77777777" w:rsidR="00087B2E" w:rsidRDefault="00087B2E" w:rsidP="00F43AD5">
      <w:pPr>
        <w:spacing w:after="0" w:line="240" w:lineRule="auto"/>
      </w:pPr>
      <w:r>
        <w:separator/>
      </w:r>
    </w:p>
  </w:endnote>
  <w:endnote w:type="continuationSeparator" w:id="0">
    <w:p w14:paraId="7E59DDF2" w14:textId="77777777" w:rsidR="00087B2E" w:rsidRDefault="00087B2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B160D" w14:textId="77777777" w:rsidR="003C7065" w:rsidRDefault="003C70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31B8B7C" w14:textId="1FA25DB0" w:rsidR="00DD33E5" w:rsidRDefault="00DD33E5" w:rsidP="0034744C">
        <w:pPr>
          <w:pStyle w:val="Footer"/>
          <w:rPr>
            <w:sz w:val="18"/>
            <w:szCs w:val="18"/>
          </w:rPr>
        </w:pPr>
        <w:r w:rsidRPr="00502B03">
          <w:rPr>
            <w:b/>
            <w:sz w:val="18"/>
            <w:szCs w:val="18"/>
          </w:rPr>
          <w:t>Pentane</w:t>
        </w:r>
        <w:r>
          <w:rPr>
            <w:b/>
            <w:sz w:val="18"/>
            <w:szCs w:val="18"/>
          </w:rPr>
          <w:t xml:space="preserve"> (all isomers) (</w:t>
        </w:r>
        <w:r w:rsidRPr="00502B03">
          <w:rPr>
            <w:b/>
            <w:sz w:val="18"/>
            <w:szCs w:val="18"/>
          </w:rPr>
          <w:t>109-66-0</w:t>
        </w:r>
        <w:r>
          <w:rPr>
            <w:b/>
            <w:sz w:val="18"/>
            <w:szCs w:val="18"/>
          </w:rPr>
          <w:t>, 463-82-1, 78-78-4)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="00A60F0B">
          <w:rPr>
            <w:sz w:val="18"/>
            <w:szCs w:val="18"/>
          </w:rPr>
          <w:t xml:space="preserve"> 2020</w:t>
        </w:r>
      </w:p>
      <w:p w14:paraId="42C2EA37" w14:textId="374F9D37" w:rsidR="00DD33E5" w:rsidRPr="00F43AD5" w:rsidRDefault="00DD33E5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C7065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07FAC" w14:textId="77777777" w:rsidR="003C7065" w:rsidRDefault="003C70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E0ABF" w14:textId="77777777" w:rsidR="00087B2E" w:rsidRDefault="00087B2E" w:rsidP="00F43AD5">
      <w:pPr>
        <w:spacing w:after="0" w:line="240" w:lineRule="auto"/>
      </w:pPr>
      <w:r>
        <w:separator/>
      </w:r>
    </w:p>
  </w:footnote>
  <w:footnote w:type="continuationSeparator" w:id="0">
    <w:p w14:paraId="5DB6689D" w14:textId="77777777" w:rsidR="00087B2E" w:rsidRDefault="00087B2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DBC0F" w14:textId="77777777" w:rsidR="003C7065" w:rsidRDefault="003C70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B1552" w14:textId="43491941" w:rsidR="003C7065" w:rsidRDefault="003C7065" w:rsidP="003C706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5CADD5D" wp14:editId="6E0185A6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D123" w14:textId="77777777" w:rsidR="003C7065" w:rsidRDefault="003C7065" w:rsidP="003C7065">
    <w:pPr>
      <w:pStyle w:val="Header"/>
      <w:jc w:val="right"/>
    </w:pPr>
  </w:p>
  <w:p w14:paraId="7C02D8D2" w14:textId="66D0B75F" w:rsidR="00DD33E5" w:rsidRPr="003C7065" w:rsidRDefault="00DD33E5" w:rsidP="003C70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E8FE4" w14:textId="77777777" w:rsidR="003C7065" w:rsidRDefault="003C706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AEB3C" w14:textId="48CC9284" w:rsidR="003C7065" w:rsidRDefault="003C7065" w:rsidP="003C706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9A8ADC0" wp14:editId="1E9761DD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CF2DB9" w14:textId="77777777" w:rsidR="003C7065" w:rsidRDefault="003C7065" w:rsidP="003C7065">
    <w:pPr>
      <w:pStyle w:val="Header"/>
      <w:jc w:val="right"/>
    </w:pPr>
  </w:p>
  <w:p w14:paraId="633752FB" w14:textId="77777777" w:rsidR="00DD33E5" w:rsidRDefault="00DD33E5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C1EE2"/>
    <w:multiLevelType w:val="hybridMultilevel"/>
    <w:tmpl w:val="D472BA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60997"/>
    <w:multiLevelType w:val="hybridMultilevel"/>
    <w:tmpl w:val="3D7E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040371"/>
    <w:multiLevelType w:val="hybridMultilevel"/>
    <w:tmpl w:val="5EFECAE2"/>
    <w:lvl w:ilvl="0" w:tplc="BF6884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118302">
    <w:abstractNumId w:val="2"/>
  </w:num>
  <w:num w:numId="2" w16cid:durableId="377170989">
    <w:abstractNumId w:val="1"/>
  </w:num>
  <w:num w:numId="3" w16cid:durableId="1368991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35B8"/>
    <w:rsid w:val="00007B80"/>
    <w:rsid w:val="00013A22"/>
    <w:rsid w:val="00014C3F"/>
    <w:rsid w:val="00017C82"/>
    <w:rsid w:val="00025ECA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7B2E"/>
    <w:rsid w:val="00092D94"/>
    <w:rsid w:val="000A2239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2DA1"/>
    <w:rsid w:val="000E0942"/>
    <w:rsid w:val="000E5A54"/>
    <w:rsid w:val="000E63D3"/>
    <w:rsid w:val="000E67CF"/>
    <w:rsid w:val="0010461E"/>
    <w:rsid w:val="00106FAA"/>
    <w:rsid w:val="00113443"/>
    <w:rsid w:val="001150A7"/>
    <w:rsid w:val="001269A7"/>
    <w:rsid w:val="00131092"/>
    <w:rsid w:val="0013590B"/>
    <w:rsid w:val="00140E6A"/>
    <w:rsid w:val="00146545"/>
    <w:rsid w:val="00146B75"/>
    <w:rsid w:val="00150358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51B7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E7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0CAD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52D0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7065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197C"/>
    <w:rsid w:val="00472A11"/>
    <w:rsid w:val="00472AAD"/>
    <w:rsid w:val="00474E33"/>
    <w:rsid w:val="00476803"/>
    <w:rsid w:val="00485BFD"/>
    <w:rsid w:val="004867A2"/>
    <w:rsid w:val="004873F2"/>
    <w:rsid w:val="00490D4C"/>
    <w:rsid w:val="0049305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03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26D1"/>
    <w:rsid w:val="005D3193"/>
    <w:rsid w:val="005D4A6E"/>
    <w:rsid w:val="005E1DC5"/>
    <w:rsid w:val="005E6979"/>
    <w:rsid w:val="005E75CB"/>
    <w:rsid w:val="006013C1"/>
    <w:rsid w:val="0060669E"/>
    <w:rsid w:val="00610F2E"/>
    <w:rsid w:val="00611399"/>
    <w:rsid w:val="006143D2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6B71"/>
    <w:rsid w:val="00677D9B"/>
    <w:rsid w:val="0068572C"/>
    <w:rsid w:val="006867F3"/>
    <w:rsid w:val="00687890"/>
    <w:rsid w:val="006901A2"/>
    <w:rsid w:val="00690368"/>
    <w:rsid w:val="0069079C"/>
    <w:rsid w:val="00690B53"/>
    <w:rsid w:val="006922CF"/>
    <w:rsid w:val="00695B72"/>
    <w:rsid w:val="006B160A"/>
    <w:rsid w:val="006B4E6C"/>
    <w:rsid w:val="006B50B6"/>
    <w:rsid w:val="006B6503"/>
    <w:rsid w:val="006B65F1"/>
    <w:rsid w:val="006D79EA"/>
    <w:rsid w:val="006E5D05"/>
    <w:rsid w:val="006F5469"/>
    <w:rsid w:val="00701053"/>
    <w:rsid w:val="00701507"/>
    <w:rsid w:val="00714021"/>
    <w:rsid w:val="00716A0F"/>
    <w:rsid w:val="00717D45"/>
    <w:rsid w:val="007208F7"/>
    <w:rsid w:val="007218AF"/>
    <w:rsid w:val="007365D1"/>
    <w:rsid w:val="0073776E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1F70"/>
    <w:rsid w:val="007B1B42"/>
    <w:rsid w:val="007C30EB"/>
    <w:rsid w:val="007D1638"/>
    <w:rsid w:val="007E063C"/>
    <w:rsid w:val="007E2A4B"/>
    <w:rsid w:val="007E307D"/>
    <w:rsid w:val="007E42D6"/>
    <w:rsid w:val="007E6A4E"/>
    <w:rsid w:val="007E6C94"/>
    <w:rsid w:val="007F1005"/>
    <w:rsid w:val="007F25E0"/>
    <w:rsid w:val="007F5328"/>
    <w:rsid w:val="00804F5A"/>
    <w:rsid w:val="00810C6D"/>
    <w:rsid w:val="008111DD"/>
    <w:rsid w:val="00812887"/>
    <w:rsid w:val="0081579F"/>
    <w:rsid w:val="00826989"/>
    <w:rsid w:val="00826F21"/>
    <w:rsid w:val="00834CC8"/>
    <w:rsid w:val="00835E00"/>
    <w:rsid w:val="00837113"/>
    <w:rsid w:val="008414E4"/>
    <w:rsid w:val="00843E21"/>
    <w:rsid w:val="0084508E"/>
    <w:rsid w:val="00857A8A"/>
    <w:rsid w:val="00862FC4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1A58"/>
    <w:rsid w:val="008D23AB"/>
    <w:rsid w:val="008D4B8B"/>
    <w:rsid w:val="008D5A78"/>
    <w:rsid w:val="008E7B64"/>
    <w:rsid w:val="008F1B9D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516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24A"/>
    <w:rsid w:val="009B2FF2"/>
    <w:rsid w:val="009B380C"/>
    <w:rsid w:val="009B4843"/>
    <w:rsid w:val="009B6543"/>
    <w:rsid w:val="009C199D"/>
    <w:rsid w:val="009C278F"/>
    <w:rsid w:val="009C2B94"/>
    <w:rsid w:val="009C5368"/>
    <w:rsid w:val="009C5874"/>
    <w:rsid w:val="009D3B5A"/>
    <w:rsid w:val="009E0C05"/>
    <w:rsid w:val="009E0D1C"/>
    <w:rsid w:val="009E2214"/>
    <w:rsid w:val="009E355A"/>
    <w:rsid w:val="009E3BE7"/>
    <w:rsid w:val="009E63E2"/>
    <w:rsid w:val="009F04D2"/>
    <w:rsid w:val="009F05CF"/>
    <w:rsid w:val="009F0F3A"/>
    <w:rsid w:val="00A01D0C"/>
    <w:rsid w:val="00A0643F"/>
    <w:rsid w:val="00A067EE"/>
    <w:rsid w:val="00A10FCE"/>
    <w:rsid w:val="00A133CD"/>
    <w:rsid w:val="00A16D91"/>
    <w:rsid w:val="00A174CC"/>
    <w:rsid w:val="00A2073D"/>
    <w:rsid w:val="00A20751"/>
    <w:rsid w:val="00A23D7C"/>
    <w:rsid w:val="00A27E2D"/>
    <w:rsid w:val="00A31D99"/>
    <w:rsid w:val="00A357BA"/>
    <w:rsid w:val="00A35ADC"/>
    <w:rsid w:val="00A402A3"/>
    <w:rsid w:val="00A53681"/>
    <w:rsid w:val="00A53C7D"/>
    <w:rsid w:val="00A60F0B"/>
    <w:rsid w:val="00A633D4"/>
    <w:rsid w:val="00A6461A"/>
    <w:rsid w:val="00A740B1"/>
    <w:rsid w:val="00A84504"/>
    <w:rsid w:val="00A8672F"/>
    <w:rsid w:val="00A90857"/>
    <w:rsid w:val="00A93057"/>
    <w:rsid w:val="00A968B0"/>
    <w:rsid w:val="00AB2672"/>
    <w:rsid w:val="00AB274E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4B42"/>
    <w:rsid w:val="00AF5E07"/>
    <w:rsid w:val="00AF5F06"/>
    <w:rsid w:val="00B00A25"/>
    <w:rsid w:val="00B10A50"/>
    <w:rsid w:val="00B1422A"/>
    <w:rsid w:val="00B1765C"/>
    <w:rsid w:val="00B213C4"/>
    <w:rsid w:val="00B40C60"/>
    <w:rsid w:val="00B44F05"/>
    <w:rsid w:val="00B479A9"/>
    <w:rsid w:val="00B52EDF"/>
    <w:rsid w:val="00B71188"/>
    <w:rsid w:val="00B722B5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0402"/>
    <w:rsid w:val="00C978F0"/>
    <w:rsid w:val="00CA3AFB"/>
    <w:rsid w:val="00CA58FE"/>
    <w:rsid w:val="00CB1CB1"/>
    <w:rsid w:val="00CB6BC1"/>
    <w:rsid w:val="00CB6CB8"/>
    <w:rsid w:val="00CC1A68"/>
    <w:rsid w:val="00CC2123"/>
    <w:rsid w:val="00CD2BFD"/>
    <w:rsid w:val="00CE077F"/>
    <w:rsid w:val="00CE5AD6"/>
    <w:rsid w:val="00CE617F"/>
    <w:rsid w:val="00CE78EF"/>
    <w:rsid w:val="00D048F7"/>
    <w:rsid w:val="00D0517E"/>
    <w:rsid w:val="00D140FC"/>
    <w:rsid w:val="00D14ED1"/>
    <w:rsid w:val="00D21D8C"/>
    <w:rsid w:val="00D276CD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5542"/>
    <w:rsid w:val="00D87570"/>
    <w:rsid w:val="00D91CB9"/>
    <w:rsid w:val="00D97989"/>
    <w:rsid w:val="00D97D8D"/>
    <w:rsid w:val="00DA352E"/>
    <w:rsid w:val="00DB3525"/>
    <w:rsid w:val="00DC7694"/>
    <w:rsid w:val="00DD1BF6"/>
    <w:rsid w:val="00DD2F9B"/>
    <w:rsid w:val="00DD33E5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27E75"/>
    <w:rsid w:val="00E3191E"/>
    <w:rsid w:val="00E32595"/>
    <w:rsid w:val="00E37CFD"/>
    <w:rsid w:val="00E41A26"/>
    <w:rsid w:val="00E46BCB"/>
    <w:rsid w:val="00E51CAF"/>
    <w:rsid w:val="00E52C94"/>
    <w:rsid w:val="00E60F04"/>
    <w:rsid w:val="00E62AAC"/>
    <w:rsid w:val="00E64441"/>
    <w:rsid w:val="00E67C2F"/>
    <w:rsid w:val="00E67EF5"/>
    <w:rsid w:val="00E74243"/>
    <w:rsid w:val="00E804EA"/>
    <w:rsid w:val="00E80A71"/>
    <w:rsid w:val="00E82337"/>
    <w:rsid w:val="00E92499"/>
    <w:rsid w:val="00E949AF"/>
    <w:rsid w:val="00E96077"/>
    <w:rsid w:val="00E96619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793F"/>
    <w:rsid w:val="00F20E68"/>
    <w:rsid w:val="00F22093"/>
    <w:rsid w:val="00F236DF"/>
    <w:rsid w:val="00F42CF1"/>
    <w:rsid w:val="00F43AD5"/>
    <w:rsid w:val="00F4402E"/>
    <w:rsid w:val="00F56DD0"/>
    <w:rsid w:val="00F6491C"/>
    <w:rsid w:val="00F67BBB"/>
    <w:rsid w:val="00F815EE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115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0035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5B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5B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D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D7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0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499FF8FF974428785B3F11E3C426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64313-F2FE-45B4-BEFC-813D7BDC0BF0}"/>
      </w:docPartPr>
      <w:docPartBody>
        <w:p w:rsidR="00234E04" w:rsidRDefault="00D00DB5" w:rsidP="00D00DB5">
          <w:pPr>
            <w:pStyle w:val="E499FF8FF974428785B3F11E3C4267F6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64DA6"/>
    <w:rsid w:val="00234E04"/>
    <w:rsid w:val="005E1DC5"/>
    <w:rsid w:val="00637FC5"/>
    <w:rsid w:val="009B224A"/>
    <w:rsid w:val="00A33A1C"/>
    <w:rsid w:val="00CE07C1"/>
    <w:rsid w:val="00D00DB5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0DB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499FF8FF974428785B3F11E3C4267F6">
    <w:name w:val="E499FF8FF974428785B3F11E3C4267F6"/>
    <w:rsid w:val="00D00D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7F7467-7331-4091-860B-BDF9E32F6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48FDE0-2D73-43BE-AA50-8C9420000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a0509f21-ed56-4150-9955-96be669e5f2d"/>
    <ds:schemaRef ds:uri="1c567317-0c4d-4a62-8516-c22afd1b5354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7</Pages>
  <Words>1770</Words>
  <Characters>10091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20</cp:revision>
  <cp:lastPrinted>2018-10-22T22:41:00Z</cp:lastPrinted>
  <dcterms:created xsi:type="dcterms:W3CDTF">2019-09-23T00:40:00Z</dcterms:created>
  <dcterms:modified xsi:type="dcterms:W3CDTF">2026-01-09T00:21:00Z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2026-01-02T03:23:49Z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fa322c59-69e6-4127-979c-03ce2ac976e0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