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77F080E" w14:textId="2CC2A6C0" w:rsidR="00BD499F" w:rsidRPr="004C23F4" w:rsidRDefault="00D5546C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Paraquat (respirable)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4EC18E0E" w14:textId="77777777" w:rsidTr="00B76A41">
        <w:trPr>
          <w:cantSplit/>
          <w:tblHeader/>
        </w:trPr>
        <w:tc>
          <w:tcPr>
            <w:tcW w:w="4077" w:type="dxa"/>
          </w:tcPr>
          <w:p w14:paraId="6F64E9F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D714DC7" w14:textId="77777777" w:rsidR="00F43AD5" w:rsidRPr="00717D45" w:rsidRDefault="000A39DB" w:rsidP="00B76A41">
            <w:pPr>
              <w:pStyle w:val="Tablefont"/>
            </w:pPr>
            <w:r w:rsidRPr="000A39DB">
              <w:t>4685-14-7</w:t>
            </w:r>
          </w:p>
        </w:tc>
      </w:tr>
      <w:tr w:rsidR="00F43AD5" w:rsidRPr="004C23F4" w14:paraId="642D86E3" w14:textId="77777777" w:rsidTr="00B76A41">
        <w:trPr>
          <w:cantSplit/>
        </w:trPr>
        <w:tc>
          <w:tcPr>
            <w:tcW w:w="4077" w:type="dxa"/>
          </w:tcPr>
          <w:p w14:paraId="727382D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46FE83E" w14:textId="271506DB" w:rsidR="00F43AD5" w:rsidRPr="00717D45" w:rsidRDefault="000A39DB" w:rsidP="00B76A41">
            <w:pPr>
              <w:pStyle w:val="Tablefont"/>
            </w:pPr>
            <w:r w:rsidRPr="000A39DB">
              <w:t>1,1-Dimethyl-4,4-bipyridinium ion</w:t>
            </w:r>
            <w:r w:rsidR="003B68B5">
              <w:t xml:space="preserve">, </w:t>
            </w:r>
            <w:r w:rsidR="001353D2">
              <w:br/>
            </w:r>
            <w:r w:rsidR="003B68B5">
              <w:t>p</w:t>
            </w:r>
            <w:r w:rsidR="003B68B5" w:rsidRPr="003B68B5">
              <w:t>araquat dichloride (ISO)</w:t>
            </w:r>
          </w:p>
        </w:tc>
      </w:tr>
      <w:tr w:rsidR="00F43AD5" w:rsidRPr="004C23F4" w14:paraId="03E6E933" w14:textId="77777777" w:rsidTr="00B76A41">
        <w:trPr>
          <w:cantSplit/>
        </w:trPr>
        <w:tc>
          <w:tcPr>
            <w:tcW w:w="4077" w:type="dxa"/>
          </w:tcPr>
          <w:p w14:paraId="419C8FA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E40B831" w14:textId="77777777" w:rsidR="00F43AD5" w:rsidRPr="00717D45" w:rsidRDefault="000A39DB" w:rsidP="00B76A41">
            <w:pPr>
              <w:pStyle w:val="Tablefont"/>
            </w:pPr>
            <w:r w:rsidRPr="000A39DB">
              <w:t>C</w:t>
            </w:r>
            <w:r w:rsidRPr="000A39DB">
              <w:rPr>
                <w:vertAlign w:val="subscript"/>
              </w:rPr>
              <w:t>12</w:t>
            </w:r>
            <w:r w:rsidRPr="000A39DB">
              <w:t>H</w:t>
            </w:r>
            <w:r w:rsidRPr="000A39DB">
              <w:rPr>
                <w:vertAlign w:val="subscript"/>
              </w:rPr>
              <w:t>14</w:t>
            </w:r>
            <w:r w:rsidRPr="000A39DB">
              <w:t>N</w:t>
            </w:r>
            <w:r w:rsidRPr="000A39DB">
              <w:rPr>
                <w:vertAlign w:val="subscript"/>
              </w:rPr>
              <w:t>2</w:t>
            </w:r>
          </w:p>
        </w:tc>
      </w:tr>
      <w:tr w:rsidR="00F43AD5" w:rsidRPr="004C23F4" w14:paraId="7750E401" w14:textId="77777777" w:rsidTr="00B76A41">
        <w:trPr>
          <w:cantSplit/>
        </w:trPr>
        <w:tc>
          <w:tcPr>
            <w:tcW w:w="4077" w:type="dxa"/>
          </w:tcPr>
          <w:p w14:paraId="4C8D023F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89C17FB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547E2CF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C21ED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74E9CBCE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1D5277E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958F633" w14:textId="73396F87" w:rsidR="002C7AFE" w:rsidRPr="00DC21ED" w:rsidRDefault="00DC21ED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</w:t>
            </w:r>
            <w:r w:rsidR="007F1190">
              <w:rPr>
                <w:b/>
              </w:rPr>
              <w:t>0</w:t>
            </w:r>
            <w:r>
              <w:rPr>
                <w:b/>
              </w:rPr>
              <w:t>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037E52" w:rsidRPr="004C23F4" w14:paraId="03839C80" w14:textId="77777777" w:rsidTr="00037E52">
        <w:trPr>
          <w:cantSplit/>
        </w:trPr>
        <w:tc>
          <w:tcPr>
            <w:tcW w:w="4010" w:type="dxa"/>
            <w:vAlign w:val="center"/>
          </w:tcPr>
          <w:p w14:paraId="483C9067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567C8EE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4442E2CF" w14:textId="77777777" w:rsidTr="00037E52">
        <w:trPr>
          <w:cantSplit/>
        </w:trPr>
        <w:tc>
          <w:tcPr>
            <w:tcW w:w="4010" w:type="dxa"/>
            <w:vAlign w:val="center"/>
          </w:tcPr>
          <w:p w14:paraId="6B1786C8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009A8DE9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2A51530D" w14:textId="77777777" w:rsidTr="00037E52">
        <w:trPr>
          <w:cantSplit/>
        </w:trPr>
        <w:tc>
          <w:tcPr>
            <w:tcW w:w="4010" w:type="dxa"/>
          </w:tcPr>
          <w:p w14:paraId="5503FDC2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152AE9A0" w14:textId="77777777" w:rsidR="00037E52" w:rsidRPr="00EB3D1B" w:rsidRDefault="00DC21ED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037E52" w:rsidRPr="004C23F4" w14:paraId="130409D4" w14:textId="77777777" w:rsidTr="00037E52">
        <w:trPr>
          <w:cantSplit/>
        </w:trPr>
        <w:tc>
          <w:tcPr>
            <w:tcW w:w="4010" w:type="dxa"/>
            <w:vAlign w:val="center"/>
          </w:tcPr>
          <w:p w14:paraId="0CEBEED8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52369522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A507C" w:rsidRPr="004C23F4" w14:paraId="34601704" w14:textId="77777777" w:rsidTr="00C703E2">
        <w:trPr>
          <w:cantSplit/>
        </w:trPr>
        <w:tc>
          <w:tcPr>
            <w:tcW w:w="9026" w:type="dxa"/>
            <w:gridSpan w:val="2"/>
            <w:vAlign w:val="center"/>
          </w:tcPr>
          <w:p w14:paraId="1CF9C0A4" w14:textId="77777777" w:rsidR="009A507C" w:rsidRPr="00EB3D1B" w:rsidRDefault="009A507C" w:rsidP="00037E5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05105839954A4264B10A8A2F4D14E4B9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0D2FDF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55FBA3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4778794" w14:textId="77777777" w:rsidR="00DC21ED" w:rsidRPr="004C23F4" w:rsidRDefault="00DC21ED" w:rsidP="00DC21ED">
      <w:pPr>
        <w:rPr>
          <w:rFonts w:cs="Arial"/>
        </w:rPr>
      </w:pPr>
      <w:r>
        <w:t xml:space="preserve">A TWA of 0.05 </w:t>
      </w:r>
      <w:r w:rsidRPr="00E86AD0">
        <w:rPr>
          <w:rFonts w:cs="Arial"/>
          <w:sz w:val="22"/>
        </w:rPr>
        <w:t>mg/m</w:t>
      </w:r>
      <w:r w:rsidRPr="00E86AD0">
        <w:rPr>
          <w:rFonts w:cs="Arial"/>
          <w:sz w:val="22"/>
          <w:vertAlign w:val="superscript"/>
        </w:rPr>
        <w:t>3</w:t>
      </w:r>
      <w:r>
        <w:t xml:space="preserve"> is recommended to protect for lung damage and respiratory tract irritation in exposed workers. </w:t>
      </w:r>
    </w:p>
    <w:p w14:paraId="18990A1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223E4B9" w14:textId="77777777" w:rsidR="00830C09" w:rsidRDefault="007D58D0" w:rsidP="006639B4">
      <w:r>
        <w:t>Paraquat is a quick-acting, non</w:t>
      </w:r>
      <w:r w:rsidR="000D2FDF">
        <w:t>-</w:t>
      </w:r>
      <w:r>
        <w:t>selective herbicide</w:t>
      </w:r>
      <w:r w:rsidR="00830C09">
        <w:t xml:space="preserve"> used for broad spectrum control of broadleaf weeds, grasses and aquatic weeds.</w:t>
      </w:r>
    </w:p>
    <w:p w14:paraId="4C3D32B1" w14:textId="77777777" w:rsidR="007F1190" w:rsidRDefault="00830C09" w:rsidP="009E583D">
      <w:r>
        <w:t>Critical effects</w:t>
      </w:r>
      <w:r w:rsidR="009E583D">
        <w:t xml:space="preserve"> of exposure are lung damage and upper respiratory tract irritation. </w:t>
      </w:r>
      <w:r w:rsidR="001353D2">
        <w:t>Exposure m</w:t>
      </w:r>
      <w:r w:rsidR="009E583D">
        <w:t>ay also be associated with liver and kidney damage, eye irritation and effects on</w:t>
      </w:r>
      <w:r>
        <w:t xml:space="preserve"> </w:t>
      </w:r>
      <w:r w:rsidR="00276A2A">
        <w:t>central nervous system (CNS)</w:t>
      </w:r>
      <w:r w:rsidR="009E583D">
        <w:t>.</w:t>
      </w:r>
      <w:r w:rsidR="001353D2">
        <w:t xml:space="preserve"> </w:t>
      </w:r>
    </w:p>
    <w:p w14:paraId="0978F984" w14:textId="5E9DF8E6" w:rsidR="009E583D" w:rsidRDefault="009E583D" w:rsidP="009E583D">
      <w:r>
        <w:t xml:space="preserve">Limited or no quantitative exposure information is available in relation to airborne exposure concentrations and adverse health effects. Skin irritation and rashes </w:t>
      </w:r>
      <w:r w:rsidR="001353D2">
        <w:t>a</w:t>
      </w:r>
      <w:r>
        <w:t>re reported in a study comparing exposed workers with controls</w:t>
      </w:r>
      <w:r w:rsidR="007F1190">
        <w:t>. N</w:t>
      </w:r>
      <w:r>
        <w:t xml:space="preserve">o significant differences in pulmonary, renal, liver or hematologic functions </w:t>
      </w:r>
      <w:r w:rsidR="001353D2">
        <w:t>a</w:t>
      </w:r>
      <w:r>
        <w:t>re found</w:t>
      </w:r>
      <w:r w:rsidR="007F1190">
        <w:t xml:space="preserve"> in this study</w:t>
      </w:r>
      <w:r>
        <w:t xml:space="preserve">. No associations </w:t>
      </w:r>
      <w:r w:rsidR="001353D2">
        <w:t>a</w:t>
      </w:r>
      <w:r>
        <w:t>re identified between an average airborne paraquat concentration of 0.218 mg/m</w:t>
      </w:r>
      <w:r w:rsidRPr="00EF167D">
        <w:rPr>
          <w:vertAlign w:val="superscript"/>
        </w:rPr>
        <w:t>3</w:t>
      </w:r>
      <w:r>
        <w:t xml:space="preserve"> from spraying and urine paraquat co</w:t>
      </w:r>
      <w:r w:rsidR="00337D00">
        <w:t>ncentrations in workers. A NOAEC</w:t>
      </w:r>
      <w:r>
        <w:t xml:space="preserve"> of 0.1 mg/</w:t>
      </w:r>
      <w:r w:rsidRPr="000D2FDF">
        <w:t>m</w:t>
      </w:r>
      <w:r w:rsidR="000D2FDF" w:rsidRPr="000D2FDF">
        <w:rPr>
          <w:vertAlign w:val="superscript"/>
        </w:rPr>
        <w:t>3</w:t>
      </w:r>
      <w:r w:rsidR="000D2FDF">
        <w:t xml:space="preserve"> </w:t>
      </w:r>
      <w:r w:rsidR="001353D2">
        <w:t>i</w:t>
      </w:r>
      <w:r w:rsidRPr="000D2FDF">
        <w:t>s</w:t>
      </w:r>
      <w:r>
        <w:t xml:space="preserve"> identified in a </w:t>
      </w:r>
      <w:proofErr w:type="gramStart"/>
      <w:r w:rsidR="009A507C">
        <w:t xml:space="preserve">three </w:t>
      </w:r>
      <w:r>
        <w:t>week</w:t>
      </w:r>
      <w:proofErr w:type="gramEnd"/>
      <w:r>
        <w:t xml:space="preserve"> inhalation study in rats based on pulmonary irritation (ACGIH, 2018).</w:t>
      </w:r>
      <w:r w:rsidR="009A507C">
        <w:t xml:space="preserve"> </w:t>
      </w:r>
      <w:r>
        <w:t xml:space="preserve">A </w:t>
      </w:r>
      <w:proofErr w:type="gramStart"/>
      <w:r w:rsidR="009A507C">
        <w:rPr>
          <w:rStyle w:val="checkbox"/>
          <w:rFonts w:ascii="Arial" w:hAnsi="Arial" w:cs="Arial"/>
        </w:rPr>
        <w:t>one</w:t>
      </w:r>
      <w:r>
        <w:rPr>
          <w:rStyle w:val="checkbox"/>
          <w:rFonts w:ascii="Arial" w:hAnsi="Arial" w:cs="Arial"/>
        </w:rPr>
        <w:t xml:space="preserve"> year</w:t>
      </w:r>
      <w:proofErr w:type="gramEnd"/>
      <w:r>
        <w:rPr>
          <w:rStyle w:val="checkbox"/>
          <w:rFonts w:ascii="Arial" w:hAnsi="Arial" w:cs="Arial"/>
        </w:rPr>
        <w:t xml:space="preserve"> dietary study in dogs reported a NOEL of 0.45</w:t>
      </w:r>
      <w:r w:rsidR="007F1190">
        <w:rPr>
          <w:rStyle w:val="checkbox"/>
          <w:rFonts w:ascii="Arial" w:hAnsi="Arial" w:cs="Arial"/>
        </w:rPr>
        <w:t> </w:t>
      </w:r>
      <w:r>
        <w:rPr>
          <w:rStyle w:val="checkbox"/>
          <w:rFonts w:ascii="Arial" w:hAnsi="Arial" w:cs="Arial"/>
        </w:rPr>
        <w:t>mg/kg/d</w:t>
      </w:r>
      <w:r w:rsidR="001353D2">
        <w:rPr>
          <w:rStyle w:val="checkbox"/>
          <w:rFonts w:ascii="Arial" w:hAnsi="Arial" w:cs="Arial"/>
        </w:rPr>
        <w:t>ay</w:t>
      </w:r>
      <w:r>
        <w:rPr>
          <w:rStyle w:val="checkbox"/>
          <w:rFonts w:ascii="Arial" w:hAnsi="Arial" w:cs="Arial"/>
        </w:rPr>
        <w:t xml:space="preserve"> based on </w:t>
      </w:r>
      <w:r w:rsidRPr="004C1D13">
        <w:t>pulmonary lesions associated with chronic pneumonitis</w:t>
      </w:r>
      <w:r>
        <w:t xml:space="preserve">. The </w:t>
      </w:r>
      <w:r w:rsidR="009A507C">
        <w:t>eight</w:t>
      </w:r>
      <w:r w:rsidR="00295F8D">
        <w:t>-</w:t>
      </w:r>
      <w:r w:rsidR="009A507C">
        <w:t>hour</w:t>
      </w:r>
      <w:r>
        <w:t xml:space="preserve"> human inhalation equivalent to this </w:t>
      </w:r>
      <w:r w:rsidR="00295F8D">
        <w:t xml:space="preserve">concentration </w:t>
      </w:r>
      <w:r>
        <w:t xml:space="preserve">is </w:t>
      </w:r>
      <w:r w:rsidR="00DC21ED">
        <w:t>3.15 mg/m</w:t>
      </w:r>
      <w:r w:rsidR="00DC21ED">
        <w:rPr>
          <w:vertAlign w:val="superscript"/>
        </w:rPr>
        <w:t>3</w:t>
      </w:r>
      <w:r w:rsidR="00DC21ED">
        <w:t xml:space="preserve"> based on generic </w:t>
      </w:r>
      <w:r w:rsidR="001353D2">
        <w:t xml:space="preserve">conversion </w:t>
      </w:r>
      <w:r w:rsidR="00DC21ED">
        <w:t>factors</w:t>
      </w:r>
      <w:r w:rsidR="00DC21ED" w:rsidRPr="00DC21ED">
        <w:t>.</w:t>
      </w:r>
      <w:r w:rsidR="009A507C">
        <w:rPr>
          <w:vertAlign w:val="superscript"/>
        </w:rPr>
        <w:t xml:space="preserve"> </w:t>
      </w:r>
    </w:p>
    <w:p w14:paraId="0108F454" w14:textId="301CD8E7" w:rsidR="009E583D" w:rsidRPr="004C23F4" w:rsidRDefault="00DC21ED" w:rsidP="006639B4">
      <w:pPr>
        <w:rPr>
          <w:rFonts w:cs="Arial"/>
        </w:rPr>
      </w:pPr>
      <w:r>
        <w:t xml:space="preserve">A TWA of 0.05 </w:t>
      </w:r>
      <w:r w:rsidRPr="00E86AD0">
        <w:rPr>
          <w:rFonts w:cs="Arial"/>
          <w:sz w:val="22"/>
        </w:rPr>
        <w:t>mg/m</w:t>
      </w:r>
      <w:r w:rsidRPr="00E86AD0">
        <w:rPr>
          <w:rFonts w:cs="Arial"/>
          <w:sz w:val="22"/>
          <w:vertAlign w:val="superscript"/>
        </w:rPr>
        <w:t>3</w:t>
      </w:r>
      <w:r>
        <w:t xml:space="preserve"> is recommended as derived by ACGIH (2018). This TWA is expected to be protective of lung damage reported in animals. This concentration provides a suitable margin of safety based on the NOEL in animals.</w:t>
      </w:r>
    </w:p>
    <w:p w14:paraId="4F91F6E8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2DBA0B8F" w14:textId="77777777" w:rsidR="008E4F1F" w:rsidRPr="00DC21ED" w:rsidRDefault="008E4F1F" w:rsidP="008E4F1F">
      <w:pPr>
        <w:rPr>
          <w:rFonts w:cs="Arial"/>
        </w:rPr>
      </w:pPr>
      <w:r w:rsidRPr="00DC21ED">
        <w:rPr>
          <w:rFonts w:cs="Arial"/>
        </w:rPr>
        <w:t>Not classified as a carcinogen according to the Globally Harmonized System of Classification and Labelling o</w:t>
      </w:r>
      <w:r w:rsidR="009A507C">
        <w:rPr>
          <w:rFonts w:cs="Arial"/>
        </w:rPr>
        <w:t>f</w:t>
      </w:r>
      <w:r w:rsidRPr="00DC21ED">
        <w:rPr>
          <w:rFonts w:cs="Arial"/>
        </w:rPr>
        <w:t xml:space="preserve"> Chemicals (GHS). </w:t>
      </w:r>
    </w:p>
    <w:p w14:paraId="555A33C1" w14:textId="77777777" w:rsidR="008E4F1F" w:rsidRPr="00DC21ED" w:rsidRDefault="008E4F1F" w:rsidP="008E4F1F">
      <w:pPr>
        <w:rPr>
          <w:rFonts w:cs="Arial"/>
        </w:rPr>
      </w:pPr>
      <w:r w:rsidRPr="00DC21ED">
        <w:rPr>
          <w:rFonts w:cs="Arial"/>
        </w:rPr>
        <w:t xml:space="preserve">Not classified as a skin </w:t>
      </w:r>
      <w:r w:rsidR="009A507C" w:rsidRPr="00DC21ED">
        <w:rPr>
          <w:rFonts w:cs="Arial"/>
        </w:rPr>
        <w:t xml:space="preserve">sensitiser </w:t>
      </w:r>
      <w:r w:rsidRPr="00DC21ED">
        <w:rPr>
          <w:rFonts w:cs="Arial"/>
        </w:rPr>
        <w:t>or respiratory sensitiser according to the GHS.</w:t>
      </w:r>
    </w:p>
    <w:p w14:paraId="008065E8" w14:textId="77777777" w:rsidR="004529F0" w:rsidRPr="004C23F4" w:rsidRDefault="00DC21ED" w:rsidP="008E4F1F">
      <w:pPr>
        <w:rPr>
          <w:rFonts w:cs="Arial"/>
        </w:rPr>
      </w:pPr>
      <w:r w:rsidRPr="00DC21ED">
        <w:rPr>
          <w:rFonts w:cs="Arial"/>
        </w:rPr>
        <w:t>A skin notation is recommended based on evidence in humans of severe systemic effects following dermal exposure.</w:t>
      </w:r>
    </w:p>
    <w:p w14:paraId="58D2333F" w14:textId="77777777" w:rsidR="0025734A" w:rsidRPr="004C23F4" w:rsidRDefault="0025734A">
      <w:pPr>
        <w:rPr>
          <w:rFonts w:cs="Arial"/>
        </w:rPr>
      </w:pPr>
    </w:p>
    <w:p w14:paraId="1304DA0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C2DBB5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1793FF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43EAE87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398B402" w14:textId="77777777" w:rsidR="00C978F0" w:rsidRPr="00DA352E" w:rsidRDefault="00C978F0" w:rsidP="00B02EC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271F164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3BA7046" w14:textId="77777777" w:rsidR="00DE26E8" w:rsidRPr="003365A5" w:rsidRDefault="00DE26E8" w:rsidP="000D2FD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B68B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B68B5">
                  <w:t>TWA: 0.1 mg/m</w:t>
                </w:r>
                <w:r w:rsidR="003B68B5" w:rsidRPr="003B68B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DE46AF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8465981" w14:textId="77777777" w:rsidR="00C978F0" w:rsidRPr="00DA352E" w:rsidRDefault="00C978F0" w:rsidP="00B02ECB">
            <w:pPr>
              <w:pStyle w:val="Tabletextprimarysource"/>
            </w:pPr>
          </w:p>
        </w:tc>
      </w:tr>
      <w:tr w:rsidR="00C978F0" w:rsidRPr="00DA352E" w14:paraId="3403594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E8CCBE" w14:textId="77777777" w:rsidR="00C978F0" w:rsidRPr="00DA352E" w:rsidRDefault="00DA352E" w:rsidP="000D2FD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4167F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D4167F">
                  <w:t>TLV-TWA: 0.05</w:t>
                </w:r>
                <w:r w:rsidR="00D4167F" w:rsidRPr="00D4167F">
                  <w:t xml:space="preserve"> mg/m</w:t>
                </w:r>
                <w:r w:rsidR="00D4167F" w:rsidRPr="00D4167F">
                  <w:rPr>
                    <w:vertAlign w:val="superscript"/>
                  </w:rPr>
                  <w:t>3</w:t>
                </w:r>
                <w:r w:rsidR="00835171">
                  <w:rPr>
                    <w:vertAlign w:val="superscript"/>
                  </w:rPr>
                  <w:t xml:space="preserve"> </w:t>
                </w:r>
                <w:r w:rsidR="00835171">
                  <w:t>(Inhalable particulate matter)</w:t>
                </w:r>
              </w:sdtContent>
            </w:sdt>
          </w:p>
        </w:tc>
      </w:tr>
      <w:tr w:rsidR="00C978F0" w:rsidRPr="00DA352E" w14:paraId="5DA936CE" w14:textId="77777777" w:rsidTr="00C57B39">
        <w:trPr>
          <w:gridAfter w:val="1"/>
          <w:wAfter w:w="8" w:type="pct"/>
        </w:trPr>
        <w:tc>
          <w:tcPr>
            <w:tcW w:w="4992" w:type="pct"/>
          </w:tcPr>
          <w:p w14:paraId="7F850B33" w14:textId="63B7F7AA" w:rsidR="00C978F0" w:rsidRDefault="00276A2A" w:rsidP="00B02ECB">
            <w:pPr>
              <w:pStyle w:val="Tabletextprimarysource"/>
            </w:pPr>
            <w:r>
              <w:t>TLV-TWA recommended to minimise the potential for lung damage and upper respiratory tract irritation. Stated to</w:t>
            </w:r>
            <w:r w:rsidR="009E583D">
              <w:t xml:space="preserve"> also be protective of</w:t>
            </w:r>
            <w:r>
              <w:t xml:space="preserve"> liver and kidney damage, eye irritation and potential effects on the CNS.</w:t>
            </w:r>
          </w:p>
          <w:p w14:paraId="2E0BA0E2" w14:textId="77777777" w:rsidR="00276A2A" w:rsidRDefault="00276A2A" w:rsidP="00B02ECB">
            <w:pPr>
              <w:pStyle w:val="Tabletextprimarysource"/>
            </w:pPr>
            <w:r>
              <w:t>Summary of data:</w:t>
            </w:r>
          </w:p>
          <w:p w14:paraId="0F27D399" w14:textId="77777777" w:rsidR="00276A2A" w:rsidRDefault="00276A2A" w:rsidP="00B02ECB">
            <w:pPr>
              <w:pStyle w:val="Tabletextprimarysource"/>
            </w:pPr>
            <w:r>
              <w:t>No der</w:t>
            </w:r>
            <w:r w:rsidR="00337D00">
              <w:t>ivation provided; based on NOAEC</w:t>
            </w:r>
            <w:r>
              <w:t xml:space="preserve"> of 0.1 mg/m</w:t>
            </w:r>
            <w:r>
              <w:rPr>
                <w:vertAlign w:val="superscript"/>
              </w:rPr>
              <w:t xml:space="preserve">3 </w:t>
            </w:r>
            <w:r>
              <w:t>(pulmonary irritation) in rats.</w:t>
            </w:r>
          </w:p>
          <w:p w14:paraId="05ED51BA" w14:textId="77777777" w:rsidR="00276A2A" w:rsidRDefault="00276A2A" w:rsidP="00B02ECB">
            <w:pPr>
              <w:pStyle w:val="Tabletextprimarysource"/>
            </w:pPr>
            <w:r>
              <w:t>Human data:</w:t>
            </w:r>
          </w:p>
          <w:p w14:paraId="7C65086F" w14:textId="77777777" w:rsidR="00276A2A" w:rsidRDefault="00C968B9" w:rsidP="000D2FDF">
            <w:pPr>
              <w:pStyle w:val="ListBullet"/>
              <w:spacing w:before="60" w:after="60"/>
              <w:ind w:left="720"/>
              <w:contextualSpacing w:val="0"/>
            </w:pPr>
            <w:r>
              <w:t>Limited or no quantitative exposure information in relation to airborne exposure concentrations and adverse health effects</w:t>
            </w:r>
          </w:p>
          <w:p w14:paraId="21FB95D2" w14:textId="21A0E04A" w:rsidR="001353D2" w:rsidRDefault="00835850" w:rsidP="000D2FDF">
            <w:pPr>
              <w:pStyle w:val="ListBullet"/>
              <w:spacing w:before="60" w:after="60"/>
              <w:ind w:left="720"/>
              <w:contextualSpacing w:val="0"/>
            </w:pPr>
            <w:r>
              <w:t>5 accidental deaths attributed to dermal occupational exposure</w:t>
            </w:r>
            <w:r w:rsidR="004F2EA8">
              <w:t>:</w:t>
            </w:r>
            <w:r>
              <w:t xml:space="preserve"> </w:t>
            </w:r>
          </w:p>
          <w:p w14:paraId="51EE0ECD" w14:textId="77777777" w:rsidR="001353D2" w:rsidRDefault="00835850" w:rsidP="00C57B39">
            <w:pPr>
              <w:pStyle w:val="ListBullet"/>
              <w:numPr>
                <w:ilvl w:val="0"/>
                <w:numId w:val="16"/>
              </w:numPr>
              <w:spacing w:before="60" w:after="60"/>
              <w:contextualSpacing w:val="0"/>
            </w:pPr>
            <w:r>
              <w:t>symptoms included irritation and ulceration of the skin within 3 d</w:t>
            </w:r>
          </w:p>
          <w:p w14:paraId="62E2AAEF" w14:textId="23A5127F" w:rsidR="001353D2" w:rsidRDefault="00835850" w:rsidP="00C57B39">
            <w:pPr>
              <w:pStyle w:val="ListBullet"/>
              <w:numPr>
                <w:ilvl w:val="0"/>
                <w:numId w:val="16"/>
              </w:numPr>
              <w:spacing w:before="60" w:after="60"/>
              <w:contextualSpacing w:val="0"/>
            </w:pPr>
            <w:r>
              <w:t xml:space="preserve">kidney, liver and respiratory symptoms </w:t>
            </w:r>
            <w:r w:rsidR="001353D2">
              <w:t xml:space="preserve">within </w:t>
            </w:r>
            <w:r>
              <w:t>5 d</w:t>
            </w:r>
          </w:p>
          <w:p w14:paraId="4B018F8C" w14:textId="0EC359FF" w:rsidR="007D58D0" w:rsidRDefault="00835850" w:rsidP="00C57B39">
            <w:pPr>
              <w:pStyle w:val="ListBullet"/>
              <w:numPr>
                <w:ilvl w:val="0"/>
                <w:numId w:val="16"/>
              </w:numPr>
              <w:spacing w:before="60" w:after="60"/>
              <w:contextualSpacing w:val="0"/>
            </w:pPr>
            <w:r>
              <w:t>diffuse alveolar damage was found post-mortem in all cases</w:t>
            </w:r>
          </w:p>
          <w:p w14:paraId="63C6F089" w14:textId="77604687" w:rsidR="001353D2" w:rsidRDefault="00C968B9" w:rsidP="000D2FDF">
            <w:pPr>
              <w:pStyle w:val="ListBullet"/>
              <w:spacing w:before="60" w:after="60"/>
              <w:ind w:left="720"/>
              <w:contextualSpacing w:val="0"/>
            </w:pPr>
            <w:r>
              <w:t>No significant differences in pulmonary, renal, liver or hematologic functions found in a comparison of 27 plantation workers (&gt;5 yr of paraquat experience) with a group of unexposed workers</w:t>
            </w:r>
          </w:p>
          <w:p w14:paraId="15ECC634" w14:textId="6BDC76E4" w:rsidR="00C968B9" w:rsidRDefault="00C968B9" w:rsidP="00C57B39">
            <w:pPr>
              <w:pStyle w:val="ListBullet"/>
              <w:numPr>
                <w:ilvl w:val="0"/>
                <w:numId w:val="17"/>
              </w:numPr>
              <w:spacing w:before="60" w:after="60"/>
              <w:contextualSpacing w:val="0"/>
            </w:pPr>
            <w:r>
              <w:t>skin irritation and rashes reported</w:t>
            </w:r>
          </w:p>
          <w:p w14:paraId="377C7249" w14:textId="03097E48" w:rsidR="00C968B9" w:rsidRDefault="00EF167D" w:rsidP="000D2FDF">
            <w:pPr>
              <w:pStyle w:val="ListBullet"/>
              <w:spacing w:before="60" w:after="60"/>
              <w:ind w:left="720"/>
              <w:contextualSpacing w:val="0"/>
            </w:pPr>
            <w:r>
              <w:t>Large cohort of registered pesticide applicators (Agricultural Health Study)</w:t>
            </w:r>
            <w:r w:rsidR="00295F8D">
              <w:t>:</w:t>
            </w:r>
            <w:r>
              <w:t xml:space="preserve"> paraquat use correlated with self-reported wheeze in the </w:t>
            </w:r>
            <w:r w:rsidR="000C1D68">
              <w:t xml:space="preserve">previous </w:t>
            </w:r>
            <w:r>
              <w:t xml:space="preserve">12 </w:t>
            </w:r>
            <w:proofErr w:type="spellStart"/>
            <w:r>
              <w:t>mo</w:t>
            </w:r>
            <w:proofErr w:type="spellEnd"/>
            <w:r>
              <w:t>; no further information</w:t>
            </w:r>
          </w:p>
          <w:p w14:paraId="3C39399B" w14:textId="77777777" w:rsidR="00EF167D" w:rsidRDefault="00EF167D" w:rsidP="000D2FDF">
            <w:pPr>
              <w:pStyle w:val="ListBullet"/>
              <w:spacing w:before="60" w:after="60"/>
              <w:ind w:left="720"/>
              <w:contextualSpacing w:val="0"/>
            </w:pPr>
            <w:r>
              <w:t>No associations with airborne paraquat concentration on spraying days of 0.218 mg/m</w:t>
            </w:r>
            <w:r w:rsidRPr="00EF167D">
              <w:rPr>
                <w:vertAlign w:val="superscript"/>
              </w:rPr>
              <w:t>3</w:t>
            </w:r>
            <w:r>
              <w:t xml:space="preserve"> (0.002–1.032 mg/m</w:t>
            </w:r>
            <w:r>
              <w:rPr>
                <w:vertAlign w:val="superscript"/>
              </w:rPr>
              <w:t>3</w:t>
            </w:r>
            <w:r>
              <w:t>) and urine paraquat concentrations</w:t>
            </w:r>
          </w:p>
          <w:p w14:paraId="7A63B60A" w14:textId="634C9B78" w:rsidR="00EF167D" w:rsidRPr="00276A2A" w:rsidRDefault="00EF167D" w:rsidP="000D2FDF">
            <w:pPr>
              <w:pStyle w:val="ListBullet"/>
              <w:spacing w:before="60" w:after="60"/>
              <w:ind w:left="720"/>
              <w:contextualSpacing w:val="0"/>
            </w:pPr>
            <w:r>
              <w:t>Mixed conclusions about the potential role of paraquat to initiate or potentiate the development of Parkinson</w:t>
            </w:r>
            <w:r w:rsidR="001353D2">
              <w:t>’s</w:t>
            </w:r>
            <w:r>
              <w:t xml:space="preserve"> Disease</w:t>
            </w:r>
            <w:r w:rsidR="00B02ECB">
              <w:t>.</w:t>
            </w:r>
          </w:p>
          <w:p w14:paraId="5E4B8974" w14:textId="77777777" w:rsidR="00835850" w:rsidRDefault="00E72125" w:rsidP="00B02ECB">
            <w:pPr>
              <w:pStyle w:val="Tabletextprimarysource"/>
            </w:pPr>
            <w:r>
              <w:t>Animal data:</w:t>
            </w:r>
          </w:p>
          <w:p w14:paraId="12E50FAB" w14:textId="1570CC39" w:rsidR="00E72125" w:rsidRDefault="00E72125" w:rsidP="000D2FDF">
            <w:pPr>
              <w:pStyle w:val="ListBullet"/>
              <w:spacing w:before="60" w:after="60"/>
              <w:ind w:left="720"/>
              <w:contextualSpacing w:val="0"/>
            </w:pPr>
            <w:r w:rsidRPr="000D2FDF">
              <w:t>LD</w:t>
            </w:r>
            <w:r w:rsidR="000D2FDF" w:rsidRPr="000D2FDF">
              <w:rPr>
                <w:vertAlign w:val="subscript"/>
              </w:rPr>
              <w:t>50</w:t>
            </w:r>
            <w:r w:rsidR="000D2FDF">
              <w:t>:</w:t>
            </w:r>
            <w:r w:rsidR="00F60E0C">
              <w:t xml:space="preserve"> </w:t>
            </w:r>
            <w:r w:rsidRPr="000D2FDF">
              <w:t>80</w:t>
            </w:r>
            <w:r w:rsidR="000D2FDF">
              <w:t xml:space="preserve"> mg/kg (</w:t>
            </w:r>
            <w:r>
              <w:t>male rats</w:t>
            </w:r>
            <w:r w:rsidR="000D2FDF">
              <w:t>, dermal)</w:t>
            </w:r>
          </w:p>
          <w:p w14:paraId="7896D581" w14:textId="77777777" w:rsidR="0091272E" w:rsidRDefault="0091272E" w:rsidP="000D2FDF">
            <w:pPr>
              <w:pStyle w:val="ListBullet"/>
              <w:spacing w:before="60" w:after="60"/>
              <w:ind w:left="720"/>
              <w:contextualSpacing w:val="0"/>
            </w:pPr>
            <w:r>
              <w:t>No induction of dermal sensitisation in guinea pigs</w:t>
            </w:r>
          </w:p>
          <w:p w14:paraId="6095478D" w14:textId="77777777" w:rsidR="001353D2" w:rsidRDefault="00E72125" w:rsidP="000D2FDF">
            <w:pPr>
              <w:pStyle w:val="ListBullet"/>
              <w:spacing w:before="60" w:after="60"/>
              <w:ind w:left="720"/>
              <w:contextualSpacing w:val="0"/>
            </w:pPr>
            <w:r>
              <w:t>In rats, single 6</w:t>
            </w:r>
            <w:r w:rsidR="00B02ECB">
              <w:t xml:space="preserve"> </w:t>
            </w:r>
            <w:r>
              <w:t>h exposure at 1.3 mg/m</w:t>
            </w:r>
            <w:r w:rsidRPr="00E72125">
              <w:rPr>
                <w:vertAlign w:val="superscript"/>
              </w:rPr>
              <w:t>3</w:t>
            </w:r>
            <w:r>
              <w:t xml:space="preserve"> resulted in death</w:t>
            </w:r>
          </w:p>
          <w:p w14:paraId="3515C474" w14:textId="03CA031D" w:rsidR="001353D2" w:rsidRDefault="00E72125" w:rsidP="00C57B39">
            <w:pPr>
              <w:pStyle w:val="ListBullet"/>
              <w:numPr>
                <w:ilvl w:val="0"/>
                <w:numId w:val="17"/>
              </w:numPr>
              <w:spacing w:before="60" w:after="60"/>
              <w:contextualSpacing w:val="0"/>
            </w:pPr>
            <w:r>
              <w:t>not</w:t>
            </w:r>
            <w:r w:rsidR="001353D2">
              <w:t xml:space="preserve"> reported</w:t>
            </w:r>
            <w:r>
              <w:t xml:space="preserve"> at 0.75 mg/m</w:t>
            </w:r>
            <w:r w:rsidRPr="00E72125">
              <w:rPr>
                <w:vertAlign w:val="superscript"/>
              </w:rPr>
              <w:t>3</w:t>
            </w:r>
          </w:p>
          <w:p w14:paraId="4D89B384" w14:textId="555DDECB" w:rsidR="00E72125" w:rsidRDefault="00E72125" w:rsidP="00C57B39">
            <w:pPr>
              <w:pStyle w:val="ListBullet"/>
              <w:numPr>
                <w:ilvl w:val="0"/>
                <w:numId w:val="17"/>
              </w:numPr>
              <w:spacing w:before="60" w:after="60"/>
              <w:contextualSpacing w:val="0"/>
            </w:pPr>
            <w:r>
              <w:t>repeated daily 6</w:t>
            </w:r>
            <w:r w:rsidR="00B02ECB">
              <w:t xml:space="preserve"> </w:t>
            </w:r>
            <w:r>
              <w:t>h exposures at 0.75 mg/m</w:t>
            </w:r>
            <w:r w:rsidRPr="00E72125">
              <w:rPr>
                <w:vertAlign w:val="superscript"/>
              </w:rPr>
              <w:t>3</w:t>
            </w:r>
            <w:r>
              <w:t xml:space="preserve">; caused shallow, rapid breathing after </w:t>
            </w:r>
            <w:r w:rsidR="001353D2">
              <w:t>2 </w:t>
            </w:r>
            <w:r>
              <w:t>d; mortality after 4 d of exposures</w:t>
            </w:r>
          </w:p>
          <w:p w14:paraId="36B8C052" w14:textId="77777777" w:rsidR="00E72125" w:rsidRDefault="00337D00" w:rsidP="000D2FDF">
            <w:pPr>
              <w:pStyle w:val="ListBullet"/>
              <w:spacing w:before="60" w:after="60"/>
              <w:ind w:left="720"/>
              <w:contextualSpacing w:val="0"/>
            </w:pPr>
            <w:r>
              <w:t>NOAEC</w:t>
            </w:r>
            <w:r w:rsidR="00AE02D5">
              <w:t xml:space="preserve"> of 0.1 mg/m</w:t>
            </w:r>
            <w:r w:rsidR="00AE02D5">
              <w:rPr>
                <w:vertAlign w:val="superscript"/>
              </w:rPr>
              <w:t>3</w:t>
            </w:r>
            <w:r w:rsidR="00AE02D5">
              <w:t xml:space="preserve"> in rats based on clinical signs of wheeze and pulmonary irritations; 3</w:t>
            </w:r>
            <w:r w:rsidR="00B02ECB">
              <w:t> </w:t>
            </w:r>
            <w:proofErr w:type="spellStart"/>
            <w:r w:rsidR="00AE02D5">
              <w:t>wk</w:t>
            </w:r>
            <w:proofErr w:type="spellEnd"/>
            <w:r w:rsidR="00AE02D5">
              <w:t xml:space="preserve"> inhalation study, daily 6</w:t>
            </w:r>
            <w:r w:rsidR="00B02ECB">
              <w:t xml:space="preserve"> </w:t>
            </w:r>
            <w:r w:rsidR="00AE02D5">
              <w:t>h exposures; daily 1</w:t>
            </w:r>
            <w:r w:rsidR="00B02ECB">
              <w:t xml:space="preserve"> h</w:t>
            </w:r>
            <w:r w:rsidR="00AE02D5">
              <w:t xml:space="preserve"> exposure at 0.65 mg/m</w:t>
            </w:r>
            <w:r w:rsidR="00AE02D5">
              <w:rPr>
                <w:vertAlign w:val="superscript"/>
              </w:rPr>
              <w:t>3</w:t>
            </w:r>
            <w:r w:rsidR="00AE02D5">
              <w:t xml:space="preserve"> induced pulmonary haemorrhage</w:t>
            </w:r>
          </w:p>
          <w:p w14:paraId="01C4227E" w14:textId="6EA83D30" w:rsidR="001353D2" w:rsidRDefault="00FB181C" w:rsidP="000D2FDF">
            <w:pPr>
              <w:pStyle w:val="ListBullet"/>
              <w:spacing w:before="60" w:after="60"/>
              <w:ind w:left="720"/>
              <w:contextualSpacing w:val="0"/>
            </w:pPr>
            <w:r>
              <w:t>NOAEL of 4.74 mg/kg/d</w:t>
            </w:r>
            <w:r w:rsidR="00444F14">
              <w:t xml:space="preserve"> (paraquat ion)</w:t>
            </w:r>
            <w:r>
              <w:t>, 13</w:t>
            </w:r>
            <w:r w:rsidR="00B02ECB">
              <w:t xml:space="preserve"> </w:t>
            </w:r>
            <w:proofErr w:type="spellStart"/>
            <w:r>
              <w:t>wk</w:t>
            </w:r>
            <w:proofErr w:type="spellEnd"/>
            <w:r>
              <w:t xml:space="preserve"> dietary intake</w:t>
            </w:r>
            <w:r w:rsidR="00822362">
              <w:t xml:space="preserve"> in rats</w:t>
            </w:r>
          </w:p>
          <w:p w14:paraId="68B6DCCF" w14:textId="365E2872" w:rsidR="00AE02D5" w:rsidRDefault="00FB181C" w:rsidP="00C57B39">
            <w:pPr>
              <w:pStyle w:val="ListBullet"/>
              <w:numPr>
                <w:ilvl w:val="0"/>
                <w:numId w:val="18"/>
              </w:numPr>
              <w:spacing w:before="60" w:after="60"/>
              <w:contextualSpacing w:val="0"/>
            </w:pPr>
            <w:r>
              <w:t>LOAEL of 14.2 mg/kg</w:t>
            </w:r>
            <w:r w:rsidR="000C1D68">
              <w:t>/</w:t>
            </w:r>
            <w:r>
              <w:t xml:space="preserve">d for alveolar epithelial hypertrophy and decreased </w:t>
            </w:r>
            <w:r w:rsidR="000C1D68">
              <w:t>body weight</w:t>
            </w:r>
            <w:r>
              <w:t>; no further information</w:t>
            </w:r>
          </w:p>
          <w:p w14:paraId="661EA0BE" w14:textId="4310250D" w:rsidR="001353D2" w:rsidRDefault="00FB181C" w:rsidP="000D2FDF">
            <w:pPr>
              <w:pStyle w:val="ListBullet"/>
              <w:spacing w:before="60" w:after="60"/>
              <w:ind w:left="720"/>
              <w:contextualSpacing w:val="0"/>
            </w:pPr>
            <w:r>
              <w:t>NOAEL of 8.33 mg/kg ion/d</w:t>
            </w:r>
            <w:r w:rsidR="00034642">
              <w:t xml:space="preserve"> </w:t>
            </w:r>
            <w:r w:rsidR="00444F14">
              <w:t xml:space="preserve">(paraquat ion) </w:t>
            </w:r>
            <w:r w:rsidR="00034642">
              <w:t>13</w:t>
            </w:r>
            <w:r w:rsidR="00B02ECB">
              <w:t xml:space="preserve"> </w:t>
            </w:r>
            <w:proofErr w:type="spellStart"/>
            <w:r w:rsidR="00034642">
              <w:t>wk</w:t>
            </w:r>
            <w:proofErr w:type="spellEnd"/>
            <w:r w:rsidR="00034642">
              <w:t xml:space="preserve"> dietary intake</w:t>
            </w:r>
            <w:r w:rsidR="001353D2">
              <w:t xml:space="preserve"> in mice</w:t>
            </w:r>
          </w:p>
          <w:p w14:paraId="4A41D4EE" w14:textId="55426A70" w:rsidR="00FB181C" w:rsidRDefault="00FB181C" w:rsidP="00C57B39">
            <w:pPr>
              <w:pStyle w:val="ListBullet"/>
              <w:numPr>
                <w:ilvl w:val="0"/>
                <w:numId w:val="18"/>
              </w:numPr>
              <w:spacing w:before="60" w:after="60"/>
              <w:contextualSpacing w:val="0"/>
            </w:pPr>
            <w:r>
              <w:t>LOAEL of 25.9 mg/kg/d</w:t>
            </w:r>
            <w:r w:rsidR="00444F14">
              <w:t xml:space="preserve"> (paraquat ion)</w:t>
            </w:r>
            <w:r>
              <w:t>; no further details</w:t>
            </w:r>
          </w:p>
          <w:p w14:paraId="5A927F3B" w14:textId="65ADE456" w:rsidR="00FB181C" w:rsidRDefault="0091272E" w:rsidP="000D2FDF">
            <w:pPr>
              <w:pStyle w:val="ListBullet"/>
              <w:spacing w:before="60" w:after="60"/>
              <w:ind w:left="720"/>
              <w:contextualSpacing w:val="0"/>
            </w:pPr>
            <w:r>
              <w:lastRenderedPageBreak/>
              <w:t xml:space="preserve">No neurobehavioral or neurotoxic effects identified following 13 </w:t>
            </w:r>
            <w:proofErr w:type="spellStart"/>
            <w:r>
              <w:t>wk</w:t>
            </w:r>
            <w:proofErr w:type="spellEnd"/>
            <w:r>
              <w:t xml:space="preserve"> continuous dietary exposure </w:t>
            </w:r>
            <w:r w:rsidR="001353D2">
              <w:t xml:space="preserve">in </w:t>
            </w:r>
            <w:r>
              <w:t xml:space="preserve">mice to </w:t>
            </w:r>
            <w:r w:rsidR="000D2FDF">
              <w:t>~</w:t>
            </w:r>
            <w:r>
              <w:t>10 mg/kg/</w:t>
            </w:r>
            <w:proofErr w:type="gramStart"/>
            <w:r>
              <w:t>d;</w:t>
            </w:r>
            <w:proofErr w:type="gramEnd"/>
            <w:r>
              <w:t xml:space="preserve"> no further information</w:t>
            </w:r>
          </w:p>
          <w:p w14:paraId="4127F34B" w14:textId="77777777" w:rsidR="0091272E" w:rsidRDefault="0091272E" w:rsidP="000D2FDF">
            <w:pPr>
              <w:pStyle w:val="ListBullet"/>
              <w:spacing w:before="60" w:after="60"/>
              <w:ind w:left="720"/>
              <w:contextualSpacing w:val="0"/>
            </w:pPr>
            <w:r>
              <w:t>No clear evidence of carcinogenicity in animals</w:t>
            </w:r>
          </w:p>
          <w:p w14:paraId="34AD5D90" w14:textId="398FEB53" w:rsidR="0091272E" w:rsidRDefault="00444F14" w:rsidP="000D2FDF">
            <w:pPr>
              <w:pStyle w:val="ListBullet"/>
              <w:spacing w:before="60" w:after="60"/>
              <w:ind w:left="720"/>
              <w:contextualSpacing w:val="0"/>
            </w:pPr>
            <w:r>
              <w:t>Non- genotoxic</w:t>
            </w:r>
          </w:p>
          <w:p w14:paraId="79EB2491" w14:textId="77777777" w:rsidR="0091272E" w:rsidRDefault="0091272E" w:rsidP="000D2FDF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Low teratogenic potential in mice </w:t>
            </w:r>
            <w:r w:rsidRPr="00C57B39">
              <w:rPr>
                <w:i/>
              </w:rPr>
              <w:t>via</w:t>
            </w:r>
            <w:r>
              <w:t xml:space="preserve"> gavage or IP injection</w:t>
            </w:r>
            <w:r w:rsidR="00B02ECB">
              <w:t>.</w:t>
            </w:r>
          </w:p>
          <w:p w14:paraId="4CE6C4EA" w14:textId="77777777" w:rsidR="005C4F86" w:rsidRDefault="005C4F86" w:rsidP="000D2FDF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4C1D10C3" w14:textId="77777777" w:rsidR="0091272E" w:rsidRDefault="0091272E" w:rsidP="000D2FDF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Insufficient evidence to recommend a TLV-STEL</w:t>
            </w:r>
            <w:r w:rsidR="00B02ECB">
              <w:t>.</w:t>
            </w:r>
          </w:p>
          <w:p w14:paraId="1218D4D2" w14:textId="77777777" w:rsidR="005C4F86" w:rsidRPr="00276A2A" w:rsidRDefault="005C4F86" w:rsidP="000D2FDF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3D05A37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FA877B8" w14:textId="77777777" w:rsidR="00C978F0" w:rsidRPr="00DA352E" w:rsidRDefault="00DA352E" w:rsidP="000D2FD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0A2FA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0A2FAB">
                  <w:t>NA</w:t>
                </w:r>
                <w:proofErr w:type="spellEnd"/>
              </w:sdtContent>
            </w:sdt>
          </w:p>
        </w:tc>
      </w:tr>
      <w:tr w:rsidR="00C978F0" w:rsidRPr="00DA352E" w14:paraId="533B3E6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C5DBD7E" w14:textId="77777777" w:rsidR="00C978F0" w:rsidRPr="00DA352E" w:rsidRDefault="000A2FAB" w:rsidP="00B02ECB">
            <w:pPr>
              <w:pStyle w:val="Tabletextprimarysource"/>
            </w:pPr>
            <w:r>
              <w:t>No report</w:t>
            </w:r>
            <w:r w:rsidR="00B02ECB">
              <w:t>.</w:t>
            </w:r>
          </w:p>
        </w:tc>
      </w:tr>
      <w:tr w:rsidR="00C978F0" w:rsidRPr="00DA352E" w14:paraId="7A9A80E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2D5AEAA" w14:textId="77777777" w:rsidR="00C978F0" w:rsidRPr="00DA352E" w:rsidRDefault="00DA352E" w:rsidP="000D2FD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0A2FA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0A2FAB">
                  <w:t>NA</w:t>
                </w:r>
                <w:proofErr w:type="spellEnd"/>
              </w:sdtContent>
            </w:sdt>
          </w:p>
        </w:tc>
      </w:tr>
      <w:tr w:rsidR="00C978F0" w:rsidRPr="00DA352E" w14:paraId="5EFF8FD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4501342" w14:textId="77777777" w:rsidR="00C978F0" w:rsidRPr="00DA352E" w:rsidRDefault="000A2FAB" w:rsidP="00B02ECB">
            <w:pPr>
              <w:pStyle w:val="Tabletextprimarysource"/>
            </w:pPr>
            <w:r>
              <w:t>No report</w:t>
            </w:r>
            <w:r w:rsidR="00B02ECB">
              <w:t>.</w:t>
            </w:r>
          </w:p>
        </w:tc>
      </w:tr>
      <w:tr w:rsidR="00DA352E" w:rsidRPr="00DA352E" w14:paraId="1926709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3DDBD0" w14:textId="77777777" w:rsidR="00DA352E" w:rsidRPr="00DA352E" w:rsidRDefault="00DA352E" w:rsidP="000D2FD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D493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5D4938">
                  <w:t>NA</w:t>
                </w:r>
                <w:proofErr w:type="spellEnd"/>
              </w:sdtContent>
            </w:sdt>
          </w:p>
        </w:tc>
      </w:tr>
      <w:tr w:rsidR="00DA352E" w:rsidRPr="00DA352E" w14:paraId="650E650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2BA02E8" w14:textId="77777777" w:rsidR="00DA352E" w:rsidRPr="00DA352E" w:rsidRDefault="005D4938" w:rsidP="00B02ECB">
            <w:pPr>
              <w:pStyle w:val="Tabletextprimarysource"/>
            </w:pPr>
            <w:r>
              <w:t>No report</w:t>
            </w:r>
            <w:r w:rsidR="00B02ECB">
              <w:t>.</w:t>
            </w:r>
          </w:p>
        </w:tc>
      </w:tr>
      <w:tr w:rsidR="00DA352E" w:rsidRPr="00DA352E" w14:paraId="3699A54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445D8C3" w14:textId="77777777" w:rsidR="00DA352E" w:rsidRPr="00DA352E" w:rsidRDefault="00DA352E" w:rsidP="000D2FD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D493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5D4938">
                  <w:t>NA</w:t>
                </w:r>
                <w:proofErr w:type="spellEnd"/>
              </w:sdtContent>
            </w:sdt>
          </w:p>
        </w:tc>
      </w:tr>
      <w:tr w:rsidR="00DA352E" w:rsidRPr="00DA352E" w14:paraId="59417C6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F66791F" w14:textId="77777777" w:rsidR="00DA352E" w:rsidRPr="00DA352E" w:rsidRDefault="005D4938" w:rsidP="00B02ECB">
            <w:pPr>
              <w:pStyle w:val="Tabletextprimarysource"/>
            </w:pPr>
            <w:r>
              <w:t>No report</w:t>
            </w:r>
            <w:r w:rsidR="00B02ECB">
              <w:t>.</w:t>
            </w:r>
          </w:p>
        </w:tc>
      </w:tr>
    </w:tbl>
    <w:p w14:paraId="404EECC3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1"/>
        <w:gridCol w:w="423"/>
        <w:gridCol w:w="661"/>
        <w:gridCol w:w="6451"/>
      </w:tblGrid>
      <w:tr w:rsidR="004966BF" w:rsidRPr="00263255" w14:paraId="790DCFED" w14:textId="77777777" w:rsidTr="009E583D">
        <w:trPr>
          <w:cantSplit/>
          <w:trHeight w:val="393"/>
          <w:tblHeader/>
        </w:trPr>
        <w:tc>
          <w:tcPr>
            <w:tcW w:w="1491" w:type="dxa"/>
            <w:shd w:val="clear" w:color="auto" w:fill="BFBFBF" w:themeFill="background1" w:themeFillShade="BF"/>
            <w:vAlign w:val="center"/>
          </w:tcPr>
          <w:p w14:paraId="2EDDD127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0EAD969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477EFE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783A8BB0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CF90142" w14:textId="77777777" w:rsidTr="009E583D">
        <w:trPr>
          <w:cantSplit/>
        </w:trPr>
        <w:tc>
          <w:tcPr>
            <w:tcW w:w="1491" w:type="dxa"/>
          </w:tcPr>
          <w:p w14:paraId="21EEB401" w14:textId="77777777" w:rsidR="004966BF" w:rsidRPr="004C23F4" w:rsidRDefault="004966BF" w:rsidP="00224EE2">
            <w:pPr>
              <w:pStyle w:val="Tablefont"/>
            </w:pPr>
            <w:r>
              <w:t>APVMA</w:t>
            </w:r>
          </w:p>
        </w:tc>
        <w:tc>
          <w:tcPr>
            <w:tcW w:w="423" w:type="dxa"/>
          </w:tcPr>
          <w:p w14:paraId="5D7C5C69" w14:textId="77777777" w:rsidR="004966BF" w:rsidRPr="00CE617F" w:rsidRDefault="003839A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864932884"/>
                <w:placeholder>
                  <w:docPart w:val="CC96E8CFB35445F7B98574D62F848316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B57D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6F1FE04" w14:textId="77777777" w:rsidR="004966BF" w:rsidRPr="004C23F4" w:rsidRDefault="006B57D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1" w:type="dxa"/>
          </w:tcPr>
          <w:p w14:paraId="0CAA9914" w14:textId="77777777" w:rsidR="004966BF" w:rsidRDefault="006B57DD" w:rsidP="000D2FDF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 w:rsidRPr="000D2FDF">
              <w:t>NOEC</w:t>
            </w:r>
            <w:r>
              <w:rPr>
                <w:rStyle w:val="checkbox"/>
                <w:rFonts w:ascii="Arial" w:hAnsi="Arial" w:cs="Arial"/>
              </w:rPr>
              <w:t xml:space="preserve"> of 0.01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; 21</w:t>
            </w:r>
            <w:r w:rsidR="00B02ECB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d rat whole body exposure; no further information</w:t>
            </w:r>
          </w:p>
          <w:p w14:paraId="07BF3B88" w14:textId="77777777" w:rsidR="006B57DD" w:rsidRDefault="00B02ECB" w:rsidP="000D2FDF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t>C</w:t>
            </w:r>
            <w:r w:rsidR="00034642" w:rsidRPr="000D2FDF">
              <w:t>oncludes</w:t>
            </w:r>
            <w:r w:rsidR="00034642" w:rsidRPr="00034642">
              <w:rPr>
                <w:rStyle w:val="checkbox"/>
                <w:rFonts w:ascii="Arial" w:hAnsi="Arial" w:cs="Arial"/>
              </w:rPr>
              <w:t xml:space="preserve"> that </w:t>
            </w:r>
            <w:r w:rsidR="00034642" w:rsidRPr="005C4F86">
              <w:rPr>
                <w:rStyle w:val="checkbox"/>
                <w:rFonts w:ascii="Arial" w:hAnsi="Arial" w:cs="Arial"/>
              </w:rPr>
              <w:t>“</w:t>
            </w:r>
            <w:r w:rsidR="00034642" w:rsidRPr="00C57B39">
              <w:rPr>
                <w:rStyle w:val="checkbox"/>
                <w:rFonts w:ascii="Arial" w:hAnsi="Arial" w:cs="Arial"/>
              </w:rPr>
              <w:t>despite some positive weak trend data, the available epidemiology data is insufficient to conclude any association between paraquat exposure and neurotoxicity (including Parkinson’s disease) in the occupational environment</w:t>
            </w:r>
            <w:r w:rsidR="00034642" w:rsidRPr="005C4F86">
              <w:rPr>
                <w:rStyle w:val="checkbox"/>
                <w:rFonts w:ascii="Arial" w:hAnsi="Arial" w:cs="Arial"/>
              </w:rPr>
              <w:t>”</w:t>
            </w:r>
          </w:p>
          <w:p w14:paraId="4E5B8AC6" w14:textId="77777777" w:rsidR="00034642" w:rsidRPr="006449C8" w:rsidRDefault="00034642" w:rsidP="000D2FDF">
            <w:pPr>
              <w:pStyle w:val="ListBullet"/>
              <w:spacing w:before="60" w:after="60"/>
              <w:ind w:left="720"/>
              <w:contextualSpacing w:val="0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>1</w:t>
            </w:r>
            <w:r w:rsidR="00B02ECB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 xml:space="preserve">yr dog </w:t>
            </w:r>
            <w:r w:rsidRPr="000D2FDF">
              <w:t>study</w:t>
            </w:r>
            <w:r>
              <w:rPr>
                <w:rStyle w:val="checkbox"/>
                <w:rFonts w:ascii="Arial" w:hAnsi="Arial" w:cs="Arial"/>
              </w:rPr>
              <w:t xml:space="preserve">, dietary daily; </w:t>
            </w:r>
            <w:r>
              <w:t xml:space="preserve">M/F: </w:t>
            </w:r>
            <w:r w:rsidRPr="004C1D13">
              <w:t>0, 0.45/0.48, 0.9/10 or 1.5/1.6</w:t>
            </w:r>
            <w:r>
              <w:t xml:space="preserve"> mg/kg/d; </w:t>
            </w:r>
            <w:r>
              <w:rPr>
                <w:rStyle w:val="checkbox"/>
                <w:rFonts w:ascii="Arial" w:hAnsi="Arial" w:cs="Arial"/>
              </w:rPr>
              <w:t xml:space="preserve">NOEL of 0.45 mg/kg/d; LOEL of 0.9 mg/kg/d </w:t>
            </w:r>
            <w:r w:rsidRPr="004C1D13">
              <w:t>pulmonary lesions associated with chronic pneumonitis</w:t>
            </w:r>
            <w:r w:rsidR="006449C8">
              <w:t>; lowest NOEL and LOEL of all dietary studies reviewed</w:t>
            </w:r>
          </w:p>
          <w:p w14:paraId="28E7BAE1" w14:textId="4CA6DB0B" w:rsidR="006449C8" w:rsidRPr="004C23F4" w:rsidRDefault="006449C8" w:rsidP="000D2FDF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t>Australian ADI is 0.004 mg/kg/</w:t>
            </w:r>
            <w:proofErr w:type="gramStart"/>
            <w:r>
              <w:t>d;</w:t>
            </w:r>
            <w:proofErr w:type="gramEnd"/>
            <w:r>
              <w:t xml:space="preserve"> established by application of a 100-fold safety factor to the NOEL of 0.45 mg/kg/d</w:t>
            </w:r>
            <w:r w:rsidR="00B02ECB">
              <w:t>.</w:t>
            </w:r>
            <w:r>
              <w:t xml:space="preserve"> </w:t>
            </w:r>
          </w:p>
        </w:tc>
      </w:tr>
    </w:tbl>
    <w:bookmarkEnd w:id="0"/>
    <w:p w14:paraId="57B231AB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5C99788" w14:textId="77777777" w:rsidTr="006B57DD">
        <w:trPr>
          <w:trHeight w:val="454"/>
          <w:tblHeader/>
        </w:trPr>
        <w:tc>
          <w:tcPr>
            <w:tcW w:w="6603" w:type="dxa"/>
            <w:vAlign w:val="center"/>
          </w:tcPr>
          <w:p w14:paraId="6A284E27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74B10A0" w14:textId="77777777" w:rsidR="002E0D61" w:rsidRDefault="006B57D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04F65C5" w14:textId="77777777" w:rsidTr="006B57D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1C6E1DF" w14:textId="77777777" w:rsidR="008A36CF" w:rsidRPr="006901A2" w:rsidRDefault="006B57DD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65D3FAF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50FFE51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B69B86E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404C235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59B21B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35A2900" w14:textId="77777777" w:rsidTr="00812887">
        <w:trPr>
          <w:cantSplit/>
        </w:trPr>
        <w:tc>
          <w:tcPr>
            <w:tcW w:w="3227" w:type="dxa"/>
          </w:tcPr>
          <w:p w14:paraId="51D5485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E44756F" w14:textId="77777777" w:rsidR="00687890" w:rsidRPr="00DD2F9B" w:rsidRDefault="0035749A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7FB94409" w14:textId="77777777" w:rsidTr="00812887">
        <w:trPr>
          <w:cantSplit/>
        </w:trPr>
        <w:tc>
          <w:tcPr>
            <w:tcW w:w="3227" w:type="dxa"/>
          </w:tcPr>
          <w:p w14:paraId="54E39A46" w14:textId="77777777" w:rsidR="004079B4" w:rsidRPr="004C23F4" w:rsidRDefault="007925F0" w:rsidP="00F4402E">
            <w:pPr>
              <w:pStyle w:val="Tablefont"/>
            </w:pPr>
            <w:r>
              <w:lastRenderedPageBreak/>
              <w:t>HCIS</w:t>
            </w:r>
          </w:p>
        </w:tc>
        <w:tc>
          <w:tcPr>
            <w:tcW w:w="6015" w:type="dxa"/>
          </w:tcPr>
          <w:p w14:paraId="3AA24EE4" w14:textId="77777777" w:rsidR="007925F0" w:rsidRPr="00DD2F9B" w:rsidRDefault="0035749A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E8BFBB4" w14:textId="77777777" w:rsidTr="00812887">
        <w:trPr>
          <w:cantSplit/>
        </w:trPr>
        <w:tc>
          <w:tcPr>
            <w:tcW w:w="3227" w:type="dxa"/>
          </w:tcPr>
          <w:p w14:paraId="01740AD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BD11127" w14:textId="77777777" w:rsidR="00AF483F" w:rsidRPr="00DD2F9B" w:rsidRDefault="005D493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30F2D50" w14:textId="77777777" w:rsidTr="00812887">
        <w:trPr>
          <w:cantSplit/>
        </w:trPr>
        <w:tc>
          <w:tcPr>
            <w:tcW w:w="3227" w:type="dxa"/>
          </w:tcPr>
          <w:p w14:paraId="5B441B5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ED957EE" w14:textId="77777777" w:rsidR="00687890" w:rsidRPr="00DD2F9B" w:rsidRDefault="005D493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7229606" w14:textId="77777777" w:rsidTr="00812887">
        <w:trPr>
          <w:cantSplit/>
        </w:trPr>
        <w:tc>
          <w:tcPr>
            <w:tcW w:w="3227" w:type="dxa"/>
          </w:tcPr>
          <w:p w14:paraId="084A2677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FB252E3" w14:textId="77777777" w:rsidR="00E41A26" w:rsidRPr="00DD2F9B" w:rsidRDefault="005D493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8E503A7" w14:textId="77777777" w:rsidTr="00812887">
        <w:trPr>
          <w:cantSplit/>
        </w:trPr>
        <w:tc>
          <w:tcPr>
            <w:tcW w:w="3227" w:type="dxa"/>
          </w:tcPr>
          <w:p w14:paraId="24E2299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3615ACC" w14:textId="77777777" w:rsidR="002E0D61" w:rsidRPr="00DD2F9B" w:rsidRDefault="0035749A" w:rsidP="00DD2F9B">
            <w:pPr>
              <w:pStyle w:val="Tablefont"/>
            </w:pPr>
            <w:r w:rsidRPr="0035749A">
              <w:t>Carcinogenicity – A4</w:t>
            </w:r>
            <w:r>
              <w:t>, Skin</w:t>
            </w:r>
          </w:p>
        </w:tc>
      </w:tr>
      <w:tr w:rsidR="002E0D61" w:rsidRPr="004C23F4" w14:paraId="5FB3B22C" w14:textId="77777777" w:rsidTr="00812887">
        <w:trPr>
          <w:cantSplit/>
        </w:trPr>
        <w:tc>
          <w:tcPr>
            <w:tcW w:w="3227" w:type="dxa"/>
          </w:tcPr>
          <w:p w14:paraId="24C9D258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D97480B" w14:textId="77777777" w:rsidR="002E0D61" w:rsidRPr="00DD2F9B" w:rsidRDefault="005D4938" w:rsidP="005D4938">
            <w:pPr>
              <w:pStyle w:val="Tablefont"/>
            </w:pPr>
            <w:r>
              <w:t>NA</w:t>
            </w:r>
          </w:p>
        </w:tc>
      </w:tr>
      <w:tr w:rsidR="002E0D61" w:rsidRPr="004C23F4" w14:paraId="229A58A8" w14:textId="77777777" w:rsidTr="00812887">
        <w:trPr>
          <w:cantSplit/>
        </w:trPr>
        <w:tc>
          <w:tcPr>
            <w:tcW w:w="3227" w:type="dxa"/>
          </w:tcPr>
          <w:p w14:paraId="0BC73CA5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56E46AD" w14:textId="77777777" w:rsidR="002E0D61" w:rsidRPr="00DD2F9B" w:rsidRDefault="005D493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6C68E42" w14:textId="77777777" w:rsidTr="00812887">
        <w:trPr>
          <w:cantSplit/>
        </w:trPr>
        <w:tc>
          <w:tcPr>
            <w:tcW w:w="3227" w:type="dxa"/>
          </w:tcPr>
          <w:p w14:paraId="1647D79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D274673" w14:textId="77777777" w:rsidR="002E0D61" w:rsidRPr="00DD2F9B" w:rsidRDefault="005D493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66FBA7C" w14:textId="77777777" w:rsidTr="00812887">
        <w:trPr>
          <w:cantSplit/>
        </w:trPr>
        <w:tc>
          <w:tcPr>
            <w:tcW w:w="3227" w:type="dxa"/>
          </w:tcPr>
          <w:p w14:paraId="4A4C43B5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ACE4667" w14:textId="77777777" w:rsidR="00386093" w:rsidRPr="00DD2F9B" w:rsidRDefault="00466D7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B4BAC64" w14:textId="77777777" w:rsidTr="00812887">
        <w:trPr>
          <w:cantSplit/>
        </w:trPr>
        <w:tc>
          <w:tcPr>
            <w:tcW w:w="3227" w:type="dxa"/>
          </w:tcPr>
          <w:p w14:paraId="0751CB3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7EEB2BB" w14:textId="77777777" w:rsidR="00386093" w:rsidRPr="00DD2F9B" w:rsidRDefault="00466D7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12146DB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4A800D2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F731FD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C345A2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2DF4F11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81" w:type="dxa"/>
              <w:tblLook w:val="04A0" w:firstRow="1" w:lastRow="0" w:firstColumn="1" w:lastColumn="0" w:noHBand="0" w:noVBand="1"/>
            </w:tblPr>
            <w:tblGrid>
              <w:gridCol w:w="3827"/>
              <w:gridCol w:w="1128"/>
              <w:gridCol w:w="1128"/>
              <w:gridCol w:w="2727"/>
            </w:tblGrid>
            <w:tr w:rsidR="006B57DD" w:rsidRPr="006B57DD" w14:paraId="587B2DFE" w14:textId="77777777" w:rsidTr="006B57DD">
              <w:trPr>
                <w:trHeight w:val="338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98A816" w14:textId="77777777" w:rsidR="006B57DD" w:rsidRPr="006B57DD" w:rsidRDefault="006B57DD" w:rsidP="006B57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17523F0" w14:textId="77777777" w:rsidR="006B57DD" w:rsidRPr="006B57DD" w:rsidRDefault="006B57DD" w:rsidP="006B57D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F0A71F" w14:textId="77777777" w:rsidR="006B57DD" w:rsidRPr="006B57DD" w:rsidRDefault="006B57DD" w:rsidP="006B57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48308B" w14:textId="77777777" w:rsidR="006B57DD" w:rsidRPr="006B57DD" w:rsidRDefault="006B57DD" w:rsidP="006B57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B57DD" w:rsidRPr="006B57DD" w14:paraId="418ED211" w14:textId="77777777" w:rsidTr="006B57DD">
              <w:trPr>
                <w:trHeight w:val="338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A05FE3" w14:textId="77777777" w:rsidR="006B57DD" w:rsidRPr="006B57DD" w:rsidRDefault="006B57DD" w:rsidP="006B57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B8B4F8D" w14:textId="77777777" w:rsidR="006B57DD" w:rsidRPr="006B57DD" w:rsidRDefault="006B57DD" w:rsidP="006B57D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777DA8" w14:textId="77777777" w:rsidR="006B57DD" w:rsidRPr="006B57DD" w:rsidRDefault="006B57DD" w:rsidP="006B57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7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1C8107" w14:textId="77777777" w:rsidR="006B57DD" w:rsidRPr="006B57DD" w:rsidRDefault="006B57DD" w:rsidP="006B57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B57DD" w:rsidRPr="006B57DD" w14:paraId="02EA0866" w14:textId="77777777" w:rsidTr="006B57DD">
              <w:trPr>
                <w:trHeight w:val="338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1DBEEE" w14:textId="77777777" w:rsidR="006B57DD" w:rsidRPr="006B57DD" w:rsidRDefault="006B57DD" w:rsidP="006B57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326163" w14:textId="77777777" w:rsidR="006B57DD" w:rsidRPr="006B57DD" w:rsidRDefault="006B57DD" w:rsidP="006B57D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CF0441" w14:textId="77777777" w:rsidR="006B57DD" w:rsidRPr="006B57DD" w:rsidRDefault="006B57DD" w:rsidP="006B57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E32407" w14:textId="77777777" w:rsidR="006B57DD" w:rsidRPr="006B57DD" w:rsidRDefault="006B57DD" w:rsidP="006B57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B57DD" w:rsidRPr="006B57DD" w14:paraId="22DA447C" w14:textId="77777777" w:rsidTr="006B57DD">
              <w:trPr>
                <w:trHeight w:val="338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50DB3D" w14:textId="77777777" w:rsidR="006B57DD" w:rsidRPr="006B57DD" w:rsidRDefault="006B57DD" w:rsidP="006B57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F7971E" w14:textId="77777777" w:rsidR="006B57DD" w:rsidRPr="006B57DD" w:rsidRDefault="006B57DD" w:rsidP="006B57D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6D3037" w14:textId="77777777" w:rsidR="006B57DD" w:rsidRPr="006B57DD" w:rsidRDefault="006B57DD" w:rsidP="006B57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DF9169" w14:textId="77777777" w:rsidR="006B57DD" w:rsidRPr="006B57DD" w:rsidRDefault="006B57DD" w:rsidP="006B57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B57DD" w:rsidRPr="006B57DD" w14:paraId="15E2426F" w14:textId="77777777" w:rsidTr="006B57DD">
              <w:trPr>
                <w:trHeight w:val="338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820CA2" w14:textId="77777777" w:rsidR="006B57DD" w:rsidRPr="006B57DD" w:rsidRDefault="006B57DD" w:rsidP="006B57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2B768C" w14:textId="77777777" w:rsidR="006B57DD" w:rsidRPr="006B57DD" w:rsidRDefault="006B57DD" w:rsidP="006B57D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6FAE94" w14:textId="77777777" w:rsidR="006B57DD" w:rsidRPr="006B57DD" w:rsidRDefault="006B57DD" w:rsidP="006B57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8935CF" w14:textId="77777777" w:rsidR="006B57DD" w:rsidRPr="006B57DD" w:rsidRDefault="006B57DD" w:rsidP="006B57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B57DD" w:rsidRPr="006B57DD" w14:paraId="4F60EC51" w14:textId="77777777" w:rsidTr="006B57DD">
              <w:trPr>
                <w:trHeight w:val="338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1B55F2" w14:textId="77777777" w:rsidR="006B57DD" w:rsidRPr="006B57DD" w:rsidRDefault="006B57DD" w:rsidP="006B57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BCF28A" w14:textId="77777777" w:rsidR="006B57DD" w:rsidRPr="006B57DD" w:rsidRDefault="006B57DD" w:rsidP="006B57D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B178DE" w14:textId="77777777" w:rsidR="006B57DD" w:rsidRPr="006B57DD" w:rsidRDefault="006B57DD" w:rsidP="006B57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76A33B" w14:textId="77777777" w:rsidR="006B57DD" w:rsidRPr="006B57DD" w:rsidRDefault="006B57DD" w:rsidP="006B57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B57DD" w:rsidRPr="006B57DD" w14:paraId="6FCC82C1" w14:textId="77777777" w:rsidTr="006B57DD">
              <w:trPr>
                <w:trHeight w:val="338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56D01E" w14:textId="77777777" w:rsidR="006B57DD" w:rsidRPr="006B57DD" w:rsidRDefault="006B57DD" w:rsidP="006B57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7AEFEF" w14:textId="77777777" w:rsidR="006B57DD" w:rsidRPr="006B57DD" w:rsidRDefault="006B57DD" w:rsidP="006B57D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535FEC" w14:textId="77777777" w:rsidR="006B57DD" w:rsidRPr="006B57DD" w:rsidRDefault="006B57DD" w:rsidP="006B57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27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9387C7" w14:textId="77777777" w:rsidR="006B57DD" w:rsidRPr="006B57DD" w:rsidRDefault="006B57DD" w:rsidP="006B57DD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B57DD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13C11F6D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7BE94166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9CE699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E7EDA9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393D7E6" w14:textId="77777777" w:rsidR="00EB3D1B" w:rsidRDefault="00F43EA8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EB6D525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FA1994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71BEB4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51E8A05" w14:textId="77777777" w:rsidR="001B79E5" w:rsidRDefault="0035749A" w:rsidP="001B79E5">
                <w:pPr>
                  <w:pStyle w:val="Tablefont"/>
                </w:pPr>
                <w:r>
                  <w:t>257.18</w:t>
                </w:r>
              </w:p>
            </w:tc>
          </w:sdtContent>
        </w:sdt>
      </w:tr>
      <w:tr w:rsidR="00A31D99" w:rsidRPr="004C23F4" w14:paraId="609558C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5818911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5740FF7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B2A54C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C7CF47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0BC197B" w14:textId="77777777" w:rsidR="00687890" w:rsidRPr="004C23F4" w:rsidRDefault="003B689F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02A3177F" w14:textId="77777777" w:rsidTr="00EA6243">
        <w:trPr>
          <w:cantSplit/>
        </w:trPr>
        <w:tc>
          <w:tcPr>
            <w:tcW w:w="4077" w:type="dxa"/>
            <w:vAlign w:val="center"/>
          </w:tcPr>
          <w:p w14:paraId="72025E7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FEF83E0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D154F43" w14:textId="77777777" w:rsidTr="00EA6243">
        <w:trPr>
          <w:cantSplit/>
        </w:trPr>
        <w:tc>
          <w:tcPr>
            <w:tcW w:w="4077" w:type="dxa"/>
            <w:vAlign w:val="center"/>
          </w:tcPr>
          <w:p w14:paraId="45C924EC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09A5E0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9A749BB" w14:textId="77777777" w:rsidTr="00EA6243">
        <w:trPr>
          <w:cantSplit/>
        </w:trPr>
        <w:tc>
          <w:tcPr>
            <w:tcW w:w="4077" w:type="dxa"/>
            <w:vAlign w:val="center"/>
          </w:tcPr>
          <w:p w14:paraId="458EA3B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C2A9BCA" w14:textId="77777777" w:rsidR="00E06F40" w:rsidRPr="00A006A0" w:rsidRDefault="003839A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1C4715D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F049C8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83DBBD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35D57F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6E207D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EF60CA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04F8D0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8542CE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04AA928" w14:textId="77777777" w:rsidR="008E4F1F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  <w:r w:rsidR="000D2FDF">
        <w:t xml:space="preserve"> </w:t>
      </w:r>
    </w:p>
    <w:p w14:paraId="4B4808D8" w14:textId="77777777" w:rsidR="000D2FDF" w:rsidRPr="00351FE0" w:rsidRDefault="000D2FDF" w:rsidP="00084859">
      <w:r>
        <w:t>Australian Pesticides and Veterinary Medicines Authority (APVMA</w:t>
      </w:r>
      <w:r w:rsidR="00F76452">
        <w:t>)</w:t>
      </w:r>
      <w:r w:rsidRPr="000D2FDF">
        <w:t xml:space="preserve"> </w:t>
      </w:r>
      <w:r w:rsidR="00F76452">
        <w:t xml:space="preserve">Summary Report: Paraquat; </w:t>
      </w:r>
      <w:r>
        <w:t>Agricultural and Veterinary Chemical Assessment Team Review</w:t>
      </w:r>
      <w:r w:rsidR="00F76452">
        <w:t>. Canberra (2016).</w:t>
      </w:r>
    </w:p>
    <w:sectPr w:rsidR="000D2FDF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A848E" w14:textId="77777777" w:rsidR="003127EC" w:rsidRDefault="003127EC" w:rsidP="00F43AD5">
      <w:pPr>
        <w:spacing w:after="0" w:line="240" w:lineRule="auto"/>
      </w:pPr>
      <w:r>
        <w:separator/>
      </w:r>
    </w:p>
  </w:endnote>
  <w:endnote w:type="continuationSeparator" w:id="0">
    <w:p w14:paraId="2DD04DF6" w14:textId="77777777" w:rsidR="003127EC" w:rsidRDefault="003127E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DF79A" w14:textId="77777777" w:rsidR="00B26B67" w:rsidRDefault="00B26B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C09DADC" w14:textId="77777777" w:rsidR="008A36CF" w:rsidRDefault="009D0403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Paraquat (respirable size)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4685-14-7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0D2FDF">
          <w:rPr>
            <w:sz w:val="18"/>
            <w:szCs w:val="18"/>
          </w:rPr>
          <w:t xml:space="preserve"> 2020</w:t>
        </w:r>
      </w:p>
      <w:p w14:paraId="311E0902" w14:textId="31C52AA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26B67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B1858" w14:textId="77777777" w:rsidR="00B26B67" w:rsidRDefault="00B26B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303C7" w14:textId="77777777" w:rsidR="003127EC" w:rsidRDefault="003127EC" w:rsidP="00F43AD5">
      <w:pPr>
        <w:spacing w:after="0" w:line="240" w:lineRule="auto"/>
      </w:pPr>
      <w:r>
        <w:separator/>
      </w:r>
    </w:p>
  </w:footnote>
  <w:footnote w:type="continuationSeparator" w:id="0">
    <w:p w14:paraId="18DCCF83" w14:textId="77777777" w:rsidR="003127EC" w:rsidRDefault="003127E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17BA1" w14:textId="77777777" w:rsidR="00B26B67" w:rsidRDefault="00B26B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C10D6" w14:textId="492F8DE1" w:rsidR="00B26B67" w:rsidRDefault="00B26B67" w:rsidP="00B26B67">
    <w:pPr>
      <w:pStyle w:val="Header"/>
      <w:jc w:val="right"/>
    </w:pPr>
    <w:r>
      <w:rPr>
        <w:noProof/>
        <w:lang w:eastAsia="en-AU"/>
      </w:rPr>
      <w:drawing>
        <wp:inline distT="0" distB="0" distL="0" distR="0" wp14:anchorId="6AD34C1E" wp14:editId="2A7C04A2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BEB7FD" w14:textId="77777777" w:rsidR="00B26B67" w:rsidRDefault="00B26B67" w:rsidP="00B26B67">
    <w:pPr>
      <w:pStyle w:val="Header"/>
      <w:jc w:val="right"/>
    </w:pPr>
  </w:p>
  <w:p w14:paraId="422D8107" w14:textId="611C6B17" w:rsidR="008A36CF" w:rsidRPr="00B26B67" w:rsidRDefault="008A36CF" w:rsidP="00B26B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F67D0" w14:textId="77777777" w:rsidR="00B26B67" w:rsidRDefault="00B26B6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F4DDF" w14:textId="50783ACC" w:rsidR="00B26B67" w:rsidRDefault="00B26B67" w:rsidP="00B26B67">
    <w:pPr>
      <w:pStyle w:val="Header"/>
      <w:jc w:val="right"/>
    </w:pPr>
    <w:r>
      <w:rPr>
        <w:noProof/>
        <w:lang w:eastAsia="en-AU"/>
      </w:rPr>
      <w:drawing>
        <wp:inline distT="0" distB="0" distL="0" distR="0" wp14:anchorId="66F9B4F5" wp14:editId="158BECD4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6B2FB0" w14:textId="77777777" w:rsidR="00B26B67" w:rsidRDefault="00B26B67" w:rsidP="00B26B67">
    <w:pPr>
      <w:pStyle w:val="Header"/>
      <w:jc w:val="right"/>
    </w:pPr>
  </w:p>
  <w:p w14:paraId="53EA6C53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3663EC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147A20"/>
    <w:multiLevelType w:val="hybridMultilevel"/>
    <w:tmpl w:val="FFDE9CF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26454B"/>
    <w:multiLevelType w:val="hybridMultilevel"/>
    <w:tmpl w:val="51FE0900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4610B6"/>
    <w:multiLevelType w:val="hybridMultilevel"/>
    <w:tmpl w:val="DC2ACCC4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66155529">
    <w:abstractNumId w:val="0"/>
  </w:num>
  <w:num w:numId="2" w16cid:durableId="2007200483">
    <w:abstractNumId w:val="0"/>
  </w:num>
  <w:num w:numId="3" w16cid:durableId="308170603">
    <w:abstractNumId w:val="0"/>
  </w:num>
  <w:num w:numId="4" w16cid:durableId="459301084">
    <w:abstractNumId w:val="0"/>
  </w:num>
  <w:num w:numId="5" w16cid:durableId="1321499101">
    <w:abstractNumId w:val="0"/>
  </w:num>
  <w:num w:numId="6" w16cid:durableId="2034457741">
    <w:abstractNumId w:val="0"/>
  </w:num>
  <w:num w:numId="7" w16cid:durableId="782118780">
    <w:abstractNumId w:val="0"/>
  </w:num>
  <w:num w:numId="8" w16cid:durableId="1732389005">
    <w:abstractNumId w:val="0"/>
  </w:num>
  <w:num w:numId="9" w16cid:durableId="897284875">
    <w:abstractNumId w:val="0"/>
  </w:num>
  <w:num w:numId="10" w16cid:durableId="211354289">
    <w:abstractNumId w:val="0"/>
  </w:num>
  <w:num w:numId="11" w16cid:durableId="1428651654">
    <w:abstractNumId w:val="0"/>
  </w:num>
  <w:num w:numId="12" w16cid:durableId="812910495">
    <w:abstractNumId w:val="0"/>
  </w:num>
  <w:num w:numId="13" w16cid:durableId="1444157288">
    <w:abstractNumId w:val="0"/>
  </w:num>
  <w:num w:numId="14" w16cid:durableId="1878348072">
    <w:abstractNumId w:val="0"/>
  </w:num>
  <w:num w:numId="15" w16cid:durableId="1531408549">
    <w:abstractNumId w:val="0"/>
  </w:num>
  <w:num w:numId="16" w16cid:durableId="1856457576">
    <w:abstractNumId w:val="1"/>
  </w:num>
  <w:num w:numId="17" w16cid:durableId="409085938">
    <w:abstractNumId w:val="2"/>
  </w:num>
  <w:num w:numId="18" w16cid:durableId="717752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4642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2FAB"/>
    <w:rsid w:val="000A39DB"/>
    <w:rsid w:val="000B0868"/>
    <w:rsid w:val="000B3E12"/>
    <w:rsid w:val="000B3E78"/>
    <w:rsid w:val="000B7B48"/>
    <w:rsid w:val="000C096D"/>
    <w:rsid w:val="000C139A"/>
    <w:rsid w:val="000C1D68"/>
    <w:rsid w:val="000C2053"/>
    <w:rsid w:val="000C248C"/>
    <w:rsid w:val="000D291C"/>
    <w:rsid w:val="000D2FDF"/>
    <w:rsid w:val="000E5A54"/>
    <w:rsid w:val="000E63D3"/>
    <w:rsid w:val="000E67CF"/>
    <w:rsid w:val="000F1BB6"/>
    <w:rsid w:val="0010461E"/>
    <w:rsid w:val="00106FAA"/>
    <w:rsid w:val="00113443"/>
    <w:rsid w:val="001269A7"/>
    <w:rsid w:val="00131092"/>
    <w:rsid w:val="001353D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6A2A"/>
    <w:rsid w:val="00277B0C"/>
    <w:rsid w:val="00295F8D"/>
    <w:rsid w:val="002B1A2C"/>
    <w:rsid w:val="002C34F2"/>
    <w:rsid w:val="002C58FF"/>
    <w:rsid w:val="002C7AFE"/>
    <w:rsid w:val="002D05D2"/>
    <w:rsid w:val="002E0D61"/>
    <w:rsid w:val="002E4C7B"/>
    <w:rsid w:val="0030740C"/>
    <w:rsid w:val="003127E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37D00"/>
    <w:rsid w:val="00347192"/>
    <w:rsid w:val="0034744C"/>
    <w:rsid w:val="00351FE0"/>
    <w:rsid w:val="00352615"/>
    <w:rsid w:val="0035412B"/>
    <w:rsid w:val="003567A8"/>
    <w:rsid w:val="0035749A"/>
    <w:rsid w:val="00362895"/>
    <w:rsid w:val="00370DBF"/>
    <w:rsid w:val="003839A0"/>
    <w:rsid w:val="00386093"/>
    <w:rsid w:val="003904A4"/>
    <w:rsid w:val="00390E97"/>
    <w:rsid w:val="00391841"/>
    <w:rsid w:val="00391B6D"/>
    <w:rsid w:val="00394922"/>
    <w:rsid w:val="003A0E32"/>
    <w:rsid w:val="003A2B94"/>
    <w:rsid w:val="003B387D"/>
    <w:rsid w:val="003B689F"/>
    <w:rsid w:val="003B68B5"/>
    <w:rsid w:val="003C0D58"/>
    <w:rsid w:val="003D4FA3"/>
    <w:rsid w:val="003E0807"/>
    <w:rsid w:val="003E51FB"/>
    <w:rsid w:val="003E6B39"/>
    <w:rsid w:val="003F07E1"/>
    <w:rsid w:val="003F234C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4F14"/>
    <w:rsid w:val="00445E44"/>
    <w:rsid w:val="004509E2"/>
    <w:rsid w:val="004515EE"/>
    <w:rsid w:val="004529F0"/>
    <w:rsid w:val="00460A03"/>
    <w:rsid w:val="00466D7F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2EA8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4F86"/>
    <w:rsid w:val="005C5D16"/>
    <w:rsid w:val="005D3193"/>
    <w:rsid w:val="005D4938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49C8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57DD"/>
    <w:rsid w:val="006D79EA"/>
    <w:rsid w:val="006E5D05"/>
    <w:rsid w:val="006F5B5B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D2C39"/>
    <w:rsid w:val="007D58D0"/>
    <w:rsid w:val="007E063C"/>
    <w:rsid w:val="007E2A4B"/>
    <w:rsid w:val="007E307D"/>
    <w:rsid w:val="007E6A4E"/>
    <w:rsid w:val="007E6C94"/>
    <w:rsid w:val="007F1005"/>
    <w:rsid w:val="007F1190"/>
    <w:rsid w:val="007F25E0"/>
    <w:rsid w:val="007F5328"/>
    <w:rsid w:val="00804F5A"/>
    <w:rsid w:val="00810C6D"/>
    <w:rsid w:val="00812887"/>
    <w:rsid w:val="00822362"/>
    <w:rsid w:val="00826F21"/>
    <w:rsid w:val="00830C09"/>
    <w:rsid w:val="00834CC8"/>
    <w:rsid w:val="00835171"/>
    <w:rsid w:val="00835850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14BA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8F62F2"/>
    <w:rsid w:val="00900951"/>
    <w:rsid w:val="009118A6"/>
    <w:rsid w:val="0091272E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1947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507C"/>
    <w:rsid w:val="009B2FF2"/>
    <w:rsid w:val="009B380C"/>
    <w:rsid w:val="009B4843"/>
    <w:rsid w:val="009B6543"/>
    <w:rsid w:val="009C199D"/>
    <w:rsid w:val="009C278F"/>
    <w:rsid w:val="009C2B94"/>
    <w:rsid w:val="009C5874"/>
    <w:rsid w:val="009D0403"/>
    <w:rsid w:val="009D3B5A"/>
    <w:rsid w:val="009E0C05"/>
    <w:rsid w:val="009E0D1C"/>
    <w:rsid w:val="009E2214"/>
    <w:rsid w:val="009E355A"/>
    <w:rsid w:val="009E583D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1779"/>
    <w:rsid w:val="00A93057"/>
    <w:rsid w:val="00A968B0"/>
    <w:rsid w:val="00AA2F8B"/>
    <w:rsid w:val="00AB2672"/>
    <w:rsid w:val="00AB2817"/>
    <w:rsid w:val="00AB43C4"/>
    <w:rsid w:val="00AC32E7"/>
    <w:rsid w:val="00AC3A9F"/>
    <w:rsid w:val="00AC6D2F"/>
    <w:rsid w:val="00AE02D5"/>
    <w:rsid w:val="00AE2745"/>
    <w:rsid w:val="00AE2F64"/>
    <w:rsid w:val="00AF24B1"/>
    <w:rsid w:val="00AF42CB"/>
    <w:rsid w:val="00AF483F"/>
    <w:rsid w:val="00AF5E07"/>
    <w:rsid w:val="00AF5F06"/>
    <w:rsid w:val="00B00A25"/>
    <w:rsid w:val="00B02ECB"/>
    <w:rsid w:val="00B1422A"/>
    <w:rsid w:val="00B1765C"/>
    <w:rsid w:val="00B213C4"/>
    <w:rsid w:val="00B26B67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57B39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68B9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167F"/>
    <w:rsid w:val="00D44C89"/>
    <w:rsid w:val="00D516CD"/>
    <w:rsid w:val="00D5546C"/>
    <w:rsid w:val="00D663E7"/>
    <w:rsid w:val="00D668E6"/>
    <w:rsid w:val="00D70670"/>
    <w:rsid w:val="00D74D80"/>
    <w:rsid w:val="00D76624"/>
    <w:rsid w:val="00D87570"/>
    <w:rsid w:val="00D90139"/>
    <w:rsid w:val="00D91CB9"/>
    <w:rsid w:val="00D97989"/>
    <w:rsid w:val="00D97D8D"/>
    <w:rsid w:val="00DA352E"/>
    <w:rsid w:val="00DA5A23"/>
    <w:rsid w:val="00DB502E"/>
    <w:rsid w:val="00DC21ED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0005"/>
    <w:rsid w:val="00E51CAF"/>
    <w:rsid w:val="00E60F04"/>
    <w:rsid w:val="00E62AAC"/>
    <w:rsid w:val="00E67C2F"/>
    <w:rsid w:val="00E67EF5"/>
    <w:rsid w:val="00E7212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167D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3EA8"/>
    <w:rsid w:val="00F4402E"/>
    <w:rsid w:val="00F45117"/>
    <w:rsid w:val="00F56DD0"/>
    <w:rsid w:val="00F60E0C"/>
    <w:rsid w:val="00F6491C"/>
    <w:rsid w:val="00F67BBB"/>
    <w:rsid w:val="00F76452"/>
    <w:rsid w:val="00F87D92"/>
    <w:rsid w:val="00F90AA7"/>
    <w:rsid w:val="00F92498"/>
    <w:rsid w:val="00F9496B"/>
    <w:rsid w:val="00F970C9"/>
    <w:rsid w:val="00FA06A8"/>
    <w:rsid w:val="00FA3DF5"/>
    <w:rsid w:val="00FA741F"/>
    <w:rsid w:val="00FB145D"/>
    <w:rsid w:val="00FB181C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3A497FE9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276A2A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F23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34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34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3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34C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9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C96E8CFB35445F7B98574D62F848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39DF5-6E93-475B-AC7E-D7E1C74E2052}"/>
      </w:docPartPr>
      <w:docPartBody>
        <w:p w:rsidR="00D21A9F" w:rsidRDefault="00D21A9F">
          <w:pPr>
            <w:pStyle w:val="CC96E8CFB35445F7B98574D62F848316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5105839954A4264B10A8A2F4D14E4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5453CC-5CE1-44F6-AFF4-D23EC887306F}"/>
      </w:docPartPr>
      <w:docPartBody>
        <w:p w:rsidR="00AD24F6" w:rsidRDefault="00EF2F50" w:rsidP="00EF2F50">
          <w:pPr>
            <w:pStyle w:val="05105839954A4264B10A8A2F4D14E4B9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F51BA"/>
    <w:rsid w:val="00347D16"/>
    <w:rsid w:val="003E0149"/>
    <w:rsid w:val="00AA2F8B"/>
    <w:rsid w:val="00AA68AE"/>
    <w:rsid w:val="00AD24F6"/>
    <w:rsid w:val="00D21A9F"/>
    <w:rsid w:val="00D90139"/>
    <w:rsid w:val="00EF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F2F5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C96E8CFB35445F7B98574D62F848316">
    <w:name w:val="CC96E8CFB35445F7B98574D62F848316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5105839954A4264B10A8A2F4D14E4B9">
    <w:name w:val="05105839954A4264B10A8A2F4D14E4B9"/>
    <w:rsid w:val="00EF2F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6FD3B4-E5FF-44D0-A85D-1656AEB7AF7B}">
  <ds:schemaRefs>
    <ds:schemaRef ds:uri="a0509f21-ed56-4150-9955-96be669e5f2d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  <ds:schemaRef ds:uri="1c567317-0c4d-4a62-8516-c22afd1b535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465E44-6710-416B-8F69-B6DEC7C97D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2ABF09-DFED-49D7-B321-9AEA5542D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6</Pages>
  <Words>1156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52</cp:revision>
  <cp:lastPrinted>2018-10-22T22:41:00Z</cp:lastPrinted>
  <dcterms:created xsi:type="dcterms:W3CDTF">2019-04-14T23:55:00Z</dcterms:created>
  <dcterms:modified xsi:type="dcterms:W3CDTF">2026-01-09T00:18:00Z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2026-01-02T03:22:39Z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7c69b588-b5cc-4acc-8c29-fa45e292951f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