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F850EF7" w14:textId="77777777" w:rsidR="00BD499F" w:rsidRPr="004C23F4" w:rsidRDefault="004A5FB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cs="Arial"/>
            </w:rPr>
            <w:t>Persulfates, Ammonium- and alkali metal salts</w:t>
          </w:r>
        </w:p>
      </w:sdtContent>
    </w:sdt>
    <w:p w14:paraId="7E9BCEB4" w14:textId="77777777" w:rsidR="002C6A77" w:rsidRDefault="00AE2745" w:rsidP="00AE2745">
      <w:pPr>
        <w:pStyle w:val="WES"/>
        <w:tabs>
          <w:tab w:val="left" w:pos="2041"/>
        </w:tabs>
      </w:pPr>
      <w: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047"/>
      </w:tblGrid>
      <w:tr w:rsidR="002C6A77" w:rsidRPr="00717D45" w14:paraId="1BE7B59C" w14:textId="77777777" w:rsidTr="0083039B">
        <w:trPr>
          <w:cantSplit/>
          <w:tblHeader/>
        </w:trPr>
        <w:tc>
          <w:tcPr>
            <w:tcW w:w="3979" w:type="dxa"/>
          </w:tcPr>
          <w:p w14:paraId="3A55B957" w14:textId="77777777" w:rsidR="002C6A77" w:rsidRPr="00921DE7" w:rsidRDefault="002C6A77" w:rsidP="00BE65C9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05B41274" w14:textId="77777777" w:rsidR="002C6A77" w:rsidRDefault="002C6A77" w:rsidP="002C6A77">
            <w:pPr>
              <w:pStyle w:val="Tablefont"/>
            </w:pPr>
            <w:r w:rsidRPr="000E1D74">
              <w:t>7727-54-0</w:t>
            </w:r>
            <w:r w:rsidR="006E567F">
              <w:t xml:space="preserve">        (Ammonium p</w:t>
            </w:r>
            <w:r>
              <w:t xml:space="preserve">ersulfate) </w:t>
            </w:r>
          </w:p>
          <w:p w14:paraId="6834A96E" w14:textId="77777777" w:rsidR="002C6A77" w:rsidRDefault="002C6A77" w:rsidP="00BE65C9">
            <w:pPr>
              <w:pStyle w:val="Tablefont"/>
            </w:pPr>
            <w:r w:rsidRPr="006B625A">
              <w:t>7727-21-1</w:t>
            </w:r>
            <w:r w:rsidR="006E567F">
              <w:t xml:space="preserve">        (Potassium p</w:t>
            </w:r>
            <w:r>
              <w:t>ersulfate)</w:t>
            </w:r>
            <w:r>
              <w:tab/>
            </w:r>
          </w:p>
          <w:p w14:paraId="4754D121" w14:textId="77777777" w:rsidR="002C6A77" w:rsidRPr="00717D45" w:rsidRDefault="002C6A77" w:rsidP="00BE65C9">
            <w:pPr>
              <w:pStyle w:val="Tablefont"/>
            </w:pPr>
            <w:r w:rsidRPr="006B625A">
              <w:t>7775-27-1</w:t>
            </w:r>
            <w:r w:rsidR="006E567F">
              <w:t xml:space="preserve">        (Sodium p</w:t>
            </w:r>
            <w:r>
              <w:t>ersulfate)</w:t>
            </w:r>
            <w:r>
              <w:tab/>
            </w:r>
            <w:r>
              <w:tab/>
            </w:r>
          </w:p>
        </w:tc>
      </w:tr>
      <w:tr w:rsidR="002C6A77" w:rsidRPr="00717D45" w14:paraId="2303FF06" w14:textId="77777777" w:rsidTr="0083039B">
        <w:trPr>
          <w:cantSplit/>
        </w:trPr>
        <w:tc>
          <w:tcPr>
            <w:tcW w:w="3979" w:type="dxa"/>
          </w:tcPr>
          <w:p w14:paraId="232ED440" w14:textId="77777777" w:rsidR="002C6A77" w:rsidRPr="00921DE7" w:rsidRDefault="002C6A77" w:rsidP="00BE65C9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56916607" w14:textId="77777777" w:rsidR="002C6A77" w:rsidRPr="00717D45" w:rsidRDefault="002C6A77" w:rsidP="00BE65C9">
            <w:pPr>
              <w:pStyle w:val="Tablefont"/>
            </w:pPr>
            <w:r>
              <w:t>NH</w:t>
            </w:r>
            <w:r w:rsidRPr="002C6A77">
              <w:rPr>
                <w:vertAlign w:val="subscript"/>
              </w:rPr>
              <w:t>4</w:t>
            </w:r>
            <w:r>
              <w:t>/K/Na - p</w:t>
            </w:r>
            <w:r w:rsidRPr="006B625A">
              <w:t>eroxydisulfate</w:t>
            </w:r>
            <w:r>
              <w:t xml:space="preserve">, </w:t>
            </w:r>
            <w:r w:rsidRPr="000548F8">
              <w:t>peroxydisulphate</w:t>
            </w:r>
            <w:r>
              <w:t>,</w:t>
            </w:r>
            <w:r w:rsidRPr="000548F8">
              <w:t xml:space="preserve"> persulphate</w:t>
            </w:r>
          </w:p>
        </w:tc>
      </w:tr>
      <w:tr w:rsidR="002C6A77" w:rsidRPr="003363C0" w14:paraId="4318B27D" w14:textId="77777777" w:rsidTr="0083039B">
        <w:trPr>
          <w:cantSplit/>
        </w:trPr>
        <w:tc>
          <w:tcPr>
            <w:tcW w:w="3979" w:type="dxa"/>
          </w:tcPr>
          <w:p w14:paraId="6B5B52E8" w14:textId="77777777" w:rsidR="002C6A77" w:rsidRPr="00921DE7" w:rsidRDefault="002C6A77" w:rsidP="00BE65C9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2988844C" w14:textId="77777777" w:rsidR="002C6A77" w:rsidRDefault="002C6A77" w:rsidP="00BE65C9">
            <w:pPr>
              <w:pStyle w:val="Tablefont"/>
              <w:rPr>
                <w:color w:val="000000"/>
                <w:szCs w:val="20"/>
                <w:shd w:val="clear" w:color="auto" w:fill="FFFFFF"/>
                <w:vertAlign w:val="subscript"/>
              </w:rPr>
            </w:pPr>
            <w:r w:rsidRPr="00035149">
              <w:t>(NH</w:t>
            </w:r>
            <w:r w:rsidRPr="00035149">
              <w:rPr>
                <w:vertAlign w:val="subscript"/>
              </w:rPr>
              <w:t>4</w:t>
            </w:r>
            <w:r w:rsidRPr="00035149">
              <w:t>)</w:t>
            </w:r>
            <w:r w:rsidRPr="00035149">
              <w:rPr>
                <w:vertAlign w:val="subscript"/>
              </w:rPr>
              <w:t>2</w:t>
            </w:r>
            <w:r w:rsidRPr="00035149">
              <w:t>S</w:t>
            </w:r>
            <w:r w:rsidRPr="00035149">
              <w:rPr>
                <w:vertAlign w:val="subscript"/>
              </w:rPr>
              <w:t>2</w:t>
            </w:r>
            <w:r w:rsidRPr="00035149">
              <w:t>O</w:t>
            </w:r>
            <w:r w:rsidRPr="00035149">
              <w:rPr>
                <w:vertAlign w:val="subscript"/>
              </w:rPr>
              <w:t>8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zCs w:val="20"/>
                <w:shd w:val="clear" w:color="auto" w:fill="FFFFFF"/>
                <w:vertAlign w:val="subscript"/>
              </w:rPr>
              <w:t xml:space="preserve">        </w:t>
            </w:r>
            <w:r>
              <w:rPr>
                <w:color w:val="000000"/>
                <w:szCs w:val="20"/>
                <w:shd w:val="clear" w:color="auto" w:fill="FFFFFF"/>
              </w:rPr>
              <w:t>(</w:t>
            </w:r>
            <w:r w:rsidR="006E567F">
              <w:t>Ammonium p</w:t>
            </w:r>
            <w:r>
              <w:t>ersulfate)</w:t>
            </w:r>
          </w:p>
          <w:p w14:paraId="75480E61" w14:textId="77777777" w:rsidR="002C6A77" w:rsidRDefault="002C6A77" w:rsidP="002C6A77">
            <w:pPr>
              <w:pStyle w:val="Tablefont"/>
              <w:rPr>
                <w:vertAlign w:val="subscript"/>
              </w:rPr>
            </w:pPr>
            <w:r w:rsidRPr="006B625A">
              <w:t>K</w:t>
            </w:r>
            <w:r w:rsidRPr="006B625A">
              <w:rPr>
                <w:vertAlign w:val="subscript"/>
              </w:rPr>
              <w:t>2</w:t>
            </w:r>
            <w:r w:rsidRPr="006B625A">
              <w:t>S</w:t>
            </w:r>
            <w:r w:rsidRPr="006B625A">
              <w:rPr>
                <w:vertAlign w:val="subscript"/>
              </w:rPr>
              <w:t>2</w:t>
            </w:r>
            <w:r w:rsidRPr="006B625A">
              <w:t>O</w:t>
            </w:r>
            <w:r w:rsidRPr="006F3D34">
              <w:rPr>
                <w:vertAlign w:val="subscript"/>
              </w:rPr>
              <w:t>8</w:t>
            </w:r>
            <w:r>
              <w:rPr>
                <w:vertAlign w:val="subscript"/>
              </w:rPr>
              <w:t xml:space="preserve">                   </w:t>
            </w:r>
            <w:r w:rsidRPr="002C6A77">
              <w:t xml:space="preserve">(Potassium </w:t>
            </w:r>
            <w:r w:rsidR="006E567F">
              <w:t>p</w:t>
            </w:r>
            <w:r>
              <w:t>ersulfate</w:t>
            </w:r>
            <w:r w:rsidRPr="002C6A77">
              <w:t>)</w:t>
            </w:r>
          </w:p>
          <w:p w14:paraId="685C96F9" w14:textId="77777777" w:rsidR="002C6A77" w:rsidRPr="003363C0" w:rsidRDefault="002C6A77" w:rsidP="002C6A77">
            <w:pPr>
              <w:pStyle w:val="Tablefont"/>
            </w:pPr>
            <w:r w:rsidRPr="006B625A">
              <w:t>Na</w:t>
            </w:r>
            <w:r w:rsidRPr="006B625A">
              <w:rPr>
                <w:vertAlign w:val="subscript"/>
              </w:rPr>
              <w:t>2</w:t>
            </w:r>
            <w:r w:rsidRPr="006B625A">
              <w:t>S</w:t>
            </w:r>
            <w:r w:rsidRPr="006B625A">
              <w:rPr>
                <w:vertAlign w:val="subscript"/>
              </w:rPr>
              <w:t>2</w:t>
            </w:r>
            <w:r w:rsidRPr="006B625A">
              <w:t>O</w:t>
            </w:r>
            <w:r w:rsidRPr="006F3D34">
              <w:rPr>
                <w:vertAlign w:val="subscript"/>
              </w:rPr>
              <w:t>8</w:t>
            </w:r>
            <w:r>
              <w:rPr>
                <w:vertAlign w:val="subscript"/>
              </w:rPr>
              <w:t xml:space="preserve">                </w:t>
            </w:r>
            <w:r w:rsidR="006E567F">
              <w:t>(Sodium p</w:t>
            </w:r>
            <w:r w:rsidRPr="002C6A77">
              <w:t>ersulfate)</w:t>
            </w:r>
          </w:p>
        </w:tc>
      </w:tr>
    </w:tbl>
    <w:p w14:paraId="281EB2EE" w14:textId="4D9C691D" w:rsidR="00AE2745" w:rsidRDefault="00AE2745" w:rsidP="002C6A77">
      <w:pPr>
        <w:pStyle w:val="WES"/>
        <w:tabs>
          <w:tab w:val="left" w:pos="2041"/>
        </w:tabs>
        <w:jc w:val="center"/>
      </w:pP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8742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77FB713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CC31EB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47E2C8C" w14:textId="77777777" w:rsidR="002C7AFE" w:rsidRPr="00A266EA" w:rsidRDefault="001564A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(as persulfate</w:t>
            </w:r>
            <w:r w:rsidR="00B6464C">
              <w:rPr>
                <w:b/>
              </w:rPr>
              <w:t>, S</w:t>
            </w:r>
            <w:r w:rsidR="00B6464C">
              <w:rPr>
                <w:b/>
                <w:vertAlign w:val="subscript"/>
              </w:rPr>
              <w:t>2</w:t>
            </w:r>
            <w:r w:rsidR="00B6464C">
              <w:rPr>
                <w:b/>
              </w:rPr>
              <w:t>O</w:t>
            </w:r>
            <w:r w:rsidR="00B6464C">
              <w:rPr>
                <w:b/>
                <w:vertAlign w:val="subscript"/>
              </w:rPr>
              <w:t>8</w:t>
            </w:r>
            <w:r>
              <w:rPr>
                <w:b/>
              </w:rPr>
              <w:t>)</w:t>
            </w:r>
          </w:p>
        </w:tc>
      </w:tr>
      <w:tr w:rsidR="002C7AFE" w:rsidRPr="004C23F4" w14:paraId="264E01C1" w14:textId="77777777" w:rsidTr="00921DE7">
        <w:trPr>
          <w:cantSplit/>
        </w:trPr>
        <w:tc>
          <w:tcPr>
            <w:tcW w:w="4077" w:type="dxa"/>
            <w:vAlign w:val="center"/>
          </w:tcPr>
          <w:p w14:paraId="199F20E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8BF19D0" w14:textId="77777777" w:rsidR="002C7AFE" w:rsidRPr="00EB3D1B" w:rsidRDefault="00284CE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42624E6" w14:textId="77777777" w:rsidTr="00921DE7">
        <w:trPr>
          <w:cantSplit/>
        </w:trPr>
        <w:tc>
          <w:tcPr>
            <w:tcW w:w="4077" w:type="dxa"/>
            <w:vAlign w:val="center"/>
          </w:tcPr>
          <w:p w14:paraId="19A5FDA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0003CB8" w14:textId="77777777" w:rsidR="002C7AFE" w:rsidRPr="00A266EA" w:rsidRDefault="00284CE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CC5194D" w14:textId="77777777" w:rsidTr="00A2073D">
        <w:trPr>
          <w:cantSplit/>
        </w:trPr>
        <w:tc>
          <w:tcPr>
            <w:tcW w:w="4077" w:type="dxa"/>
          </w:tcPr>
          <w:p w14:paraId="7662856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CA40E4B" w14:textId="77777777" w:rsidR="002C7AFE" w:rsidRPr="00EB3D1B" w:rsidRDefault="003D280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RSEN, </w:t>
            </w:r>
            <w:r w:rsidR="00D93D27">
              <w:rPr>
                <w:b/>
              </w:rPr>
              <w:t>DSEN</w:t>
            </w:r>
          </w:p>
        </w:tc>
      </w:tr>
      <w:tr w:rsidR="002C7AFE" w:rsidRPr="004C23F4" w14:paraId="16E0B207" w14:textId="77777777" w:rsidTr="00921DE7">
        <w:trPr>
          <w:cantSplit/>
        </w:trPr>
        <w:tc>
          <w:tcPr>
            <w:tcW w:w="4077" w:type="dxa"/>
            <w:vAlign w:val="center"/>
          </w:tcPr>
          <w:p w14:paraId="37BAFE2A" w14:textId="5EF28D43" w:rsidR="00F10C97" w:rsidRPr="002C58FF" w:rsidRDefault="00921DE7" w:rsidP="0083039B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BB5573E" w14:textId="77777777" w:rsidR="002C7AFE" w:rsidRPr="00A266EA" w:rsidRDefault="00284CE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AB42F9" w:rsidRPr="004C23F4" w14:paraId="58283084" w14:textId="77777777" w:rsidTr="0083039B">
        <w:trPr>
          <w:cantSplit/>
        </w:trPr>
        <w:tc>
          <w:tcPr>
            <w:tcW w:w="4077" w:type="dxa"/>
          </w:tcPr>
          <w:p w14:paraId="7F44D873" w14:textId="7D8A2A97" w:rsidR="00AB42F9" w:rsidRDefault="00AB42F9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F30A49F" w14:textId="5C9D915D" w:rsidR="00AB42F9" w:rsidRPr="0083039B" w:rsidRDefault="00AB42F9" w:rsidP="00017C82">
            <w:pPr>
              <w:pStyle w:val="Tablefont"/>
            </w:pPr>
            <w:r w:rsidRPr="0083039B">
              <w:t>There is uncertainty regarding quantification of the recommended value with currently available sampling and/or analysis techniques.</w:t>
            </w:r>
          </w:p>
        </w:tc>
      </w:tr>
    </w:tbl>
    <w:p w14:paraId="451A7B7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8A8DC53" w14:textId="6F88724F" w:rsidR="001564AE" w:rsidRPr="0047136A" w:rsidRDefault="00A266EA" w:rsidP="000C139A">
      <w:pPr>
        <w:rPr>
          <w:rFonts w:cs="Arial"/>
        </w:rPr>
      </w:pPr>
      <w:r>
        <w:rPr>
          <w:rFonts w:cs="Arial"/>
        </w:rPr>
        <w:t xml:space="preserve">A </w:t>
      </w:r>
      <w:r w:rsidR="001564AE">
        <w:rPr>
          <w:rFonts w:cs="Arial"/>
        </w:rPr>
        <w:t>TWA of 0.</w:t>
      </w:r>
      <w:r>
        <w:rPr>
          <w:rFonts w:cs="Arial"/>
        </w:rPr>
        <w:t>1</w:t>
      </w:r>
      <w:r w:rsidR="0047136A">
        <w:rPr>
          <w:rFonts w:cs="Arial"/>
        </w:rPr>
        <w:t xml:space="preserve"> mg/m</w:t>
      </w:r>
      <w:r w:rsidR="0047136A">
        <w:rPr>
          <w:rFonts w:cs="Arial"/>
          <w:vertAlign w:val="superscript"/>
        </w:rPr>
        <w:t>3</w:t>
      </w:r>
      <w:r w:rsidR="001564AE">
        <w:rPr>
          <w:rFonts w:cs="Arial"/>
        </w:rPr>
        <w:t xml:space="preserve">, </w:t>
      </w:r>
      <w:bookmarkStart w:id="0" w:name="_Hlk34218512"/>
      <w:r w:rsidR="001564AE">
        <w:rPr>
          <w:rFonts w:cs="Arial"/>
        </w:rPr>
        <w:t xml:space="preserve">as measured by the persulfate ion, </w:t>
      </w:r>
      <w:r w:rsidR="0047136A">
        <w:rPr>
          <w:rFonts w:cs="Arial"/>
        </w:rPr>
        <w:t xml:space="preserve">is </w:t>
      </w:r>
      <w:r w:rsidR="001564AE">
        <w:rPr>
          <w:rFonts w:cs="Arial"/>
        </w:rPr>
        <w:t>recommended for persulfate</w:t>
      </w:r>
      <w:r w:rsidR="0018066B">
        <w:rPr>
          <w:rFonts w:cs="Arial"/>
        </w:rPr>
        <w:t xml:space="preserve"> (ammonium and alkali salts)</w:t>
      </w:r>
      <w:bookmarkEnd w:id="0"/>
      <w:r w:rsidR="001564AE">
        <w:rPr>
          <w:rFonts w:cs="Arial"/>
        </w:rPr>
        <w:t xml:space="preserve"> to protect </w:t>
      </w:r>
      <w:r w:rsidR="006E567F">
        <w:rPr>
          <w:rFonts w:cs="Arial"/>
        </w:rPr>
        <w:t>for</w:t>
      </w:r>
      <w:r w:rsidR="001564AE">
        <w:rPr>
          <w:rFonts w:cs="Arial"/>
        </w:rPr>
        <w:t xml:space="preserve"> dermal and respiratory tract irritation, </w:t>
      </w:r>
      <w:r w:rsidR="00284CE7">
        <w:rPr>
          <w:rFonts w:cs="Arial"/>
        </w:rPr>
        <w:t>including</w:t>
      </w:r>
      <w:r w:rsidR="001564AE">
        <w:rPr>
          <w:rFonts w:cs="Arial"/>
        </w:rPr>
        <w:t xml:space="preserve"> skin rashes and dermatitis.</w:t>
      </w:r>
    </w:p>
    <w:p w14:paraId="711934F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F10E4C1" w14:textId="05239E7D" w:rsidR="00810BFF" w:rsidRDefault="00517F24" w:rsidP="006639B4">
      <w:pPr>
        <w:rPr>
          <w:rFonts w:cs="Arial"/>
        </w:rPr>
      </w:pPr>
      <w:r>
        <w:rPr>
          <w:rFonts w:cs="Arial"/>
        </w:rPr>
        <w:t xml:space="preserve">The persulfate ion is an oxidising agent and </w:t>
      </w:r>
      <w:r w:rsidR="00E46D3D">
        <w:rPr>
          <w:rFonts w:cs="Arial"/>
        </w:rPr>
        <w:t>its salts are</w:t>
      </w:r>
      <w:r>
        <w:rPr>
          <w:rFonts w:cs="Arial"/>
        </w:rPr>
        <w:t xml:space="preserve"> commonly employed </w:t>
      </w:r>
      <w:r w:rsidR="00E46D3D">
        <w:rPr>
          <w:rFonts w:cs="Arial"/>
        </w:rPr>
        <w:t xml:space="preserve">in </w:t>
      </w:r>
      <w:r>
        <w:rPr>
          <w:rFonts w:cs="Arial"/>
        </w:rPr>
        <w:t xml:space="preserve">bleaching or etching </w:t>
      </w:r>
      <w:r w:rsidR="00E46D3D">
        <w:rPr>
          <w:rFonts w:cs="Arial"/>
        </w:rPr>
        <w:t>applications</w:t>
      </w:r>
      <w:r>
        <w:rPr>
          <w:rFonts w:cs="Arial"/>
        </w:rPr>
        <w:t xml:space="preserve">. </w:t>
      </w:r>
      <w:r w:rsidR="008D4823">
        <w:rPr>
          <w:rFonts w:cs="Arial"/>
        </w:rPr>
        <w:t>T</w:t>
      </w:r>
      <w:r>
        <w:rPr>
          <w:rFonts w:cs="Arial"/>
        </w:rPr>
        <w:t>he</w:t>
      </w:r>
      <w:r w:rsidR="00C8090B">
        <w:rPr>
          <w:rFonts w:cs="Arial"/>
        </w:rPr>
        <w:t xml:space="preserve"> critical effects of ammonium</w:t>
      </w:r>
      <w:r w:rsidR="0018066B">
        <w:rPr>
          <w:rFonts w:cs="Arial"/>
        </w:rPr>
        <w:t xml:space="preserve"> (NH</w:t>
      </w:r>
      <w:r w:rsidR="0018066B" w:rsidRPr="00035149">
        <w:rPr>
          <w:rFonts w:cs="Arial"/>
          <w:vertAlign w:val="subscript"/>
        </w:rPr>
        <w:t>4</w:t>
      </w:r>
      <w:r w:rsidR="0018066B">
        <w:rPr>
          <w:rFonts w:cs="Arial"/>
        </w:rPr>
        <w:t>)</w:t>
      </w:r>
      <w:r w:rsidR="00C8090B">
        <w:rPr>
          <w:rFonts w:cs="Arial"/>
        </w:rPr>
        <w:t>, potassium</w:t>
      </w:r>
      <w:r w:rsidR="0018066B">
        <w:rPr>
          <w:rFonts w:cs="Arial"/>
        </w:rPr>
        <w:t xml:space="preserve"> (K)</w:t>
      </w:r>
      <w:r w:rsidR="00C8090B">
        <w:rPr>
          <w:rFonts w:cs="Arial"/>
        </w:rPr>
        <w:t xml:space="preserve"> and sodium</w:t>
      </w:r>
      <w:r w:rsidR="0018066B">
        <w:rPr>
          <w:rFonts w:cs="Arial"/>
        </w:rPr>
        <w:t xml:space="preserve"> (Na)</w:t>
      </w:r>
      <w:r w:rsidR="00C8090B">
        <w:rPr>
          <w:rFonts w:cs="Arial"/>
        </w:rPr>
        <w:t xml:space="preserve"> persulfate</w:t>
      </w:r>
      <w:r>
        <w:rPr>
          <w:rFonts w:cs="Arial"/>
        </w:rPr>
        <w:t xml:space="preserve"> exposure are irritation to the skin and respiratory tract</w:t>
      </w:r>
      <w:r w:rsidR="008D4823">
        <w:rPr>
          <w:rFonts w:cs="Arial"/>
        </w:rPr>
        <w:t>, whi</w:t>
      </w:r>
      <w:r w:rsidR="00284CE7">
        <w:rPr>
          <w:rFonts w:cs="Arial"/>
        </w:rPr>
        <w:t>ch may cause dermatitis, eczema</w:t>
      </w:r>
      <w:r w:rsidR="008D4823">
        <w:rPr>
          <w:rFonts w:cs="Arial"/>
        </w:rPr>
        <w:t xml:space="preserve"> or asthma</w:t>
      </w:r>
      <w:r w:rsidR="00035149">
        <w:rPr>
          <w:rFonts w:cs="Arial"/>
        </w:rPr>
        <w:t xml:space="preserve"> </w:t>
      </w:r>
      <w:r w:rsidR="008D4823">
        <w:rPr>
          <w:rFonts w:cs="Arial"/>
        </w:rPr>
        <w:t>(ACGIH, 2001; DFG, 2002)</w:t>
      </w:r>
      <w:r w:rsidR="003F6814">
        <w:rPr>
          <w:rFonts w:cs="Arial"/>
        </w:rPr>
        <w:t>.</w:t>
      </w:r>
      <w:r w:rsidR="008D4823">
        <w:rPr>
          <w:rFonts w:cs="Arial"/>
        </w:rPr>
        <w:t xml:space="preserve"> </w:t>
      </w:r>
      <w:r w:rsidR="00E46D3D">
        <w:rPr>
          <w:rFonts w:cs="Arial"/>
        </w:rPr>
        <w:t xml:space="preserve">These persulfate </w:t>
      </w:r>
      <w:r w:rsidR="0018066B">
        <w:rPr>
          <w:rFonts w:cs="Arial"/>
        </w:rPr>
        <w:t xml:space="preserve">salts </w:t>
      </w:r>
      <w:r w:rsidR="00E46D3D">
        <w:rPr>
          <w:rFonts w:cs="Arial"/>
        </w:rPr>
        <w:t xml:space="preserve">have been grouped </w:t>
      </w:r>
      <w:r w:rsidR="00035149">
        <w:rPr>
          <w:rFonts w:cs="Arial"/>
        </w:rPr>
        <w:t>for</w:t>
      </w:r>
      <w:r w:rsidR="00E46D3D">
        <w:rPr>
          <w:rFonts w:cs="Arial"/>
        </w:rPr>
        <w:t xml:space="preserve"> this recommendation due to t</w:t>
      </w:r>
      <w:r w:rsidR="00E5502F">
        <w:rPr>
          <w:rFonts w:cs="Arial"/>
        </w:rPr>
        <w:t>he commonalities of the</w:t>
      </w:r>
      <w:r w:rsidR="00E46D3D">
        <w:rPr>
          <w:rFonts w:cs="Arial"/>
        </w:rPr>
        <w:t>ir</w:t>
      </w:r>
      <w:r w:rsidR="00E5502F">
        <w:rPr>
          <w:rFonts w:cs="Arial"/>
        </w:rPr>
        <w:t xml:space="preserve"> </w:t>
      </w:r>
      <w:r w:rsidR="00E46D3D">
        <w:rPr>
          <w:rFonts w:cs="Arial"/>
        </w:rPr>
        <w:t xml:space="preserve">applications, chemical </w:t>
      </w:r>
      <w:r w:rsidR="00E5502F">
        <w:rPr>
          <w:rFonts w:cs="Arial"/>
        </w:rPr>
        <w:t>structure</w:t>
      </w:r>
      <w:r w:rsidR="00E46D3D">
        <w:rPr>
          <w:rFonts w:cs="Arial"/>
        </w:rPr>
        <w:t xml:space="preserve">s and </w:t>
      </w:r>
      <w:r w:rsidR="00E5502F">
        <w:rPr>
          <w:rFonts w:cs="Arial"/>
        </w:rPr>
        <w:t>critical effects</w:t>
      </w:r>
      <w:r w:rsidR="00E46D3D">
        <w:rPr>
          <w:rFonts w:cs="Arial"/>
        </w:rPr>
        <w:t xml:space="preserve">. </w:t>
      </w:r>
    </w:p>
    <w:p w14:paraId="2A15AC22" w14:textId="46D75835" w:rsidR="008141BB" w:rsidRDefault="008141BB" w:rsidP="006639B4">
      <w:pPr>
        <w:rPr>
          <w:rFonts w:cs="Arial"/>
        </w:rPr>
      </w:pPr>
      <w:r>
        <w:rPr>
          <w:rFonts w:cs="Arial"/>
        </w:rPr>
        <w:t>A NOAEL of 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for symptoms of lung inflammation, oedema or loss of body weight</w:t>
      </w:r>
      <w:r w:rsidDel="00D87422">
        <w:rPr>
          <w:rFonts w:cs="Arial"/>
        </w:rPr>
        <w:t xml:space="preserve"> </w:t>
      </w:r>
      <w:r>
        <w:rPr>
          <w:rFonts w:cs="Arial"/>
        </w:rPr>
        <w:t xml:space="preserve">is reported from an inhalation study in animals with ammonium persulfate (ACGIH, 2018). </w:t>
      </w:r>
      <w:r w:rsidR="00D93D27">
        <w:rPr>
          <w:rFonts w:cs="Arial"/>
        </w:rPr>
        <w:t xml:space="preserve">Human case studies involving bakers, hairdressers, laboratory workers and persulfate production workers suggest that repeat </w:t>
      </w:r>
      <w:r w:rsidR="00E46D3D">
        <w:rPr>
          <w:rFonts w:cs="Arial"/>
        </w:rPr>
        <w:t>exposures</w:t>
      </w:r>
      <w:r w:rsidR="008B5F93">
        <w:rPr>
          <w:rFonts w:cs="Arial"/>
        </w:rPr>
        <w:t xml:space="preserve"> </w:t>
      </w:r>
      <w:r w:rsidR="00DB6BF3">
        <w:rPr>
          <w:rFonts w:cs="Arial"/>
        </w:rPr>
        <w:t>can cause</w:t>
      </w:r>
      <w:r w:rsidR="00E5502F">
        <w:rPr>
          <w:rFonts w:cs="Arial"/>
        </w:rPr>
        <w:t xml:space="preserve"> </w:t>
      </w:r>
      <w:r w:rsidR="00E46D3D">
        <w:rPr>
          <w:rFonts w:cs="Arial"/>
        </w:rPr>
        <w:t xml:space="preserve">dermal </w:t>
      </w:r>
      <w:r w:rsidR="008B5F93">
        <w:rPr>
          <w:rFonts w:cs="Arial"/>
        </w:rPr>
        <w:t>and</w:t>
      </w:r>
      <w:r w:rsidR="00E46D3D">
        <w:rPr>
          <w:rFonts w:cs="Arial"/>
        </w:rPr>
        <w:t xml:space="preserve"> respiratory</w:t>
      </w:r>
      <w:r w:rsidR="00E5502F">
        <w:rPr>
          <w:rFonts w:cs="Arial"/>
        </w:rPr>
        <w:t xml:space="preserve"> </w:t>
      </w:r>
      <w:r w:rsidR="00D93D27">
        <w:rPr>
          <w:rFonts w:cs="Arial"/>
        </w:rPr>
        <w:t xml:space="preserve">sensitisation. These findings </w:t>
      </w:r>
      <w:r w:rsidR="008B5F93">
        <w:rPr>
          <w:rFonts w:cs="Arial"/>
        </w:rPr>
        <w:t>are</w:t>
      </w:r>
      <w:r w:rsidR="00D93D27">
        <w:rPr>
          <w:rFonts w:cs="Arial"/>
        </w:rPr>
        <w:t xml:space="preserve"> </w:t>
      </w:r>
      <w:r w:rsidR="006B0069">
        <w:rPr>
          <w:rFonts w:cs="Arial"/>
        </w:rPr>
        <w:t xml:space="preserve">supported by </w:t>
      </w:r>
      <w:r w:rsidR="003704B1">
        <w:rPr>
          <w:rFonts w:cs="Arial"/>
        </w:rPr>
        <w:t>positive</w:t>
      </w:r>
      <w:r w:rsidR="00F7428F">
        <w:rPr>
          <w:rFonts w:cs="Arial"/>
        </w:rPr>
        <w:t xml:space="preserve"> skin prick</w:t>
      </w:r>
      <w:r w:rsidR="00697977">
        <w:rPr>
          <w:rFonts w:cs="Arial"/>
        </w:rPr>
        <w:t xml:space="preserve"> </w:t>
      </w:r>
      <w:r w:rsidR="00F7428F">
        <w:rPr>
          <w:rFonts w:cs="Arial"/>
        </w:rPr>
        <w:t xml:space="preserve">and patch tests in humans </w:t>
      </w:r>
      <w:r w:rsidR="003704B1">
        <w:rPr>
          <w:rFonts w:cs="Arial"/>
        </w:rPr>
        <w:t xml:space="preserve">and </w:t>
      </w:r>
      <w:r w:rsidR="00F7428F">
        <w:rPr>
          <w:rFonts w:cs="Arial"/>
        </w:rPr>
        <w:t xml:space="preserve">trials in animals involving </w:t>
      </w:r>
      <w:r w:rsidR="0018066B">
        <w:rPr>
          <w:rFonts w:cs="Arial"/>
        </w:rPr>
        <w:t>NH</w:t>
      </w:r>
      <w:r w:rsidR="0018066B" w:rsidRPr="00035149">
        <w:rPr>
          <w:rFonts w:cs="Arial"/>
          <w:vertAlign w:val="subscript"/>
        </w:rPr>
        <w:t>4</w:t>
      </w:r>
      <w:r w:rsidR="000E1D74">
        <w:rPr>
          <w:rFonts w:cs="Arial"/>
        </w:rPr>
        <w:t xml:space="preserve"> persulfate</w:t>
      </w:r>
      <w:r w:rsidR="00F7428F">
        <w:rPr>
          <w:rFonts w:cs="Arial"/>
        </w:rPr>
        <w:t xml:space="preserve"> (1%</w:t>
      </w:r>
      <w:r w:rsidR="00C97852">
        <w:rPr>
          <w:rFonts w:cs="Arial"/>
        </w:rPr>
        <w:t xml:space="preserve"> in water</w:t>
      </w:r>
      <w:r w:rsidR="00F7428F">
        <w:rPr>
          <w:rFonts w:cs="Arial"/>
        </w:rPr>
        <w:t>)</w:t>
      </w:r>
      <w:r>
        <w:rPr>
          <w:rFonts w:cs="Arial"/>
        </w:rPr>
        <w:t xml:space="preserve"> (ACGIH, 2018; DFG, 2002)</w:t>
      </w:r>
      <w:r w:rsidR="00F7428F">
        <w:rPr>
          <w:rFonts w:cs="Arial"/>
        </w:rPr>
        <w:t xml:space="preserve">. </w:t>
      </w:r>
    </w:p>
    <w:p w14:paraId="780756CB" w14:textId="088AFB98" w:rsidR="006639B4" w:rsidRPr="004C23F4" w:rsidRDefault="008141BB" w:rsidP="006639B4">
      <w:pPr>
        <w:rPr>
          <w:rFonts w:cs="Arial"/>
        </w:rPr>
      </w:pPr>
      <w:r>
        <w:rPr>
          <w:rFonts w:cs="Arial"/>
        </w:rPr>
        <w:lastRenderedPageBreak/>
        <w:t>A TWA of 0.1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F6151B">
        <w:rPr>
          <w:rFonts w:cs="Arial"/>
        </w:rPr>
        <w:t xml:space="preserve">(as </w:t>
      </w:r>
      <w:r w:rsidR="00F6151B" w:rsidRPr="00F6151B">
        <w:rPr>
          <w:rFonts w:cs="Arial"/>
        </w:rPr>
        <w:t>measured by the persulfate ion</w:t>
      </w:r>
      <w:r w:rsidR="00F6151B">
        <w:rPr>
          <w:rFonts w:cs="Arial"/>
        </w:rPr>
        <w:t>)</w:t>
      </w:r>
      <w:r w:rsidR="00F6151B" w:rsidRPr="00F6151B">
        <w:rPr>
          <w:rFonts w:cs="Arial"/>
        </w:rPr>
        <w:t>, is recommended for persulfate (ammonium and alkali salts)</w:t>
      </w:r>
      <w:r w:rsidR="00526418">
        <w:rPr>
          <w:rFonts w:cs="Arial"/>
        </w:rPr>
        <w:t xml:space="preserve">, as assigned </w:t>
      </w:r>
      <w:r w:rsidR="001428AD">
        <w:rPr>
          <w:rFonts w:cs="Arial"/>
        </w:rPr>
        <w:t>by ACGIH (2018)</w:t>
      </w:r>
      <w:r>
        <w:rPr>
          <w:rFonts w:cs="Arial"/>
        </w:rPr>
        <w:t>.</w:t>
      </w:r>
      <w:r w:rsidR="00810845">
        <w:rPr>
          <w:rFonts w:cs="Arial"/>
        </w:rPr>
        <w:t xml:space="preserve"> The recommended TWA</w:t>
      </w:r>
      <w:r w:rsidR="00810845" w:rsidRPr="00810845">
        <w:rPr>
          <w:rFonts w:cs="Arial"/>
        </w:rPr>
        <w:t xml:space="preserve"> is </w:t>
      </w:r>
      <w:r w:rsidR="00810845">
        <w:rPr>
          <w:rFonts w:cs="Arial"/>
        </w:rPr>
        <w:t xml:space="preserve">protective </w:t>
      </w:r>
      <w:r w:rsidR="00810845" w:rsidRPr="00810845">
        <w:rPr>
          <w:rFonts w:cs="Arial"/>
        </w:rPr>
        <w:t>for dermal and respiratory tract irritation, including skin rashes and dermatitis</w:t>
      </w:r>
      <w:r w:rsidR="00810845">
        <w:rPr>
          <w:rFonts w:cs="Arial"/>
        </w:rPr>
        <w:t xml:space="preserve">. </w:t>
      </w:r>
    </w:p>
    <w:p w14:paraId="4C99ADD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EAF1A4D" w14:textId="77777777" w:rsidR="00F7428F" w:rsidRDefault="00D90B67" w:rsidP="00F7428F">
      <w:r>
        <w:t xml:space="preserve">Not </w:t>
      </w:r>
      <w:r w:rsidR="00F745DD">
        <w:t>classified as</w:t>
      </w:r>
      <w:r w:rsidR="00F7428F">
        <w:t xml:space="preserve"> carcinogen</w:t>
      </w:r>
      <w:r w:rsidR="00F745DD">
        <w:t>s</w:t>
      </w:r>
      <w:r w:rsidR="00F7428F">
        <w:t xml:space="preserve"> according to the Globally Harmonized System of Classification and Labelling of Chemicals</w:t>
      </w:r>
      <w:r w:rsidR="00403EF9">
        <w:t xml:space="preserve"> (GHS)</w:t>
      </w:r>
      <w:r w:rsidR="00F7428F">
        <w:t>.</w:t>
      </w:r>
    </w:p>
    <w:p w14:paraId="5E90C5DA" w14:textId="36E503FA" w:rsidR="00F7428F" w:rsidRDefault="00B24077" w:rsidP="00F7428F">
      <w:r>
        <w:t>C</w:t>
      </w:r>
      <w:r w:rsidR="003D280C">
        <w:t>lassified as</w:t>
      </w:r>
      <w:r w:rsidR="00F7428F">
        <w:t xml:space="preserve"> </w:t>
      </w:r>
      <w:r w:rsidR="00120DBE">
        <w:t xml:space="preserve">a </w:t>
      </w:r>
      <w:r w:rsidR="00F7428F">
        <w:t>skin</w:t>
      </w:r>
      <w:r w:rsidR="003D280C">
        <w:t xml:space="preserve"> </w:t>
      </w:r>
      <w:r w:rsidR="00120DBE">
        <w:t>sensitiser</w:t>
      </w:r>
      <w:r w:rsidR="00C708D9">
        <w:t xml:space="preserve"> </w:t>
      </w:r>
      <w:r w:rsidR="003D280C">
        <w:t xml:space="preserve">and </w:t>
      </w:r>
      <w:r w:rsidR="00120DBE">
        <w:t xml:space="preserve">a </w:t>
      </w:r>
      <w:r w:rsidR="003D280C">
        <w:t>respiratory</w:t>
      </w:r>
      <w:r w:rsidR="00F7428F">
        <w:t xml:space="preserve"> sensitiser according to the </w:t>
      </w:r>
      <w:r w:rsidR="00403EF9">
        <w:t>GHS</w:t>
      </w:r>
      <w:r w:rsidR="00F7428F">
        <w:t>.</w:t>
      </w:r>
    </w:p>
    <w:p w14:paraId="730319C7" w14:textId="77777777" w:rsidR="00D90B67" w:rsidRPr="004D4351" w:rsidRDefault="00D90B67" w:rsidP="00D90B67">
      <w:pPr>
        <w:rPr>
          <w:rFonts w:eastAsia="Calibri" w:cs="Arial"/>
        </w:rPr>
      </w:pPr>
      <w:r w:rsidRPr="00035149">
        <w:rPr>
          <w:rFonts w:eastAsia="Calibri" w:cs="Times New Roman"/>
        </w:rPr>
        <w:t>A skin notation is not war</w:t>
      </w:r>
      <w:r w:rsidR="00284CE7">
        <w:rPr>
          <w:rFonts w:eastAsia="Calibri" w:cs="Times New Roman"/>
        </w:rPr>
        <w:t>ranted as there is no evidence</w:t>
      </w:r>
      <w:r w:rsidRPr="00035149">
        <w:rPr>
          <w:rFonts w:eastAsia="Calibri" w:cs="Times New Roman"/>
        </w:rPr>
        <w:t xml:space="preserve"> of systemic effects resulting from skin absorption.</w:t>
      </w:r>
      <w:r>
        <w:rPr>
          <w:rFonts w:eastAsia="Calibri" w:cs="Times New Roman"/>
        </w:rPr>
        <w:t xml:space="preserve"> </w:t>
      </w:r>
    </w:p>
    <w:p w14:paraId="5900E279" w14:textId="77777777" w:rsidR="0025734A" w:rsidRPr="004C23F4" w:rsidRDefault="0025734A">
      <w:pPr>
        <w:rPr>
          <w:rFonts w:cs="Arial"/>
        </w:rPr>
      </w:pPr>
    </w:p>
    <w:p w14:paraId="11FD2D7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8C65BE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CC0FB7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362368" w14:paraId="11C206DA" w14:textId="77777777" w:rsidTr="0036236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27D08AA" w14:textId="77777777" w:rsidR="00C978F0" w:rsidRPr="00362368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362368">
              <w:rPr>
                <w:b/>
              </w:rPr>
              <w:t>Source</w:t>
            </w:r>
            <w:r w:rsidR="00DA352E" w:rsidRPr="00362368">
              <w:rPr>
                <w:b/>
              </w:rPr>
              <w:tab/>
              <w:t>Year set</w:t>
            </w:r>
            <w:r w:rsidR="00DA352E" w:rsidRPr="00362368">
              <w:rPr>
                <w:b/>
              </w:rPr>
              <w:tab/>
              <w:t>Standard</w:t>
            </w:r>
            <w:r w:rsidR="00974F2D" w:rsidRPr="00362368">
              <w:rPr>
                <w:b/>
              </w:rPr>
              <w:tab/>
            </w:r>
          </w:p>
        </w:tc>
      </w:tr>
      <w:tr w:rsidR="00DE26E8" w:rsidRPr="003365A5" w14:paraId="5FD930FA" w14:textId="77777777" w:rsidTr="0036236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B8D894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 w:rsidR="00B6464C">
                  <w:rPr>
                    <w:rStyle w:val="PlaceholderText"/>
                  </w:rPr>
                  <w:t>Y</w:t>
                </w:r>
                <w:r w:rsidR="00B6464C" w:rsidRPr="003365A5">
                  <w:rPr>
                    <w:rStyle w:val="PlaceholderText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r w:rsidR="00136799">
              <w:t>TWA:</w:t>
            </w:r>
            <w:r w:rsidR="001564AE">
              <w:t xml:space="preserve"> </w:t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36799">
                  <w:t>0.</w:t>
                </w:r>
                <w:r w:rsidR="001564AE">
                  <w:t>1 mg/m</w:t>
                </w:r>
                <w:r w:rsidR="001564A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1A23E44" w14:textId="77777777" w:rsidTr="00362368">
        <w:trPr>
          <w:gridAfter w:val="1"/>
          <w:wAfter w:w="8" w:type="pct"/>
          <w:cantSplit/>
        </w:trPr>
        <w:tc>
          <w:tcPr>
            <w:tcW w:w="4992" w:type="pct"/>
          </w:tcPr>
          <w:p w14:paraId="2A38D72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48603BC" w14:textId="77777777" w:rsidTr="0036236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3BADC4" w14:textId="77777777" w:rsidR="00C978F0" w:rsidRPr="0013679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36799">
              <w:t>ACGIH</w:t>
            </w:r>
            <w:r w:rsidR="00916EC0" w:rsidRPr="00136799">
              <w:t xml:space="preserve"> </w:t>
            </w:r>
            <w:r w:rsidR="00916EC0" w:rsidRPr="00136799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564AE" w:rsidRPr="00136799">
                  <w:t>2001</w:t>
                </w:r>
              </w:sdtContent>
            </w:sdt>
            <w:r w:rsidR="00916EC0" w:rsidRPr="00136799">
              <w:tab/>
            </w:r>
            <w:r w:rsidR="0051509C" w:rsidRPr="00136799">
              <w:tab/>
            </w:r>
            <w:r w:rsidR="001564AE" w:rsidRPr="00136799">
              <w:t>TLV-TWA</w:t>
            </w:r>
            <w:r w:rsidR="00136799" w:rsidRPr="00136799">
              <w:t>:</w:t>
            </w:r>
            <w:r w:rsidR="001564AE" w:rsidRPr="00136799">
              <w:t xml:space="preserve"> </w:t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564AE" w:rsidRPr="00136799">
                  <w:t>0.1 mg/m</w:t>
                </w:r>
                <w:r w:rsidR="001564AE" w:rsidRPr="00136799">
                  <w:rPr>
                    <w:vertAlign w:val="superscript"/>
                  </w:rPr>
                  <w:t>3</w:t>
                </w:r>
                <w:r w:rsidR="00136799" w:rsidRPr="00136799">
                  <w:t xml:space="preserve"> (as persulfate)</w:t>
                </w:r>
                <w:r w:rsidR="001564AE" w:rsidRPr="00136799">
                  <w:t xml:space="preserve"> </w:t>
                </w:r>
              </w:sdtContent>
            </w:sdt>
          </w:p>
        </w:tc>
      </w:tr>
      <w:tr w:rsidR="00C978F0" w:rsidRPr="00DA352E" w14:paraId="734479A8" w14:textId="77777777" w:rsidTr="00362368">
        <w:trPr>
          <w:gridAfter w:val="1"/>
          <w:wAfter w:w="8" w:type="pct"/>
          <w:cantSplit/>
        </w:trPr>
        <w:tc>
          <w:tcPr>
            <w:tcW w:w="4992" w:type="pct"/>
          </w:tcPr>
          <w:p w14:paraId="37D2EA5C" w14:textId="4AFDE941" w:rsidR="009C484C" w:rsidRDefault="00C8090B" w:rsidP="00A3097D">
            <w:pPr>
              <w:pStyle w:val="Tabletextprimarysource"/>
            </w:pPr>
            <w:r w:rsidRPr="00A3097D">
              <w:t>TLV</w:t>
            </w:r>
            <w:r w:rsidR="00DA4EA0" w:rsidRPr="00A3097D">
              <w:t xml:space="preserve">-TWA for persulfate salts </w:t>
            </w:r>
            <w:r w:rsidR="00D90B67">
              <w:t>(</w:t>
            </w:r>
            <w:r w:rsidR="00D90B67" w:rsidRPr="006B625A">
              <w:t>NH</w:t>
            </w:r>
            <w:r w:rsidR="000E1D74" w:rsidRPr="006B625A">
              <w:rPr>
                <w:vertAlign w:val="subscript"/>
              </w:rPr>
              <w:t>4</w:t>
            </w:r>
            <w:r w:rsidR="000E1D74">
              <w:t>;</w:t>
            </w:r>
            <w:r w:rsidR="00D90B67">
              <w:t xml:space="preserve"> K; Na) </w:t>
            </w:r>
            <w:r w:rsidR="00284CE7">
              <w:t>recommended</w:t>
            </w:r>
            <w:r w:rsidR="00DA4EA0" w:rsidRPr="00A3097D">
              <w:t xml:space="preserve"> to minimise the potential for dermal and respiratory tract irritation, which is considered distinct to potential systemic toxicity.</w:t>
            </w:r>
            <w:r w:rsidR="004A6E10" w:rsidRPr="00A3097D">
              <w:t xml:space="preserve"> </w:t>
            </w:r>
            <w:r w:rsidR="00D90B67">
              <w:t>Na and K</w:t>
            </w:r>
            <w:r w:rsidR="00136799" w:rsidRPr="00A3097D">
              <w:t xml:space="preserve"> </w:t>
            </w:r>
            <w:r w:rsidR="00D90B67">
              <w:t>salts</w:t>
            </w:r>
            <w:r w:rsidR="00D90B67" w:rsidRPr="00A3097D">
              <w:t xml:space="preserve"> </w:t>
            </w:r>
            <w:r w:rsidR="00136799" w:rsidRPr="00A3097D">
              <w:t xml:space="preserve">are expected as potentially irritating as </w:t>
            </w:r>
            <w:r w:rsidR="00D90B67">
              <w:t>NH</w:t>
            </w:r>
            <w:r w:rsidR="00D90B67" w:rsidRPr="00AC72D5">
              <w:rPr>
                <w:vertAlign w:val="subscript"/>
              </w:rPr>
              <w:t>4</w:t>
            </w:r>
            <w:r w:rsidR="000E1D74">
              <w:rPr>
                <w:vertAlign w:val="superscript"/>
              </w:rPr>
              <w:t xml:space="preserve"> </w:t>
            </w:r>
            <w:r w:rsidR="00D90B67">
              <w:t>salt</w:t>
            </w:r>
            <w:r w:rsidR="000E1D74">
              <w:t xml:space="preserve"> </w:t>
            </w:r>
            <w:r w:rsidR="00284CE7">
              <w:t>and are included in the</w:t>
            </w:r>
            <w:r w:rsidR="00136799" w:rsidRPr="00A3097D">
              <w:t xml:space="preserve"> recommendation as measured by persulfate concentration. </w:t>
            </w:r>
            <w:r w:rsidR="00810845">
              <w:t>D</w:t>
            </w:r>
            <w:r w:rsidR="007A69D8">
              <w:t>erivation of TLV-TWA not explained</w:t>
            </w:r>
            <w:r w:rsidR="00810845">
              <w:t xml:space="preserve">; </w:t>
            </w:r>
            <w:r w:rsidR="00142262">
              <w:t xml:space="preserve">but </w:t>
            </w:r>
            <w:r w:rsidR="007A69D8">
              <w:t xml:space="preserve">presumably </w:t>
            </w:r>
            <w:r w:rsidR="007A69D8" w:rsidRPr="009C484C">
              <w:t>derived based on the NOAEL of 1 mg/m</w:t>
            </w:r>
            <w:r w:rsidR="007A69D8" w:rsidRPr="00BA5393">
              <w:rPr>
                <w:vertAlign w:val="superscript"/>
              </w:rPr>
              <w:t xml:space="preserve">3 </w:t>
            </w:r>
            <w:r w:rsidR="007A69D8">
              <w:t>and applying a 10</w:t>
            </w:r>
            <w:r w:rsidR="00810845">
              <w:t>-</w:t>
            </w:r>
            <w:r w:rsidR="007A69D8">
              <w:t>fold</w:t>
            </w:r>
            <w:r w:rsidR="007A69D8" w:rsidRPr="009C484C">
              <w:t xml:space="preserve"> uncertainty fact</w:t>
            </w:r>
            <w:r w:rsidR="007A69D8">
              <w:t>or for interspecies differences.</w:t>
            </w:r>
          </w:p>
          <w:p w14:paraId="6805573C" w14:textId="77777777" w:rsidR="00EA350D" w:rsidRPr="00A3097D" w:rsidRDefault="00EA350D" w:rsidP="00EA350D">
            <w:pPr>
              <w:pStyle w:val="Tabletextprimarysource"/>
            </w:pPr>
            <w:r w:rsidRPr="00A3097D">
              <w:t xml:space="preserve">Summary of data: </w:t>
            </w:r>
          </w:p>
          <w:p w14:paraId="3975A5D7" w14:textId="77777777" w:rsidR="00DA4EA0" w:rsidRPr="00A3097D" w:rsidRDefault="00DA4EA0" w:rsidP="00810845">
            <w:pPr>
              <w:pStyle w:val="Tabletextprimarysource"/>
            </w:pPr>
            <w:r w:rsidRPr="00A3097D">
              <w:t>Human data:</w:t>
            </w:r>
          </w:p>
          <w:p w14:paraId="7167FE39" w14:textId="508F2E1D" w:rsidR="001E2A38" w:rsidRPr="00A3097D" w:rsidRDefault="00DA4EA0" w:rsidP="0083039B">
            <w:pPr>
              <w:pStyle w:val="ListBullet"/>
              <w:numPr>
                <w:ilvl w:val="0"/>
                <w:numId w:val="18"/>
              </w:numPr>
              <w:spacing w:before="60" w:after="60"/>
              <w:ind w:hanging="357"/>
              <w:contextualSpacing w:val="0"/>
            </w:pPr>
            <w:r w:rsidRPr="00A3097D">
              <w:t>Case studies of workers producing ammonium and potassium persulfate</w:t>
            </w:r>
            <w:r w:rsidR="001E2A38" w:rsidRPr="00A3097D">
              <w:t xml:space="preserve"> reported frequent occurrence of skin rashes that caused both dermatitis and hypersensitivity reactions in the subjects</w:t>
            </w:r>
            <w:r w:rsidR="00C40F91">
              <w:t>:</w:t>
            </w:r>
          </w:p>
          <w:p w14:paraId="3D90B7BC" w14:textId="77777777" w:rsidR="001E2A38" w:rsidRPr="00A3097D" w:rsidRDefault="00284CE7" w:rsidP="0083039B">
            <w:pPr>
              <w:pStyle w:val="ListBullet"/>
              <w:numPr>
                <w:ilvl w:val="0"/>
                <w:numId w:val="19"/>
              </w:numPr>
              <w:spacing w:before="60" w:after="60"/>
              <w:ind w:hanging="357"/>
              <w:contextualSpacing w:val="0"/>
            </w:pPr>
            <w:r>
              <w:t>r</w:t>
            </w:r>
            <w:r w:rsidR="001E2A38" w:rsidRPr="00A3097D">
              <w:t xml:space="preserve">ashes reduced by use of protective clothing and improved </w:t>
            </w:r>
            <w:r w:rsidR="00EA1D4B">
              <w:t>dust removal measures</w:t>
            </w:r>
          </w:p>
          <w:p w14:paraId="73E577D8" w14:textId="77777777" w:rsidR="001E2A38" w:rsidRPr="00A3097D" w:rsidRDefault="001E2A38" w:rsidP="0083039B">
            <w:pPr>
              <w:pStyle w:val="ListBullet"/>
              <w:numPr>
                <w:ilvl w:val="0"/>
                <w:numId w:val="18"/>
              </w:numPr>
              <w:spacing w:before="60" w:after="60"/>
              <w:ind w:hanging="357"/>
              <w:contextualSpacing w:val="0"/>
            </w:pPr>
            <w:r w:rsidRPr="00A3097D">
              <w:t xml:space="preserve">Skin prick test studies </w:t>
            </w:r>
            <w:r w:rsidR="002B547A" w:rsidRPr="00A3097D">
              <w:t xml:space="preserve">with hairdressers </w:t>
            </w:r>
            <w:r w:rsidRPr="00A3097D">
              <w:t>(</w:t>
            </w:r>
            <w:r w:rsidR="00697977">
              <w:t>salt</w:t>
            </w:r>
            <w:r w:rsidR="002B547A" w:rsidRPr="00A3097D">
              <w:t xml:space="preserve"> not specified) induced asthma and local wheal (no further information provided)</w:t>
            </w:r>
          </w:p>
          <w:p w14:paraId="45337D6C" w14:textId="77777777" w:rsidR="0079313E" w:rsidRDefault="002B547A" w:rsidP="0083039B">
            <w:pPr>
              <w:pStyle w:val="ListBullet"/>
              <w:numPr>
                <w:ilvl w:val="0"/>
                <w:numId w:val="18"/>
              </w:numPr>
              <w:spacing w:before="60" w:after="60"/>
              <w:ind w:hanging="357"/>
              <w:contextualSpacing w:val="0"/>
            </w:pPr>
            <w:r w:rsidRPr="00A3097D">
              <w:t xml:space="preserve">Asthma induced by blowing 0.1 mg </w:t>
            </w:r>
            <w:r w:rsidR="0079313E" w:rsidRPr="00A3097D">
              <w:t xml:space="preserve">into the nose </w:t>
            </w:r>
            <w:r w:rsidR="00AC72D5">
              <w:t>(</w:t>
            </w:r>
            <w:r w:rsidR="00697977">
              <w:t>salt</w:t>
            </w:r>
            <w:r w:rsidR="0079313E" w:rsidRPr="00A3097D">
              <w:t xml:space="preserve"> or concentration</w:t>
            </w:r>
            <w:r w:rsidRPr="00A3097D">
              <w:t xml:space="preserve"> not specified)</w:t>
            </w:r>
          </w:p>
          <w:p w14:paraId="635F7E0F" w14:textId="77777777" w:rsidR="00E83204" w:rsidRDefault="00E83204" w:rsidP="0083039B">
            <w:pPr>
              <w:pStyle w:val="ListBullet"/>
              <w:numPr>
                <w:ilvl w:val="0"/>
                <w:numId w:val="18"/>
              </w:numPr>
              <w:spacing w:before="60" w:after="60"/>
              <w:ind w:hanging="357"/>
              <w:contextualSpacing w:val="0"/>
            </w:pPr>
            <w:r>
              <w:t>Asthma reported in hairdressers, induced through persulfate exposure</w:t>
            </w:r>
            <w:r w:rsidR="00284CE7">
              <w:t>.</w:t>
            </w:r>
          </w:p>
          <w:p w14:paraId="3A2C534C" w14:textId="77777777" w:rsidR="0079313E" w:rsidRPr="00A3097D" w:rsidRDefault="0079313E" w:rsidP="006E567F">
            <w:pPr>
              <w:pStyle w:val="ListBullet"/>
            </w:pPr>
            <w:r w:rsidRPr="00A3097D">
              <w:t>Animal data:</w:t>
            </w:r>
          </w:p>
          <w:p w14:paraId="51846E6A" w14:textId="77777777" w:rsidR="0079313E" w:rsidRPr="00A3097D" w:rsidRDefault="0079313E" w:rsidP="0083039B">
            <w:pPr>
              <w:pStyle w:val="ListBullet"/>
              <w:numPr>
                <w:ilvl w:val="0"/>
                <w:numId w:val="18"/>
              </w:numPr>
              <w:spacing w:before="60" w:after="60"/>
              <w:ind w:hanging="357"/>
              <w:contextualSpacing w:val="0"/>
            </w:pPr>
            <w:r w:rsidRPr="00A3097D">
              <w:t>No sub-chronic toxicity studies avai</w:t>
            </w:r>
            <w:r w:rsidR="00284CE7">
              <w:t>lable for ammonium- or K-</w:t>
            </w:r>
            <w:r w:rsidRPr="00A3097D">
              <w:t xml:space="preserve"> persulfate.</w:t>
            </w:r>
          </w:p>
          <w:p w14:paraId="608CB03F" w14:textId="6269B943" w:rsidR="0079313E" w:rsidRPr="00A3097D" w:rsidRDefault="00B24077" w:rsidP="0083039B">
            <w:pPr>
              <w:pStyle w:val="ListBullet"/>
              <w:numPr>
                <w:ilvl w:val="0"/>
                <w:numId w:val="18"/>
              </w:numPr>
              <w:spacing w:before="60" w:after="60"/>
              <w:ind w:hanging="357"/>
              <w:contextualSpacing w:val="0"/>
            </w:pPr>
            <w:r>
              <w:t>R</w:t>
            </w:r>
            <w:r w:rsidR="006E567F">
              <w:t xml:space="preserve">epeat feeding study (rats, </w:t>
            </w:r>
            <w:r w:rsidR="0079313E" w:rsidRPr="00A3097D">
              <w:t xml:space="preserve">13 </w:t>
            </w:r>
            <w:r w:rsidR="004A6E10" w:rsidRPr="00A3097D">
              <w:t>wk</w:t>
            </w:r>
            <w:r w:rsidR="0079313E" w:rsidRPr="00A3097D">
              <w:t xml:space="preserve">) </w:t>
            </w:r>
            <w:r w:rsidR="004A6E10" w:rsidRPr="00A3097D">
              <w:t>reported</w:t>
            </w:r>
            <w:r w:rsidR="0079313E" w:rsidRPr="00A3097D">
              <w:t xml:space="preserve"> no significant differences between treated and untreated groups as measured by organ weights, body weight ratios, blood chemistry, </w:t>
            </w:r>
            <w:r w:rsidR="00AC72D5" w:rsidRPr="00A3097D">
              <w:t>haematological</w:t>
            </w:r>
            <w:r w:rsidR="0079313E" w:rsidRPr="00A3097D">
              <w:t xml:space="preserve"> and urin</w:t>
            </w:r>
            <w:r>
              <w:t xml:space="preserve">ary </w:t>
            </w:r>
            <w:r w:rsidR="002C5A92">
              <w:t>parameters:</w:t>
            </w:r>
            <w:r w:rsidR="0079313E" w:rsidRPr="00A3097D">
              <w:t xml:space="preserve"> </w:t>
            </w:r>
          </w:p>
          <w:p w14:paraId="4D661A9E" w14:textId="6118000E" w:rsidR="00810845" w:rsidRDefault="00284CE7" w:rsidP="00810845">
            <w:pPr>
              <w:pStyle w:val="ListBullet"/>
              <w:numPr>
                <w:ilvl w:val="0"/>
                <w:numId w:val="20"/>
              </w:numPr>
              <w:spacing w:before="60" w:after="60"/>
              <w:ind w:hanging="357"/>
              <w:contextualSpacing w:val="0"/>
            </w:pPr>
            <w:r>
              <w:t>d</w:t>
            </w:r>
            <w:r w:rsidR="0079313E" w:rsidRPr="00A3097D">
              <w:t>ose</w:t>
            </w:r>
            <w:r w:rsidR="004A6E10" w:rsidRPr="00A3097D">
              <w:t xml:space="preserve"> range</w:t>
            </w:r>
            <w:r w:rsidR="00E83204">
              <w:t xml:space="preserve"> </w:t>
            </w:r>
            <w:r w:rsidR="008D0487">
              <w:t>0, 300 or 3</w:t>
            </w:r>
            <w:r w:rsidR="00C708D9">
              <w:t>,</w:t>
            </w:r>
            <w:r w:rsidR="008D0487">
              <w:t xml:space="preserve">000 </w:t>
            </w:r>
            <w:r w:rsidR="0079313E" w:rsidRPr="00A3097D">
              <w:t xml:space="preserve">ppm </w:t>
            </w:r>
            <w:r w:rsidR="004A6E10" w:rsidRPr="00A3097D">
              <w:t xml:space="preserve">in diet for 13 wk </w:t>
            </w:r>
            <w:r w:rsidR="0079313E" w:rsidRPr="00A3097D">
              <w:t xml:space="preserve">in one group and </w:t>
            </w:r>
            <w:r w:rsidR="004A6E10" w:rsidRPr="00A3097D">
              <w:t>1</w:t>
            </w:r>
            <w:r w:rsidR="00C708D9">
              <w:t>,</w:t>
            </w:r>
            <w:r w:rsidR="004A6E10" w:rsidRPr="00A3097D">
              <w:t>000 ppm for 8 wk and 5</w:t>
            </w:r>
            <w:r w:rsidR="00C708D9">
              <w:t>,</w:t>
            </w:r>
            <w:r w:rsidR="004A6E10" w:rsidRPr="00A3097D">
              <w:t>000 ppm for 5 wk in second group (feeding period unspecified)</w:t>
            </w:r>
            <w:r w:rsidR="00A3097D">
              <w:t>.</w:t>
            </w:r>
          </w:p>
          <w:p w14:paraId="70C6FF10" w14:textId="77777777" w:rsidR="00810845" w:rsidRDefault="00810845" w:rsidP="00810845">
            <w:pPr>
              <w:pStyle w:val="ListBullet"/>
              <w:spacing w:before="60" w:after="60"/>
              <w:ind w:left="1080"/>
              <w:contextualSpacing w:val="0"/>
            </w:pPr>
          </w:p>
          <w:p w14:paraId="750E93EF" w14:textId="29020427" w:rsidR="00810845" w:rsidRPr="00A3097D" w:rsidRDefault="00810845" w:rsidP="00810845">
            <w:pPr>
              <w:pStyle w:val="ListBullet"/>
              <w:spacing w:before="60" w:after="60"/>
              <w:contextualSpacing w:val="0"/>
            </w:pPr>
            <w:r w:rsidRPr="00A3097D">
              <w:t xml:space="preserve">Insufficient data to recommend a carcinogenicity, skin sensitisation notation for </w:t>
            </w:r>
            <w:r>
              <w:t xml:space="preserve">any </w:t>
            </w:r>
            <w:r w:rsidRPr="00A3097D">
              <w:t>salts.</w:t>
            </w:r>
          </w:p>
          <w:p w14:paraId="41ABB4D0" w14:textId="77777777" w:rsidR="00C978F0" w:rsidRPr="00136799" w:rsidRDefault="00C978F0" w:rsidP="00136799">
            <w:pPr>
              <w:widowControl w:val="0"/>
              <w:autoSpaceDE w:val="0"/>
              <w:autoSpaceDN w:val="0"/>
              <w:adjustRightInd w:val="0"/>
              <w:spacing w:after="0" w:line="210" w:lineRule="auto"/>
            </w:pPr>
          </w:p>
        </w:tc>
      </w:tr>
      <w:tr w:rsidR="00C978F0" w:rsidRPr="00DA352E" w14:paraId="78E51C17" w14:textId="77777777" w:rsidTr="0036236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FC2A0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36799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564AE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564AE">
                  <w:t>—</w:t>
                </w:r>
              </w:sdtContent>
            </w:sdt>
          </w:p>
        </w:tc>
      </w:tr>
      <w:tr w:rsidR="00C978F0" w:rsidRPr="00DA352E" w14:paraId="2ED6ED22" w14:textId="77777777" w:rsidTr="00362368">
        <w:trPr>
          <w:gridAfter w:val="1"/>
          <w:wAfter w:w="8" w:type="pct"/>
        </w:trPr>
        <w:tc>
          <w:tcPr>
            <w:tcW w:w="4992" w:type="pct"/>
          </w:tcPr>
          <w:p w14:paraId="08739E7D" w14:textId="77777777" w:rsidR="00136799" w:rsidRPr="00A3097D" w:rsidRDefault="00136799" w:rsidP="00A3097D">
            <w:pPr>
              <w:pStyle w:val="Tabletextprimarysource"/>
            </w:pPr>
            <w:r w:rsidRPr="00A3097D">
              <w:t>Summary of additional data:</w:t>
            </w:r>
          </w:p>
          <w:p w14:paraId="5693C5E6" w14:textId="77777777" w:rsidR="00DB384D" w:rsidRPr="00A3097D" w:rsidRDefault="00DB384D" w:rsidP="00A3097D">
            <w:pPr>
              <w:pStyle w:val="Tabletextprimarysource"/>
            </w:pPr>
            <w:r w:rsidRPr="00A3097D">
              <w:t>Respiratory and dermal sensitiser notations (Sa</w:t>
            </w:r>
            <w:r w:rsidR="00AC72D5">
              <w:t xml:space="preserve"> and S</w:t>
            </w:r>
            <w:r w:rsidRPr="00A3097D">
              <w:t>h) recommended.</w:t>
            </w:r>
          </w:p>
          <w:p w14:paraId="7E1BF400" w14:textId="77777777" w:rsidR="00136799" w:rsidRPr="00A3097D" w:rsidRDefault="00136799" w:rsidP="00A3097D">
            <w:pPr>
              <w:pStyle w:val="Tabletextprimarysource"/>
            </w:pPr>
            <w:r w:rsidRPr="00A3097D">
              <w:t>Human data:</w:t>
            </w:r>
          </w:p>
          <w:p w14:paraId="116C8FFA" w14:textId="4283C3BA" w:rsidR="00136799" w:rsidRPr="00A3097D" w:rsidRDefault="00AC72D5" w:rsidP="0083039B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 xml:space="preserve">Workplace study at </w:t>
            </w:r>
            <w:r w:rsidR="00730B6A" w:rsidRPr="00A3097D">
              <w:t>persulfate production plant with 32 exposed workers reported no higher incidences of asthma, rhinitis, conjunctivitis or dermatit</w:t>
            </w:r>
            <w:r>
              <w:t>is compared with control group</w:t>
            </w:r>
          </w:p>
          <w:p w14:paraId="0CDC138F" w14:textId="77777777" w:rsidR="00730B6A" w:rsidRPr="00A3097D" w:rsidRDefault="005275EE" w:rsidP="0083039B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 w:rsidRPr="00A3097D">
              <w:t>Personal air monitoring for</w:t>
            </w:r>
            <w:r w:rsidR="00730B6A" w:rsidRPr="00A3097D">
              <w:t xml:space="preserve"> </w:t>
            </w:r>
            <w:r w:rsidR="00810BFF">
              <w:t>persulfate salts (NH</w:t>
            </w:r>
            <w:r w:rsidR="00810BFF" w:rsidRPr="00AC72D5">
              <w:rPr>
                <w:vertAlign w:val="subscript"/>
              </w:rPr>
              <w:t>4</w:t>
            </w:r>
            <w:r w:rsidR="00810BFF">
              <w:t xml:space="preserve"> </w:t>
            </w:r>
            <w:r w:rsidR="00B24077">
              <w:t xml:space="preserve">and </w:t>
            </w:r>
            <w:r w:rsidR="00810BFF">
              <w:t>Na)</w:t>
            </w:r>
            <w:r w:rsidR="00730B6A" w:rsidRPr="00A3097D">
              <w:t xml:space="preserve"> </w:t>
            </w:r>
            <w:r w:rsidRPr="00A3097D">
              <w:t xml:space="preserve">returned indoor air concentrations </w:t>
            </w:r>
            <w:r w:rsidR="00810BFF">
              <w:t>&lt;</w:t>
            </w:r>
            <w:r w:rsidRPr="00A3097D">
              <w:t>1 mg/m</w:t>
            </w:r>
            <w:r w:rsidRPr="00A3097D">
              <w:rPr>
                <w:vertAlign w:val="superscript"/>
              </w:rPr>
              <w:t>3</w:t>
            </w:r>
            <w:r w:rsidRPr="00A3097D">
              <w:t xml:space="preserve"> and peak concentrations ranging from 1.4</w:t>
            </w:r>
            <w:r w:rsidR="00284CE7">
              <w:t>–</w:t>
            </w:r>
            <w:r w:rsidRPr="00A3097D">
              <w:t>3.6 mg/m</w:t>
            </w:r>
            <w:r w:rsidRPr="00A3097D">
              <w:rPr>
                <w:vertAlign w:val="superscript"/>
              </w:rPr>
              <w:t>3</w:t>
            </w:r>
            <w:r w:rsidRPr="00A3097D">
              <w:t xml:space="preserve"> (no further information provided)</w:t>
            </w:r>
          </w:p>
          <w:p w14:paraId="71E70F17" w14:textId="77777777" w:rsidR="00DB384D" w:rsidRDefault="00DB384D" w:rsidP="0083039B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 w:rsidRPr="00A3097D">
              <w:t xml:space="preserve">No evidence for non-specific histamine release response in human skin prick test studies </w:t>
            </w:r>
            <w:r w:rsidR="00810BFF">
              <w:t>(Na</w:t>
            </w:r>
            <w:r w:rsidR="00B24077">
              <w:t xml:space="preserve"> and</w:t>
            </w:r>
            <w:r w:rsidR="00810BFF">
              <w:t xml:space="preserve"> K</w:t>
            </w:r>
            <w:r w:rsidR="00B24077">
              <w:t xml:space="preserve">, </w:t>
            </w:r>
            <w:r w:rsidRPr="00A3097D">
              <w:t xml:space="preserve">no data available for </w:t>
            </w:r>
            <w:r w:rsidR="00D90B67">
              <w:t>NH</w:t>
            </w:r>
            <w:r w:rsidR="00D90B67" w:rsidRPr="00AC72D5">
              <w:rPr>
                <w:vertAlign w:val="subscript"/>
              </w:rPr>
              <w:t>4</w:t>
            </w:r>
            <w:r w:rsidRPr="00A3097D">
              <w:t>)</w:t>
            </w:r>
          </w:p>
          <w:p w14:paraId="164073CD" w14:textId="02E29126" w:rsidR="00284CE7" w:rsidRDefault="003704B1" w:rsidP="0083039B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rPr>
                <w:rFonts w:cs="Arial"/>
              </w:rPr>
              <w:t>Single positive reaction in skin prick and patch tests (NH</w:t>
            </w:r>
            <w:r w:rsidRPr="00035149">
              <w:rPr>
                <w:rFonts w:cs="Arial"/>
                <w:vertAlign w:val="subscript"/>
              </w:rPr>
              <w:t>4</w:t>
            </w:r>
            <w:r>
              <w:rPr>
                <w:rFonts w:cs="Arial"/>
              </w:rPr>
              <w:t xml:space="preserve"> and K mixtu</w:t>
            </w:r>
            <w:r w:rsidR="00284CE7">
              <w:rPr>
                <w:rFonts w:cs="Arial"/>
              </w:rPr>
              <w:t>res of 2</w:t>
            </w:r>
            <w:r w:rsidR="009C72C9">
              <w:rPr>
                <w:rFonts w:cs="Arial"/>
              </w:rPr>
              <w:t>–</w:t>
            </w:r>
            <w:r w:rsidR="00284CE7">
              <w:rPr>
                <w:rFonts w:cs="Arial"/>
              </w:rPr>
              <w:t>2.5% in water or Vaseline).</w:t>
            </w:r>
          </w:p>
          <w:p w14:paraId="41A74FA5" w14:textId="77777777" w:rsidR="00DB384D" w:rsidRPr="00A3097D" w:rsidRDefault="00DB384D" w:rsidP="0083039B">
            <w:pPr>
              <w:pStyle w:val="Tabletextprimarysource"/>
            </w:pPr>
            <w:r w:rsidRPr="00A3097D">
              <w:t>Animal data:</w:t>
            </w:r>
          </w:p>
          <w:p w14:paraId="4AA7546B" w14:textId="77777777" w:rsidR="005275EE" w:rsidRPr="00A3097D" w:rsidRDefault="00810BFF" w:rsidP="0083039B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lastRenderedPageBreak/>
              <w:t>P</w:t>
            </w:r>
            <w:r w:rsidR="005275EE" w:rsidRPr="00A3097D">
              <w:t>ersulfate</w:t>
            </w:r>
            <w:r>
              <w:t xml:space="preserve"> salts (Na</w:t>
            </w:r>
            <w:r w:rsidR="00B24077">
              <w:t xml:space="preserve"> and</w:t>
            </w:r>
            <w:r>
              <w:t xml:space="preserve"> K)</w:t>
            </w:r>
            <w:r w:rsidR="005275EE" w:rsidRPr="00A3097D">
              <w:t xml:space="preserve"> shown to elicit </w:t>
            </w:r>
            <w:r w:rsidR="00DB384D" w:rsidRPr="00A3097D">
              <w:t xml:space="preserve">non-specific histamine release response </w:t>
            </w:r>
            <w:r w:rsidR="00DB384D" w:rsidRPr="00AC72D5">
              <w:rPr>
                <w:i/>
              </w:rPr>
              <w:t>in vitro</w:t>
            </w:r>
          </w:p>
          <w:p w14:paraId="105E60CB" w14:textId="77777777" w:rsidR="000B5DE1" w:rsidRPr="00A3097D" w:rsidRDefault="00DB384D" w:rsidP="0083039B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 w:rsidRPr="00A3097D">
              <w:t xml:space="preserve">Maximisation </w:t>
            </w:r>
            <w:r w:rsidR="00701F5F" w:rsidRPr="00A3097D">
              <w:t>test</w:t>
            </w:r>
            <w:r w:rsidRPr="00A3097D">
              <w:t xml:space="preserve"> (</w:t>
            </w:r>
            <w:r w:rsidR="00701F5F" w:rsidRPr="00A3097D">
              <w:t xml:space="preserve">unspecified animal, 10 repeat doses, alternating days) </w:t>
            </w:r>
            <w:r w:rsidR="000B5DE1" w:rsidRPr="00A3097D">
              <w:t>carried out with aqueous solutions of ammonium persulfate</w:t>
            </w:r>
          </w:p>
          <w:p w14:paraId="0FB41002" w14:textId="77777777" w:rsidR="000B5DE1" w:rsidRPr="00A3097D" w:rsidRDefault="00A3097D" w:rsidP="0083039B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 w:rsidRPr="00A3097D">
              <w:t xml:space="preserve">20/20 positive reactions after </w:t>
            </w:r>
            <w:r w:rsidR="00B45FEF">
              <w:t>challenge by</w:t>
            </w:r>
            <w:r w:rsidR="000B5DE1" w:rsidRPr="00A3097D">
              <w:t xml:space="preserve"> intradermal injection of 0.1% saline solution (unspecified concentration expression)</w:t>
            </w:r>
          </w:p>
          <w:p w14:paraId="09D6E26A" w14:textId="77777777" w:rsidR="00F7428F" w:rsidRDefault="00A3097D" w:rsidP="0083039B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 w:rsidRPr="00A3097D">
              <w:t xml:space="preserve">16/20 positive reactions after dermal </w:t>
            </w:r>
            <w:r w:rsidR="00B45FEF">
              <w:t>challenge</w:t>
            </w:r>
            <w:r w:rsidRPr="00A3097D">
              <w:t xml:space="preserve"> </w:t>
            </w:r>
            <w:r w:rsidR="00B45FEF">
              <w:t>with</w:t>
            </w:r>
            <w:r w:rsidRPr="00A3097D">
              <w:t xml:space="preserve"> 1% aqueous solution (unspecified concentration expression)</w:t>
            </w:r>
            <w:r>
              <w:t>.</w:t>
            </w:r>
          </w:p>
          <w:p w14:paraId="13B8AD24" w14:textId="77777777" w:rsidR="00284CE7" w:rsidRPr="00DA352E" w:rsidRDefault="00284CE7" w:rsidP="00284CE7">
            <w:pPr>
              <w:pStyle w:val="ListBullet"/>
            </w:pPr>
          </w:p>
        </w:tc>
      </w:tr>
      <w:tr w:rsidR="00C978F0" w:rsidRPr="00DA352E" w14:paraId="61A5A3D1" w14:textId="77777777" w:rsidTr="0036236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540DE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564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564AE">
                  <w:t>NA</w:t>
                </w:r>
              </w:sdtContent>
            </w:sdt>
          </w:p>
        </w:tc>
      </w:tr>
      <w:tr w:rsidR="00C978F0" w:rsidRPr="00DA352E" w14:paraId="1AAE02DC" w14:textId="77777777" w:rsidTr="00362368">
        <w:trPr>
          <w:gridAfter w:val="1"/>
          <w:wAfter w:w="8" w:type="pct"/>
          <w:cantSplit/>
        </w:trPr>
        <w:tc>
          <w:tcPr>
            <w:tcW w:w="4992" w:type="pct"/>
          </w:tcPr>
          <w:p w14:paraId="2A8A6769" w14:textId="77777777" w:rsidR="00C978F0" w:rsidRPr="00DA352E" w:rsidRDefault="00A3097D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2C11B600" w14:textId="77777777" w:rsidTr="0036236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B071F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3097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3097D">
                  <w:t>NA</w:t>
                </w:r>
              </w:sdtContent>
            </w:sdt>
          </w:p>
        </w:tc>
      </w:tr>
      <w:tr w:rsidR="00DA352E" w:rsidRPr="00DA352E" w14:paraId="4DFD88A8" w14:textId="77777777" w:rsidTr="00362368">
        <w:trPr>
          <w:gridAfter w:val="1"/>
          <w:wAfter w:w="8" w:type="pct"/>
          <w:cantSplit/>
        </w:trPr>
        <w:tc>
          <w:tcPr>
            <w:tcW w:w="4992" w:type="pct"/>
          </w:tcPr>
          <w:p w14:paraId="3E7FF597" w14:textId="77777777" w:rsidR="00DA352E" w:rsidRPr="00DA352E" w:rsidRDefault="00A3097D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7F90A4B6" w14:textId="77777777" w:rsidTr="0036236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7076F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564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564AE">
                  <w:t>NA</w:t>
                </w:r>
              </w:sdtContent>
            </w:sdt>
          </w:p>
        </w:tc>
      </w:tr>
      <w:tr w:rsidR="00DA352E" w:rsidRPr="00DA352E" w14:paraId="42FC73EE" w14:textId="77777777" w:rsidTr="00362368">
        <w:trPr>
          <w:gridAfter w:val="1"/>
          <w:wAfter w:w="8" w:type="pct"/>
          <w:cantSplit/>
        </w:trPr>
        <w:tc>
          <w:tcPr>
            <w:tcW w:w="4992" w:type="pct"/>
          </w:tcPr>
          <w:p w14:paraId="6B0BE927" w14:textId="77777777" w:rsidR="00DA352E" w:rsidRPr="00DA352E" w:rsidRDefault="00B45FEF" w:rsidP="003365A5">
            <w:pPr>
              <w:pStyle w:val="Tabletextprimarysource"/>
            </w:pPr>
            <w:r>
              <w:t>No report</w:t>
            </w:r>
          </w:p>
        </w:tc>
      </w:tr>
    </w:tbl>
    <w:p w14:paraId="69F8478D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A00373" w:rsidRPr="00362368" w14:paraId="552C6FBA" w14:textId="77777777" w:rsidTr="003623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74DDE11C" w14:textId="77777777" w:rsidR="004966BF" w:rsidRPr="00362368" w:rsidRDefault="004966BF" w:rsidP="00263255">
            <w:pPr>
              <w:pStyle w:val="Tableheader"/>
              <w:rPr>
                <w:b/>
              </w:rPr>
            </w:pPr>
            <w:r w:rsidRPr="00362368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F11D6CB" w14:textId="77777777" w:rsidR="004966BF" w:rsidRPr="00362368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6A6A320A" w14:textId="77777777" w:rsidR="004966BF" w:rsidRPr="00362368" w:rsidRDefault="004966BF" w:rsidP="00263255">
            <w:pPr>
              <w:pStyle w:val="Tableheader"/>
              <w:rPr>
                <w:b/>
              </w:rPr>
            </w:pPr>
            <w:r w:rsidRPr="00362368">
              <w:rPr>
                <w:b/>
              </w:rP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070E9310" w14:textId="77777777" w:rsidR="004966BF" w:rsidRPr="00362368" w:rsidRDefault="004966BF" w:rsidP="00263255">
            <w:pPr>
              <w:pStyle w:val="Tableheader"/>
              <w:rPr>
                <w:b/>
              </w:rPr>
            </w:pPr>
            <w:r w:rsidRPr="00362368">
              <w:rPr>
                <w:b/>
              </w:rPr>
              <w:t>Additional information</w:t>
            </w:r>
          </w:p>
        </w:tc>
      </w:tr>
      <w:tr w:rsidR="004966BF" w:rsidRPr="004C23F4" w14:paraId="61C94F30" w14:textId="77777777" w:rsidTr="00362368">
        <w:trPr>
          <w:cantSplit/>
        </w:trPr>
        <w:tc>
          <w:tcPr>
            <w:tcW w:w="1496" w:type="dxa"/>
          </w:tcPr>
          <w:p w14:paraId="24C72523" w14:textId="77777777" w:rsidR="004966BF" w:rsidRPr="004C23F4" w:rsidRDefault="004966BF" w:rsidP="00224EE2">
            <w:pPr>
              <w:pStyle w:val="Tablefont"/>
            </w:pPr>
            <w:r w:rsidRPr="00C92175">
              <w:t>NICNAS</w:t>
            </w:r>
          </w:p>
        </w:tc>
        <w:tc>
          <w:tcPr>
            <w:tcW w:w="423" w:type="dxa"/>
          </w:tcPr>
          <w:p w14:paraId="06E87F25" w14:textId="77777777" w:rsidR="004966BF" w:rsidRPr="00CE617F" w:rsidRDefault="0046348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564A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2062503C" w14:textId="77777777" w:rsidR="004966BF" w:rsidRPr="004C23F4" w:rsidRDefault="00B33A2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7" w:type="dxa"/>
          </w:tcPr>
          <w:p w14:paraId="76ACE490" w14:textId="77777777" w:rsidR="004966BF" w:rsidRPr="004C23F4" w:rsidRDefault="00284CE7" w:rsidP="00351798">
            <w:pPr>
              <w:pStyle w:val="ListBullet"/>
              <w:numPr>
                <w:ilvl w:val="0"/>
                <w:numId w:val="15"/>
              </w:numPr>
              <w:ind w:left="723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~</w:t>
            </w:r>
            <w:r w:rsidR="00C92175" w:rsidRPr="00C92175">
              <w:rPr>
                <w:rStyle w:val="checkbox"/>
                <w:rFonts w:ascii="Arial" w:hAnsi="Arial" w:cs="Arial"/>
              </w:rPr>
              <w:t>50 mg/m</w:t>
            </w:r>
            <w:r w:rsidR="00C92175" w:rsidRPr="00C92175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C92175" w:rsidRPr="00C92175">
              <w:rPr>
                <w:rStyle w:val="checkbox"/>
                <w:rFonts w:ascii="Arial" w:hAnsi="Arial" w:cs="Arial"/>
              </w:rPr>
              <w:t xml:space="preserve"> </w:t>
            </w:r>
            <w:r w:rsidR="00B24077">
              <w:rPr>
                <w:rStyle w:val="checkbox"/>
                <w:rFonts w:ascii="Arial" w:hAnsi="Arial" w:cs="Arial"/>
              </w:rPr>
              <w:t>NH</w:t>
            </w:r>
            <w:r w:rsidR="00B24077">
              <w:rPr>
                <w:rStyle w:val="checkbox"/>
                <w:rFonts w:ascii="Arial" w:hAnsi="Arial" w:cs="Arial"/>
                <w:vertAlign w:val="subscript"/>
              </w:rPr>
              <w:t>4</w:t>
            </w:r>
            <w:r w:rsidR="00B24077">
              <w:rPr>
                <w:rStyle w:val="checkbox"/>
                <w:rFonts w:ascii="Arial" w:hAnsi="Arial" w:cs="Arial"/>
              </w:rPr>
              <w:t xml:space="preserve"> </w:t>
            </w:r>
            <w:r w:rsidR="00AC72D5">
              <w:rPr>
                <w:rStyle w:val="checkbox"/>
                <w:rFonts w:ascii="Arial" w:hAnsi="Arial" w:cs="Arial"/>
              </w:rPr>
              <w:t>salt</w:t>
            </w:r>
            <w:r w:rsidR="00AC72D5" w:rsidRPr="00C92175">
              <w:rPr>
                <w:rStyle w:val="checkbox"/>
                <w:rFonts w:ascii="Arial" w:hAnsi="Arial" w:cs="Arial"/>
              </w:rPr>
              <w:t xml:space="preserve"> </w:t>
            </w:r>
            <w:r w:rsidR="00C92175">
              <w:rPr>
                <w:rStyle w:val="checkbox"/>
                <w:rFonts w:ascii="Arial" w:hAnsi="Arial" w:cs="Arial"/>
              </w:rPr>
              <w:t>induced</w:t>
            </w:r>
            <w:r w:rsidR="00AC72D5">
              <w:rPr>
                <w:rStyle w:val="checkbox"/>
                <w:rFonts w:ascii="Arial" w:hAnsi="Arial" w:cs="Arial"/>
              </w:rPr>
              <w:t xml:space="preserve"> airway hyper-responsiveness in</w:t>
            </w:r>
            <w:r w:rsidR="00C92175">
              <w:rPr>
                <w:rStyle w:val="checkbox"/>
                <w:rFonts w:ascii="Arial" w:hAnsi="Arial" w:cs="Arial"/>
              </w:rPr>
              <w:t xml:space="preserve"> occupational lung disease </w:t>
            </w:r>
            <w:r w:rsidR="00AC72D5">
              <w:rPr>
                <w:rStyle w:val="checkbox"/>
                <w:rFonts w:ascii="Arial" w:hAnsi="Arial" w:cs="Arial"/>
              </w:rPr>
              <w:t xml:space="preserve">study </w:t>
            </w:r>
            <w:r w:rsidR="00C92175">
              <w:rPr>
                <w:rStyle w:val="checkbox"/>
                <w:rFonts w:ascii="Arial" w:hAnsi="Arial" w:cs="Arial"/>
              </w:rPr>
              <w:t>(rabbits, 4 h)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E59A07F" w14:textId="77777777" w:rsidTr="00362368">
        <w:trPr>
          <w:cantSplit/>
        </w:trPr>
        <w:tc>
          <w:tcPr>
            <w:tcW w:w="1496" w:type="dxa"/>
          </w:tcPr>
          <w:p w14:paraId="02EFCD6B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44A82157" w14:textId="77777777" w:rsidR="004966BF" w:rsidRPr="00CE617F" w:rsidRDefault="0046348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E622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113EB8A" w14:textId="77777777" w:rsidR="004966BF" w:rsidRPr="004C23F4" w:rsidRDefault="0001588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57" w:type="dxa"/>
          </w:tcPr>
          <w:p w14:paraId="743FCAF2" w14:textId="77777777" w:rsidR="00B33A21" w:rsidRPr="00C35AEC" w:rsidRDefault="00AD35FB" w:rsidP="00351798">
            <w:pPr>
              <w:pStyle w:val="ListBullet"/>
              <w:numPr>
                <w:ilvl w:val="0"/>
                <w:numId w:val="14"/>
              </w:numPr>
              <w:ind w:left="723"/>
              <w:rPr>
                <w:rStyle w:val="checkbox"/>
                <w:rFonts w:ascii="Arial" w:hAnsi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  <w:r>
              <w:t>819.3</w:t>
            </w:r>
            <w:r w:rsidR="005E6220">
              <w:t xml:space="preserve"> mg/kg (rats</w:t>
            </w:r>
            <w:r w:rsidR="00AC72D5">
              <w:t xml:space="preserve">, </w:t>
            </w:r>
            <w:r w:rsidR="00AC72D5">
              <w:rPr>
                <w:rStyle w:val="checkbox"/>
                <w:rFonts w:ascii="Arial" w:hAnsi="Arial" w:cs="Arial"/>
              </w:rPr>
              <w:t>oral</w:t>
            </w:r>
            <w:r>
              <w:t>)</w:t>
            </w:r>
            <w:r w:rsidR="00AC72D5">
              <w:t xml:space="preserve"> as</w:t>
            </w:r>
            <w:r w:rsidR="00AC72D5">
              <w:rPr>
                <w:rStyle w:val="checkbox"/>
                <w:rFonts w:ascii="Arial" w:hAnsi="Arial" w:cs="Arial"/>
              </w:rPr>
              <w:t xml:space="preserve"> NH</w:t>
            </w:r>
            <w:r w:rsidR="00AC72D5">
              <w:rPr>
                <w:rStyle w:val="checkbox"/>
                <w:rFonts w:ascii="Arial" w:hAnsi="Arial" w:cs="Arial"/>
                <w:vertAlign w:val="subscript"/>
              </w:rPr>
              <w:t xml:space="preserve">4 </w:t>
            </w:r>
            <w:r w:rsidR="00AC72D5" w:rsidRPr="000022C1">
              <w:t>salt</w:t>
            </w:r>
            <w:r w:rsidR="00284CE7">
              <w:t>.</w:t>
            </w:r>
          </w:p>
        </w:tc>
      </w:tr>
      <w:tr w:rsidR="004966BF" w:rsidRPr="004C23F4" w14:paraId="343827D7" w14:textId="77777777" w:rsidTr="00362368">
        <w:trPr>
          <w:cantSplit/>
        </w:trPr>
        <w:tc>
          <w:tcPr>
            <w:tcW w:w="1496" w:type="dxa"/>
          </w:tcPr>
          <w:p w14:paraId="5F6F13CF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4357C6B6" w14:textId="77777777" w:rsidR="004966BF" w:rsidRPr="00CE617F" w:rsidRDefault="0046348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E622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196F1E25" w14:textId="77777777" w:rsidR="004966BF" w:rsidRPr="004C23F4" w:rsidRDefault="00390D2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2005</w:t>
            </w:r>
          </w:p>
        </w:tc>
        <w:tc>
          <w:tcPr>
            <w:tcW w:w="6457" w:type="dxa"/>
          </w:tcPr>
          <w:p w14:paraId="56E425BE" w14:textId="7AC8EEF9" w:rsidR="00A00373" w:rsidRDefault="00A00373" w:rsidP="0083039B">
            <w:pPr>
              <w:pStyle w:val="ListBullet"/>
              <w:numPr>
                <w:ilvl w:val="0"/>
                <w:numId w:val="16"/>
              </w:numPr>
              <w:spacing w:before="60" w:after="60"/>
              <w:ind w:left="723"/>
              <w:contextualSpacing w:val="0"/>
            </w:pPr>
            <w:r w:rsidRPr="00A00373">
              <w:t xml:space="preserve">Aqueous solutions of </w:t>
            </w:r>
            <w:r w:rsidR="00B24077">
              <w:t>NH</w:t>
            </w:r>
            <w:r w:rsidR="00B24077">
              <w:rPr>
                <w:vertAlign w:val="subscript"/>
              </w:rPr>
              <w:t>4</w:t>
            </w:r>
            <w:r w:rsidR="00B24077" w:rsidRPr="00A00373">
              <w:t xml:space="preserve"> </w:t>
            </w:r>
            <w:r w:rsidR="00035149">
              <w:t xml:space="preserve">salt </w:t>
            </w:r>
            <w:r w:rsidRPr="00A00373">
              <w:t>irritating to</w:t>
            </w:r>
            <w:r>
              <w:t xml:space="preserve"> humans at concentrations &gt;</w:t>
            </w:r>
            <w:r w:rsidRPr="00A00373">
              <w:t xml:space="preserve">5% </w:t>
            </w:r>
          </w:p>
          <w:p w14:paraId="0988BBA0" w14:textId="77777777" w:rsidR="00A00373" w:rsidRPr="00A00373" w:rsidRDefault="00A00373" w:rsidP="0083039B">
            <w:pPr>
              <w:pStyle w:val="ListBullet"/>
              <w:numPr>
                <w:ilvl w:val="0"/>
                <w:numId w:val="16"/>
              </w:numPr>
              <w:spacing w:before="60" w:after="60"/>
              <w:ind w:left="723"/>
              <w:contextualSpacing w:val="0"/>
            </w:pPr>
            <w:r w:rsidRPr="00A00373">
              <w:t>Irritation in 8/46 subjects with 17.5% aqueous solution of persulfate (</w:t>
            </w:r>
            <w:r w:rsidR="00C35AEC">
              <w:t>ion</w:t>
            </w:r>
            <w:r w:rsidR="00EA350D">
              <w:t>s</w:t>
            </w:r>
            <w:r w:rsidR="00C35AEC">
              <w:t xml:space="preserve"> not specified</w:t>
            </w:r>
            <w:r w:rsidRPr="00A00373">
              <w:t>) under occlusive wrap (4 h)</w:t>
            </w:r>
          </w:p>
          <w:p w14:paraId="5D92952E" w14:textId="77777777" w:rsidR="00AC72D5" w:rsidRPr="00AC72D5" w:rsidRDefault="007C2055" w:rsidP="0083039B">
            <w:pPr>
              <w:pStyle w:val="ListBullet"/>
              <w:numPr>
                <w:ilvl w:val="0"/>
                <w:numId w:val="17"/>
              </w:numPr>
              <w:spacing w:before="60" w:after="60"/>
              <w:ind w:left="723"/>
              <w:contextualSpacing w:val="0"/>
              <w:rPr>
                <w:rFonts w:cs="Arial"/>
              </w:r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495 and 700 mg/kg (female rats</w:t>
            </w:r>
            <w:r w:rsidR="00AC72D5">
              <w:t>, oral</w:t>
            </w:r>
            <w:r>
              <w:t>)</w:t>
            </w:r>
          </w:p>
          <w:p w14:paraId="5B71FE6B" w14:textId="77777777" w:rsidR="00AC72D5" w:rsidRPr="00AC72D5" w:rsidRDefault="00AC72D5" w:rsidP="0083039B">
            <w:pPr>
              <w:pStyle w:val="ListBullet"/>
              <w:numPr>
                <w:ilvl w:val="0"/>
                <w:numId w:val="17"/>
              </w:numPr>
              <w:spacing w:before="60" w:after="60"/>
              <w:ind w:left="723"/>
              <w:contextualSpacing w:val="0"/>
              <w:rPr>
                <w:rFonts w:cs="Arial"/>
              </w:rPr>
            </w:pPr>
            <w:r>
              <w:t>LD</w:t>
            </w:r>
            <w:r w:rsidRPr="00AC72D5">
              <w:rPr>
                <w:vertAlign w:val="subscript"/>
              </w:rPr>
              <w:t>50</w:t>
            </w:r>
            <w:r>
              <w:t>: 742 mg/kg (male rats)</w:t>
            </w:r>
          </w:p>
          <w:p w14:paraId="3F3A409D" w14:textId="77777777" w:rsidR="007C2055" w:rsidRPr="00035149" w:rsidRDefault="007C2055" w:rsidP="0083039B">
            <w:pPr>
              <w:pStyle w:val="ListBullet"/>
              <w:numPr>
                <w:ilvl w:val="0"/>
                <w:numId w:val="17"/>
              </w:numPr>
              <w:spacing w:before="60" w:after="60"/>
              <w:ind w:left="723"/>
              <w:contextualSpacing w:val="0"/>
              <w:rPr>
                <w:rFonts w:cs="Arial"/>
              </w:rPr>
            </w:pPr>
            <w:r>
              <w:t>LD</w:t>
            </w:r>
            <w:r w:rsidRPr="007C2055">
              <w:rPr>
                <w:vertAlign w:val="subscript"/>
              </w:rPr>
              <w:t>50</w:t>
            </w:r>
            <w:r>
              <w:t>: &gt;2</w:t>
            </w:r>
            <w:r w:rsidR="00035149">
              <w:t>,</w:t>
            </w:r>
            <w:r>
              <w:t>000 mg/kg</w:t>
            </w:r>
            <w:r w:rsidR="00035149">
              <w:t xml:space="preserve"> </w:t>
            </w:r>
            <w:r>
              <w:t>(rats</w:t>
            </w:r>
            <w:r w:rsidR="00035149">
              <w:t>/rabbits</w:t>
            </w:r>
            <w:r w:rsidR="0018066B">
              <w:t>, dermal</w:t>
            </w:r>
            <w:r>
              <w:t>)</w:t>
            </w:r>
            <w:r w:rsidR="00035149">
              <w:t xml:space="preserve"> as NH</w:t>
            </w:r>
            <w:r w:rsidR="00035149" w:rsidRPr="00AC72D5">
              <w:rPr>
                <w:vertAlign w:val="subscript"/>
              </w:rPr>
              <w:t>4</w:t>
            </w:r>
            <w:r w:rsidR="00AC72D5">
              <w:rPr>
                <w:vertAlign w:val="subscript"/>
              </w:rPr>
              <w:t xml:space="preserve"> </w:t>
            </w:r>
            <w:r w:rsidR="00AC72D5" w:rsidRPr="00AC72D5">
              <w:t>salt</w:t>
            </w:r>
          </w:p>
          <w:p w14:paraId="38CD9689" w14:textId="77777777" w:rsidR="00035149" w:rsidRPr="00035149" w:rsidRDefault="00035149" w:rsidP="0083039B">
            <w:pPr>
              <w:pStyle w:val="ListBullet"/>
              <w:numPr>
                <w:ilvl w:val="0"/>
                <w:numId w:val="17"/>
              </w:numPr>
              <w:spacing w:before="60" w:after="60"/>
              <w:ind w:left="723"/>
              <w:contextualSpacing w:val="0"/>
              <w:rPr>
                <w:rFonts w:cs="Arial"/>
              </w:rPr>
            </w:pPr>
            <w:r>
              <w:t>LD</w:t>
            </w:r>
            <w:r w:rsidRPr="007C2055">
              <w:rPr>
                <w:vertAlign w:val="subscript"/>
              </w:rPr>
              <w:t>50</w:t>
            </w:r>
            <w:r>
              <w:t>: &gt;10,000 mg/kg (rats/rabbits, dermal) as Na / K</w:t>
            </w:r>
            <w:r w:rsidR="00AC72D5">
              <w:t xml:space="preserve"> </w:t>
            </w:r>
            <w:r w:rsidR="00AC72D5" w:rsidRPr="000022C1">
              <w:t>salt</w:t>
            </w:r>
          </w:p>
          <w:p w14:paraId="4214D4E5" w14:textId="77777777" w:rsidR="00035149" w:rsidRPr="007C2055" w:rsidRDefault="007C2055" w:rsidP="0083039B">
            <w:pPr>
              <w:pStyle w:val="ListBullet"/>
              <w:numPr>
                <w:ilvl w:val="0"/>
                <w:numId w:val="17"/>
              </w:numPr>
              <w:spacing w:before="60" w:after="60"/>
              <w:ind w:left="723"/>
              <w:contextualSpacing w:val="0"/>
              <w:rPr>
                <w:rStyle w:val="checkbox"/>
                <w:rFonts w:ascii="Arial" w:hAnsi="Arial" w:cs="Arial"/>
              </w:rPr>
            </w:pPr>
            <w:r>
              <w:t>LC</w:t>
            </w:r>
            <w:r w:rsidRPr="007C2055">
              <w:rPr>
                <w:vertAlign w:val="subscript"/>
              </w:rPr>
              <w:t>50</w:t>
            </w:r>
            <w:r>
              <w:t>: &gt;2</w:t>
            </w:r>
            <w:r w:rsidR="00035149">
              <w:t>,</w:t>
            </w:r>
            <w:r>
              <w:t>950 mg/m</w:t>
            </w:r>
            <w:r w:rsidRPr="007C2055">
              <w:rPr>
                <w:vertAlign w:val="superscript"/>
              </w:rPr>
              <w:t>3</w:t>
            </w:r>
            <w:r>
              <w:t xml:space="preserve"> (4 h, rats</w:t>
            </w:r>
            <w:r w:rsidR="0018066B">
              <w:t>, acute</w:t>
            </w:r>
            <w:r>
              <w:t>)</w:t>
            </w:r>
            <w:r w:rsidR="00284CE7">
              <w:t>.</w:t>
            </w:r>
          </w:p>
        </w:tc>
      </w:tr>
    </w:tbl>
    <w:p w14:paraId="695D23FE" w14:textId="77777777" w:rsidR="007E2A4B" w:rsidRDefault="007E2A4B"/>
    <w:bookmarkEnd w:id="1"/>
    <w:p w14:paraId="353AACA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03"/>
        <w:gridCol w:w="2423"/>
      </w:tblGrid>
      <w:tr w:rsidR="006E567F" w14:paraId="51004864" w14:textId="77777777" w:rsidTr="006E567F">
        <w:trPr>
          <w:trHeight w:val="454"/>
          <w:tblHeader/>
        </w:trPr>
        <w:tc>
          <w:tcPr>
            <w:tcW w:w="6603" w:type="dxa"/>
            <w:vAlign w:val="center"/>
          </w:tcPr>
          <w:p w14:paraId="26FE534B" w14:textId="77777777" w:rsidR="006E567F" w:rsidRDefault="006E567F" w:rsidP="00C33562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319705052"/>
            <w:placeholder>
              <w:docPart w:val="C4C59D99AB2E463CB0345524D8CE45A4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5CE28CF" w14:textId="77777777" w:rsidR="006E567F" w:rsidRDefault="006E567F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6E567F" w14:paraId="5C00EBDD" w14:textId="77777777" w:rsidTr="006E567F">
        <w:trPr>
          <w:trHeight w:val="454"/>
        </w:trPr>
        <w:sdt>
          <w:sdtPr>
            <w:rPr>
              <w:b/>
            </w:rPr>
            <w:id w:val="1830936485"/>
            <w:placeholder>
              <w:docPart w:val="7D65FF71E8834374AA782C349205C2D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2E61134" w14:textId="77777777" w:rsidR="006E567F" w:rsidRPr="006901A2" w:rsidRDefault="006E567F" w:rsidP="00C3356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F2EA872" w14:textId="77777777" w:rsidR="006E567F" w:rsidRDefault="006E567F" w:rsidP="00C33562">
            <w:pPr>
              <w:pStyle w:val="Tablefont"/>
              <w:keepNext/>
              <w:keepLines/>
              <w:spacing w:before="40" w:after="40"/>
            </w:pPr>
          </w:p>
        </w:tc>
      </w:tr>
    </w:tbl>
    <w:p w14:paraId="2A655DF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362368" w14:paraId="51B971AD" w14:textId="77777777" w:rsidTr="003623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DD1CC88" w14:textId="77777777" w:rsidR="00687890" w:rsidRPr="00362368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362368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4A0390D" w14:textId="77777777" w:rsidR="00687890" w:rsidRPr="00362368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362368">
              <w:rPr>
                <w:b/>
              </w:rPr>
              <w:t>Notations</w:t>
            </w:r>
            <w:r w:rsidR="003A2B94" w:rsidRPr="00362368">
              <w:rPr>
                <w:b/>
              </w:rPr>
              <w:tab/>
            </w:r>
          </w:p>
        </w:tc>
      </w:tr>
      <w:tr w:rsidR="00687890" w:rsidRPr="004C23F4" w14:paraId="2A82D86E" w14:textId="77777777" w:rsidTr="00362368">
        <w:trPr>
          <w:cantSplit/>
        </w:trPr>
        <w:tc>
          <w:tcPr>
            <w:tcW w:w="3227" w:type="dxa"/>
          </w:tcPr>
          <w:p w14:paraId="524ADE6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42E61E" w14:textId="77777777" w:rsidR="00687890" w:rsidRPr="00AC72D5" w:rsidRDefault="00AC72D5" w:rsidP="00403EF9">
            <w:pPr>
              <w:pStyle w:val="NoSpacing"/>
            </w:pPr>
            <w:r w:rsidRPr="00AC72D5">
              <w:t>Sen</w:t>
            </w:r>
          </w:p>
        </w:tc>
      </w:tr>
      <w:tr w:rsidR="007925F0" w:rsidRPr="004C23F4" w14:paraId="02D68EB8" w14:textId="77777777" w:rsidTr="00362368">
        <w:trPr>
          <w:cantSplit/>
        </w:trPr>
        <w:tc>
          <w:tcPr>
            <w:tcW w:w="3227" w:type="dxa"/>
          </w:tcPr>
          <w:p w14:paraId="78B5AB0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C6F3F26" w14:textId="77777777" w:rsidR="007925F0" w:rsidRPr="00AC72D5" w:rsidRDefault="003D280C" w:rsidP="00403EF9">
            <w:pPr>
              <w:pStyle w:val="NoSpacing"/>
            </w:pPr>
            <w:r w:rsidRPr="00AC72D5">
              <w:rPr>
                <w:rFonts w:ascii="Helvetica" w:hAnsi="Helvetica"/>
                <w:shd w:val="clear" w:color="auto" w:fill="FFFFFF"/>
              </w:rPr>
              <w:t>Skin sensitisation – category 1</w:t>
            </w:r>
            <w:r w:rsidR="00AC72D5" w:rsidRPr="00AC72D5">
              <w:rPr>
                <w:rFonts w:ascii="Helvetica" w:hAnsi="Helvetica"/>
                <w:shd w:val="clear" w:color="auto" w:fill="FFFFFF"/>
              </w:rPr>
              <w:t xml:space="preserve">; </w:t>
            </w:r>
            <w:r w:rsidRPr="00AC72D5">
              <w:rPr>
                <w:rFonts w:ascii="Helvetica" w:hAnsi="Helvetica"/>
                <w:shd w:val="clear" w:color="auto" w:fill="FFFFFF"/>
              </w:rPr>
              <w:t>Respiratory sensitisation – category 1</w:t>
            </w:r>
          </w:p>
        </w:tc>
      </w:tr>
      <w:tr w:rsidR="00AF483F" w:rsidRPr="004C23F4" w14:paraId="4AA9E493" w14:textId="77777777" w:rsidTr="00362368">
        <w:trPr>
          <w:cantSplit/>
        </w:trPr>
        <w:tc>
          <w:tcPr>
            <w:tcW w:w="3227" w:type="dxa"/>
          </w:tcPr>
          <w:p w14:paraId="7C2DCA55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03B82681" w14:textId="77777777" w:rsidR="00AF483F" w:rsidRPr="00AC72D5" w:rsidRDefault="0070023F" w:rsidP="00403EF9">
            <w:pPr>
              <w:pStyle w:val="NoSpacing"/>
            </w:pPr>
            <w:r w:rsidRPr="00AC72D5">
              <w:t>Sensitisation</w:t>
            </w:r>
            <w:r w:rsidR="00B45FEF" w:rsidRPr="00AC72D5">
              <w:t xml:space="preserve"> – Cat</w:t>
            </w:r>
            <w:r w:rsidR="006E567F">
              <w:t>egory</w:t>
            </w:r>
            <w:r w:rsidR="00B45FEF" w:rsidRPr="00AC72D5">
              <w:t xml:space="preserve"> 1</w:t>
            </w:r>
          </w:p>
        </w:tc>
      </w:tr>
      <w:tr w:rsidR="00687890" w:rsidRPr="004C23F4" w14:paraId="2B4AE9E7" w14:textId="77777777" w:rsidTr="00362368">
        <w:trPr>
          <w:cantSplit/>
        </w:trPr>
        <w:tc>
          <w:tcPr>
            <w:tcW w:w="3227" w:type="dxa"/>
          </w:tcPr>
          <w:p w14:paraId="72B2C0B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E97A968" w14:textId="77777777" w:rsidR="00687890" w:rsidRPr="00AC72D5" w:rsidRDefault="0047136A" w:rsidP="00403EF9">
            <w:pPr>
              <w:pStyle w:val="NoSpacing"/>
            </w:pPr>
            <w:r w:rsidRPr="00AC72D5">
              <w:t>NA</w:t>
            </w:r>
          </w:p>
        </w:tc>
      </w:tr>
      <w:tr w:rsidR="00E41A26" w:rsidRPr="004C23F4" w14:paraId="0075945F" w14:textId="77777777" w:rsidTr="00362368">
        <w:trPr>
          <w:cantSplit/>
        </w:trPr>
        <w:tc>
          <w:tcPr>
            <w:tcW w:w="3227" w:type="dxa"/>
          </w:tcPr>
          <w:p w14:paraId="73FC04B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64D59AA" w14:textId="77777777" w:rsidR="00E41A26" w:rsidRPr="00AC72D5" w:rsidRDefault="0070023F" w:rsidP="00403EF9">
            <w:pPr>
              <w:pStyle w:val="NoSpacing"/>
            </w:pPr>
            <w:r w:rsidRPr="00AC72D5">
              <w:t>NA</w:t>
            </w:r>
          </w:p>
        </w:tc>
      </w:tr>
      <w:tr w:rsidR="002E0D61" w:rsidRPr="004C23F4" w14:paraId="6BCF834E" w14:textId="77777777" w:rsidTr="00362368">
        <w:trPr>
          <w:cantSplit/>
        </w:trPr>
        <w:tc>
          <w:tcPr>
            <w:tcW w:w="3227" w:type="dxa"/>
          </w:tcPr>
          <w:p w14:paraId="39C9AA2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8923387" w14:textId="77777777" w:rsidR="002E0D61" w:rsidRPr="00AC72D5" w:rsidRDefault="0070023F" w:rsidP="00403EF9">
            <w:pPr>
              <w:pStyle w:val="NoSpacing"/>
            </w:pPr>
            <w:r w:rsidRPr="00AC72D5">
              <w:t>—</w:t>
            </w:r>
          </w:p>
        </w:tc>
      </w:tr>
      <w:tr w:rsidR="002E0D61" w:rsidRPr="004C23F4" w14:paraId="7C88D43F" w14:textId="77777777" w:rsidTr="00362368">
        <w:trPr>
          <w:cantSplit/>
        </w:trPr>
        <w:tc>
          <w:tcPr>
            <w:tcW w:w="3227" w:type="dxa"/>
          </w:tcPr>
          <w:p w14:paraId="12ED293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F521F55" w14:textId="77777777" w:rsidR="002E0D61" w:rsidRPr="00AC72D5" w:rsidRDefault="0070023F" w:rsidP="00403EF9">
            <w:pPr>
              <w:pStyle w:val="NoSpacing"/>
            </w:pPr>
            <w:r w:rsidRPr="00AC72D5">
              <w:t>Sh (dermal sensitiser)</w:t>
            </w:r>
            <w:r w:rsidR="00AC72D5" w:rsidRPr="00AC72D5">
              <w:t>; Sa (respiratory sensitiser</w:t>
            </w:r>
          </w:p>
        </w:tc>
      </w:tr>
      <w:tr w:rsidR="002E0D61" w:rsidRPr="004C23F4" w14:paraId="50D93D43" w14:textId="77777777" w:rsidTr="00362368">
        <w:trPr>
          <w:cantSplit/>
        </w:trPr>
        <w:tc>
          <w:tcPr>
            <w:tcW w:w="3227" w:type="dxa"/>
          </w:tcPr>
          <w:p w14:paraId="284362F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C382466" w14:textId="77777777" w:rsidR="002E0D61" w:rsidRPr="00AC72D5" w:rsidRDefault="0070023F" w:rsidP="00403EF9">
            <w:pPr>
              <w:pStyle w:val="NoSpacing"/>
            </w:pPr>
            <w:r w:rsidRPr="00AC72D5">
              <w:t>NA</w:t>
            </w:r>
          </w:p>
        </w:tc>
      </w:tr>
      <w:tr w:rsidR="002E0D61" w:rsidRPr="004C23F4" w14:paraId="3063D74F" w14:textId="77777777" w:rsidTr="00362368">
        <w:trPr>
          <w:cantSplit/>
        </w:trPr>
        <w:tc>
          <w:tcPr>
            <w:tcW w:w="3227" w:type="dxa"/>
          </w:tcPr>
          <w:p w14:paraId="391015D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923E062" w14:textId="77777777" w:rsidR="002E0D61" w:rsidRPr="00AC72D5" w:rsidRDefault="0070023F" w:rsidP="00403EF9">
            <w:pPr>
              <w:pStyle w:val="NoSpacing"/>
            </w:pPr>
            <w:r w:rsidRPr="00AC72D5">
              <w:t>NA</w:t>
            </w:r>
          </w:p>
        </w:tc>
      </w:tr>
      <w:tr w:rsidR="00386093" w:rsidRPr="004C23F4" w14:paraId="6C8041BD" w14:textId="77777777" w:rsidTr="00362368">
        <w:trPr>
          <w:cantSplit/>
        </w:trPr>
        <w:tc>
          <w:tcPr>
            <w:tcW w:w="3227" w:type="dxa"/>
          </w:tcPr>
          <w:p w14:paraId="0147C50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95E2A0F" w14:textId="77777777" w:rsidR="00386093" w:rsidRPr="00AC72D5" w:rsidRDefault="00E7316C" w:rsidP="00403EF9">
            <w:pPr>
              <w:pStyle w:val="NoSpacing"/>
            </w:pPr>
            <w:r w:rsidRPr="00AC72D5">
              <w:t>NA</w:t>
            </w:r>
          </w:p>
        </w:tc>
      </w:tr>
      <w:tr w:rsidR="00386093" w:rsidRPr="004C23F4" w14:paraId="757307E9" w14:textId="77777777" w:rsidTr="00362368">
        <w:trPr>
          <w:cantSplit/>
        </w:trPr>
        <w:tc>
          <w:tcPr>
            <w:tcW w:w="3227" w:type="dxa"/>
          </w:tcPr>
          <w:p w14:paraId="0F66CF1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6249B9F" w14:textId="77777777" w:rsidR="00386093" w:rsidRPr="00AC72D5" w:rsidRDefault="00E7316C" w:rsidP="00403EF9">
            <w:pPr>
              <w:pStyle w:val="NoSpacing"/>
            </w:pPr>
            <w:r w:rsidRPr="00AC72D5">
              <w:t>NA</w:t>
            </w:r>
          </w:p>
        </w:tc>
      </w:tr>
    </w:tbl>
    <w:bookmarkEnd w:id="2"/>
    <w:p w14:paraId="59037E3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60EC91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D4919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0457CE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C2A9D9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30"/>
              <w:gridCol w:w="878"/>
              <w:gridCol w:w="880"/>
              <w:gridCol w:w="880"/>
              <w:gridCol w:w="880"/>
              <w:gridCol w:w="881"/>
              <w:gridCol w:w="881"/>
            </w:tblGrid>
            <w:tr w:rsidR="0083039B" w:rsidRPr="00DE558F" w14:paraId="133B8B18" w14:textId="77777777" w:rsidTr="0083039B">
              <w:trPr>
                <w:trHeight w:val="334"/>
              </w:trPr>
              <w:tc>
                <w:tcPr>
                  <w:tcW w:w="17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E21D22" w14:textId="77777777" w:rsidR="0083039B" w:rsidRPr="00DE558F" w:rsidRDefault="0083039B" w:rsidP="008A24D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845BB9" w14:textId="77777777" w:rsidR="0083039B" w:rsidRPr="00DE558F" w:rsidRDefault="0083039B" w:rsidP="008A24D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5B945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315679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CF2198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8A28E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90EF5D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3039B" w:rsidRPr="00DE558F" w14:paraId="7E44A7B5" w14:textId="77777777" w:rsidTr="0083039B">
              <w:trPr>
                <w:trHeight w:val="334"/>
              </w:trPr>
              <w:tc>
                <w:tcPr>
                  <w:tcW w:w="17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3D60E" w14:textId="77777777" w:rsidR="0083039B" w:rsidRPr="00DE558F" w:rsidRDefault="0083039B" w:rsidP="008A24D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47DC16" w14:textId="77777777" w:rsidR="0083039B" w:rsidRPr="00DE558F" w:rsidRDefault="0083039B" w:rsidP="008A24D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190DA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1EB6EA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5BFFEE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762DE5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CB7B44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3039B" w:rsidRPr="00DE558F" w14:paraId="61B85C66" w14:textId="77777777" w:rsidTr="0083039B">
              <w:trPr>
                <w:trHeight w:val="334"/>
              </w:trPr>
              <w:tc>
                <w:tcPr>
                  <w:tcW w:w="17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E2B9F3" w14:textId="77777777" w:rsidR="0083039B" w:rsidRPr="00DE558F" w:rsidRDefault="0083039B" w:rsidP="008A24D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046808" w14:textId="77777777" w:rsidR="0083039B" w:rsidRPr="00DE558F" w:rsidRDefault="0083039B" w:rsidP="008A24D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6E7C5C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A59AF4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367210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C2871C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C618F7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3039B" w:rsidRPr="00DE558F" w14:paraId="30E5FE68" w14:textId="77777777" w:rsidTr="0083039B">
              <w:trPr>
                <w:trHeight w:val="334"/>
              </w:trPr>
              <w:tc>
                <w:tcPr>
                  <w:tcW w:w="17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BD9662" w14:textId="77777777" w:rsidR="0083039B" w:rsidRPr="00DE558F" w:rsidRDefault="0083039B" w:rsidP="008A24D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3F2BEF" w14:textId="77777777" w:rsidR="0083039B" w:rsidRPr="00DE558F" w:rsidRDefault="0083039B" w:rsidP="008A24D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180218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150F56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FA2E0E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5CACB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01A364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3039B" w:rsidRPr="00DE558F" w14:paraId="64E0ED08" w14:textId="77777777" w:rsidTr="0083039B">
              <w:trPr>
                <w:trHeight w:val="334"/>
              </w:trPr>
              <w:tc>
                <w:tcPr>
                  <w:tcW w:w="17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5DB5C6" w14:textId="77777777" w:rsidR="0083039B" w:rsidRPr="00DE558F" w:rsidRDefault="0083039B" w:rsidP="008A24D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13262C" w14:textId="77777777" w:rsidR="0083039B" w:rsidRPr="00DE558F" w:rsidRDefault="0083039B" w:rsidP="008A24D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8BB71D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FCB58B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CD5F72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D3A356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2DC4BA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3039B" w:rsidRPr="00DE558F" w14:paraId="6CE09A91" w14:textId="77777777" w:rsidTr="0083039B">
              <w:trPr>
                <w:trHeight w:val="334"/>
              </w:trPr>
              <w:tc>
                <w:tcPr>
                  <w:tcW w:w="17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F24777" w14:textId="77777777" w:rsidR="0083039B" w:rsidRPr="00DE558F" w:rsidRDefault="0083039B" w:rsidP="008A24D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AC67DD" w14:textId="77777777" w:rsidR="0083039B" w:rsidRPr="00DE558F" w:rsidRDefault="0083039B" w:rsidP="008A24D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F72B94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4F8CAF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D4C6BA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D8AD68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812E78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3039B" w:rsidRPr="00DE558F" w14:paraId="165D2B69" w14:textId="77777777" w:rsidTr="0083039B">
              <w:trPr>
                <w:trHeight w:val="334"/>
              </w:trPr>
              <w:tc>
                <w:tcPr>
                  <w:tcW w:w="17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9698F2" w14:textId="77777777" w:rsidR="0083039B" w:rsidRPr="00DE558F" w:rsidRDefault="0083039B" w:rsidP="008A24D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7667E3" w14:textId="77777777" w:rsidR="0083039B" w:rsidRPr="00DE558F" w:rsidRDefault="0083039B" w:rsidP="008A24D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192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9F57D3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  <w:p w14:paraId="1CF8EB55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8DFC4" w14:textId="77777777" w:rsidR="0083039B" w:rsidRPr="00DE558F" w:rsidRDefault="0083039B" w:rsidP="008A24D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DE55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</w:tbl>
          <w:p w14:paraId="0DE02CF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9EC356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86E4DF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C93CA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427DDA2" w14:textId="77777777" w:rsidR="00EB3D1B" w:rsidRDefault="008169F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AB1ECD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1"/>
        <w:gridCol w:w="5035"/>
      </w:tblGrid>
      <w:tr w:rsidR="001B79E5" w:rsidRPr="004C23F4" w14:paraId="457271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D72A4D" w14:textId="77777777" w:rsidR="001B79E5" w:rsidRDefault="001B79E5" w:rsidP="00A31D99">
            <w:pPr>
              <w:pStyle w:val="Tablefont"/>
            </w:pPr>
            <w:r>
              <w:t>Molecular weight:</w:t>
            </w:r>
            <w:r w:rsidR="00403EF9">
              <w:t xml:space="preserve"> </w:t>
            </w:r>
          </w:p>
        </w:tc>
        <w:tc>
          <w:tcPr>
            <w:tcW w:w="5165" w:type="dxa"/>
            <w:vAlign w:val="center"/>
          </w:tcPr>
          <w:p w14:paraId="677EA908" w14:textId="77777777" w:rsidR="00810BFF" w:rsidRPr="00B24077" w:rsidRDefault="00810BFF">
            <w:pPr>
              <w:pStyle w:val="Tablefont"/>
            </w:pPr>
            <w:r w:rsidRPr="00AC72D5">
              <w:t xml:space="preserve">Ammonium </w:t>
            </w:r>
            <w:r w:rsidR="006B625A" w:rsidRPr="00AC72D5">
              <w:t>persulfate</w:t>
            </w:r>
            <w:r w:rsidR="006E567F">
              <w:t>: 228.18</w:t>
            </w:r>
          </w:p>
          <w:p w14:paraId="012788AD" w14:textId="77777777" w:rsidR="00810BFF" w:rsidRPr="00B24077" w:rsidRDefault="00810BFF">
            <w:pPr>
              <w:pStyle w:val="Tablefont"/>
            </w:pPr>
            <w:r w:rsidRPr="00AC72D5">
              <w:t xml:space="preserve">Potassium </w:t>
            </w:r>
            <w:r w:rsidR="006B625A" w:rsidRPr="00AC72D5">
              <w:t>persulfate</w:t>
            </w:r>
            <w:r w:rsidRPr="00B24077">
              <w:t>:</w:t>
            </w:r>
            <w:r w:rsidR="00EA350D">
              <w:t xml:space="preserve"> 270.32</w:t>
            </w:r>
          </w:p>
          <w:p w14:paraId="64B3167C" w14:textId="77777777" w:rsidR="001B79E5" w:rsidRDefault="00810BFF">
            <w:pPr>
              <w:pStyle w:val="Tablefont"/>
            </w:pPr>
            <w:r w:rsidRPr="00B24077">
              <w:t>Sodium</w:t>
            </w:r>
            <w:r w:rsidR="00B24077" w:rsidRPr="00B24077">
              <w:t xml:space="preserve"> persulfate</w:t>
            </w:r>
            <w:r w:rsidR="00403EF9" w:rsidRPr="00B24077">
              <w:t xml:space="preserve">: </w:t>
            </w:r>
            <w:r w:rsidR="006E567F">
              <w:t>238.10</w:t>
            </w:r>
          </w:p>
        </w:tc>
      </w:tr>
      <w:tr w:rsidR="00A31D99" w:rsidRPr="004C23F4" w14:paraId="278BC97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7495D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DA53FC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06220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BCF23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A3DD00" w14:textId="77777777" w:rsidR="00687890" w:rsidRPr="004C23F4" w:rsidRDefault="008169FD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61AE997E" w14:textId="77777777" w:rsidTr="00EA6243">
        <w:trPr>
          <w:cantSplit/>
        </w:trPr>
        <w:tc>
          <w:tcPr>
            <w:tcW w:w="4077" w:type="dxa"/>
            <w:vAlign w:val="center"/>
          </w:tcPr>
          <w:p w14:paraId="4F80880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0EFFC4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F98113" w14:textId="77777777" w:rsidTr="00EA6243">
        <w:trPr>
          <w:cantSplit/>
        </w:trPr>
        <w:tc>
          <w:tcPr>
            <w:tcW w:w="4077" w:type="dxa"/>
            <w:vAlign w:val="center"/>
          </w:tcPr>
          <w:p w14:paraId="0243653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8EE52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F2B07D1" w14:textId="77777777" w:rsidTr="00EA6243">
        <w:trPr>
          <w:cantSplit/>
        </w:trPr>
        <w:tc>
          <w:tcPr>
            <w:tcW w:w="4077" w:type="dxa"/>
            <w:vAlign w:val="center"/>
          </w:tcPr>
          <w:p w14:paraId="50D9B58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B14FC97" w14:textId="77777777" w:rsidR="00E06F40" w:rsidRPr="00A006A0" w:rsidRDefault="0046348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240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0D7CA6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3196C7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17C6D1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D70FFF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723568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1621BA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BCC494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1BB1B95" w14:textId="77777777" w:rsidR="00F87D92" w:rsidRDefault="00F87D92" w:rsidP="00EF7F78">
      <w:pPr>
        <w:pStyle w:val="Heading2"/>
        <w:tabs>
          <w:tab w:val="right" w:pos="8505"/>
        </w:tabs>
      </w:pPr>
      <w:r w:rsidRPr="00403EF9">
        <w:t>References</w:t>
      </w:r>
      <w:r w:rsidR="00EF7F78">
        <w:tab/>
      </w:r>
    </w:p>
    <w:p w14:paraId="321E193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5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E41B786" w14:textId="7AAF9016" w:rsidR="00DB6BF3" w:rsidRDefault="00015880" w:rsidP="00084859">
      <w:r w:rsidRPr="003770EC">
        <w:t>Deutsche Fo</w:t>
      </w:r>
      <w:r>
        <w:t>rschungsgemeinschaft (DFG) (2002</w:t>
      </w:r>
      <w:r w:rsidRPr="003770EC">
        <w:t xml:space="preserve">) </w:t>
      </w:r>
      <w:r>
        <w:t>Ammoniumpersulfat und Alkalipersulfate</w:t>
      </w:r>
      <w:r w:rsidRPr="003770EC">
        <w:t xml:space="preserve"> –MAK value documentation</w:t>
      </w:r>
      <w:r w:rsidRPr="00015880">
        <w:t xml:space="preserve"> </w:t>
      </w:r>
      <w:r>
        <w:t>German language edition</w:t>
      </w:r>
      <w:r w:rsidRPr="003770EC">
        <w:t>.</w:t>
      </w:r>
    </w:p>
    <w:p w14:paraId="4DDD345F" w14:textId="77777777" w:rsidR="00015880" w:rsidRDefault="00015880" w:rsidP="00084859">
      <w:r w:rsidRPr="003770EC">
        <w:t>National Industrial Chemicals Notification and Assessment Scheme (NICNAS) (</w:t>
      </w:r>
      <w:r>
        <w:t>2016</w:t>
      </w:r>
      <w:r w:rsidRPr="003770EC">
        <w:t xml:space="preserve">) </w:t>
      </w:r>
      <w:r>
        <w:t xml:space="preserve">Persulfates. </w:t>
      </w:r>
      <w:r w:rsidRPr="003770EC">
        <w:t>Human health tier II assessment – IMAP report.</w:t>
      </w:r>
    </w:p>
    <w:p w14:paraId="3A2F08E3" w14:textId="77777777" w:rsidR="00015880" w:rsidRDefault="00390D25" w:rsidP="00015880">
      <w:r>
        <w:t xml:space="preserve">National Toxicology Program (NTP) (2001) </w:t>
      </w:r>
      <w:r w:rsidR="00C35AEC">
        <w:t>Guidance Document on Using In Vitro Data to</w:t>
      </w:r>
      <w:r w:rsidR="00015880">
        <w:t xml:space="preserve"> </w:t>
      </w:r>
      <w:r w:rsidR="00C35AEC">
        <w:t>Estimate In Vivo Starting Doses for Acute Toxicity</w:t>
      </w:r>
      <w:r w:rsidR="00015880">
        <w:t>.</w:t>
      </w:r>
    </w:p>
    <w:p w14:paraId="61A9E5AE" w14:textId="000065EC" w:rsidR="00DB6BF3" w:rsidRDefault="00015880" w:rsidP="00015880">
      <w:r w:rsidRPr="00D86E03">
        <w:t>Organisation for Economic Cooperation and Development (OECD)</w:t>
      </w:r>
      <w:r>
        <w:t xml:space="preserve"> (2005) SIDS initial assessment </w:t>
      </w:r>
      <w:r w:rsidR="00390D25">
        <w:t>report</w:t>
      </w:r>
      <w:r>
        <w:t xml:space="preserve"> </w:t>
      </w:r>
      <w:r w:rsidR="00390D25">
        <w:t xml:space="preserve">for SIAM 20 </w:t>
      </w:r>
      <w:r>
        <w:t>– Persulfates.</w:t>
      </w:r>
    </w:p>
    <w:p w14:paraId="500DCE53" w14:textId="77777777" w:rsidR="00C35AEC" w:rsidRPr="00351FE0" w:rsidRDefault="00C35AEC" w:rsidP="00C35AEC"/>
    <w:sectPr w:rsidR="00C35AEC" w:rsidRPr="00351FE0" w:rsidSect="00B87D4C">
      <w:headerReference w:type="even" r:id="rId16"/>
      <w:headerReference w:type="default" r:id="rId17"/>
      <w:headerReference w:type="firs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0B0F9" w14:textId="77777777" w:rsidR="003C4518" w:rsidRDefault="003C4518" w:rsidP="00F43AD5">
      <w:pPr>
        <w:spacing w:after="0" w:line="240" w:lineRule="auto"/>
      </w:pPr>
      <w:r>
        <w:separator/>
      </w:r>
    </w:p>
  </w:endnote>
  <w:endnote w:type="continuationSeparator" w:id="0">
    <w:p w14:paraId="1787927B" w14:textId="77777777" w:rsidR="003C4518" w:rsidRDefault="003C451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93DF3E1" w14:textId="77777777" w:rsidR="003D280C" w:rsidRDefault="003D280C" w:rsidP="0034744C">
        <w:pPr>
          <w:pStyle w:val="Footer"/>
          <w:rPr>
            <w:sz w:val="18"/>
            <w:szCs w:val="18"/>
          </w:rPr>
        </w:pPr>
        <w:r>
          <w:rPr>
            <w:b/>
          </w:rPr>
          <w:t>Persulfates, ammonium- and alkali metal salts</w:t>
        </w:r>
        <w:r w:rsidRPr="00C8090B">
          <w:t xml:space="preserve"> </w:t>
        </w:r>
        <w:r>
          <w:rPr>
            <w:b/>
            <w:sz w:val="18"/>
            <w:szCs w:val="18"/>
          </w:rPr>
          <w:t>(7727-54-0, 7727-21-1, 7775-27-1)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8C1E47E" w14:textId="10274D95" w:rsidR="003D280C" w:rsidRPr="00F43AD5" w:rsidRDefault="003D280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141B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66358" w14:textId="77777777" w:rsidR="003C4518" w:rsidRDefault="003C4518" w:rsidP="00F43AD5">
      <w:pPr>
        <w:spacing w:after="0" w:line="240" w:lineRule="auto"/>
      </w:pPr>
      <w:r>
        <w:separator/>
      </w:r>
    </w:p>
  </w:footnote>
  <w:footnote w:type="continuationSeparator" w:id="0">
    <w:p w14:paraId="32523225" w14:textId="77777777" w:rsidR="003C4518" w:rsidRDefault="003C451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B48A0" w14:textId="7EF05F25" w:rsidR="00362368" w:rsidRDefault="003623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02FE9" w14:textId="667F0F77" w:rsidR="003D280C" w:rsidRDefault="003D280C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5B7401A" wp14:editId="6222E44F">
          <wp:extent cx="2938272" cy="594360"/>
          <wp:effectExtent l="0" t="0" r="0" b="0"/>
          <wp:docPr id="5" name="Picture 5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5E07C" w14:textId="45EBB7A0" w:rsidR="00362368" w:rsidRDefault="0036236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D2E33" w14:textId="008E29F8" w:rsidR="00362368" w:rsidRDefault="0036236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4A1B0" w14:textId="68ECB2D5" w:rsidR="003D280C" w:rsidRDefault="00362368" w:rsidP="00F43AD5">
    <w:pPr>
      <w:pStyle w:val="Header"/>
      <w:jc w:val="right"/>
    </w:pPr>
    <w:r>
      <w:rPr>
        <w:noProof/>
      </w:rPr>
      <w:drawing>
        <wp:inline distT="0" distB="0" distL="0" distR="0" wp14:anchorId="33DBC2C4" wp14:editId="10CB98BF">
          <wp:extent cx="2938145" cy="59436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9DCCB" w14:textId="33814057" w:rsidR="00362368" w:rsidRDefault="003623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C4EFBB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DB648F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46A08DF"/>
    <w:multiLevelType w:val="hybridMultilevel"/>
    <w:tmpl w:val="E6887CD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62389"/>
    <w:multiLevelType w:val="hybridMultilevel"/>
    <w:tmpl w:val="F26CA7F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C791A"/>
    <w:multiLevelType w:val="hybridMultilevel"/>
    <w:tmpl w:val="4A4A74E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FD2F5F"/>
    <w:multiLevelType w:val="hybridMultilevel"/>
    <w:tmpl w:val="252C5A3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843A0"/>
    <w:multiLevelType w:val="hybridMultilevel"/>
    <w:tmpl w:val="33CEEF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05051"/>
    <w:multiLevelType w:val="hybridMultilevel"/>
    <w:tmpl w:val="110C4F0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7037B7"/>
    <w:multiLevelType w:val="hybridMultilevel"/>
    <w:tmpl w:val="60F2A7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32379E"/>
    <w:multiLevelType w:val="hybridMultilevel"/>
    <w:tmpl w:val="E570B79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5D60A9"/>
    <w:multiLevelType w:val="hybridMultilevel"/>
    <w:tmpl w:val="D7F42B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42293E"/>
    <w:multiLevelType w:val="hybridMultilevel"/>
    <w:tmpl w:val="CAC45B0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EE3FFE"/>
    <w:multiLevelType w:val="hybridMultilevel"/>
    <w:tmpl w:val="798A20C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BA83010"/>
    <w:multiLevelType w:val="hybridMultilevel"/>
    <w:tmpl w:val="43D82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1392C"/>
    <w:multiLevelType w:val="hybridMultilevel"/>
    <w:tmpl w:val="0050761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8F088E"/>
    <w:multiLevelType w:val="hybridMultilevel"/>
    <w:tmpl w:val="A6349A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26D5D"/>
    <w:multiLevelType w:val="hybridMultilevel"/>
    <w:tmpl w:val="A03CA2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BA542D"/>
    <w:multiLevelType w:val="hybridMultilevel"/>
    <w:tmpl w:val="2C425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434203"/>
    <w:multiLevelType w:val="hybridMultilevel"/>
    <w:tmpl w:val="45761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35E64"/>
    <w:multiLevelType w:val="hybridMultilevel"/>
    <w:tmpl w:val="B96CFEF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30052766">
    <w:abstractNumId w:val="1"/>
  </w:num>
  <w:num w:numId="2" w16cid:durableId="3896195">
    <w:abstractNumId w:val="5"/>
  </w:num>
  <w:num w:numId="3" w16cid:durableId="2080056883">
    <w:abstractNumId w:val="7"/>
  </w:num>
  <w:num w:numId="4" w16cid:durableId="1886913305">
    <w:abstractNumId w:val="14"/>
  </w:num>
  <w:num w:numId="5" w16cid:durableId="947389534">
    <w:abstractNumId w:val="0"/>
  </w:num>
  <w:num w:numId="6" w16cid:durableId="1701585168">
    <w:abstractNumId w:val="3"/>
  </w:num>
  <w:num w:numId="7" w16cid:durableId="957250169">
    <w:abstractNumId w:val="15"/>
  </w:num>
  <w:num w:numId="8" w16cid:durableId="459691194">
    <w:abstractNumId w:val="12"/>
  </w:num>
  <w:num w:numId="9" w16cid:durableId="1946839809">
    <w:abstractNumId w:val="6"/>
  </w:num>
  <w:num w:numId="10" w16cid:durableId="1047559973">
    <w:abstractNumId w:val="4"/>
  </w:num>
  <w:num w:numId="11" w16cid:durableId="1360014352">
    <w:abstractNumId w:val="16"/>
  </w:num>
  <w:num w:numId="12" w16cid:durableId="901603679">
    <w:abstractNumId w:val="17"/>
  </w:num>
  <w:num w:numId="13" w16cid:durableId="1118790780">
    <w:abstractNumId w:val="2"/>
  </w:num>
  <w:num w:numId="14" w16cid:durableId="2147314752">
    <w:abstractNumId w:val="8"/>
  </w:num>
  <w:num w:numId="15" w16cid:durableId="309600439">
    <w:abstractNumId w:val="10"/>
  </w:num>
  <w:num w:numId="16" w16cid:durableId="1655332846">
    <w:abstractNumId w:val="11"/>
  </w:num>
  <w:num w:numId="17" w16cid:durableId="2125223910">
    <w:abstractNumId w:val="13"/>
  </w:num>
  <w:num w:numId="18" w16cid:durableId="1083919643">
    <w:abstractNumId w:val="18"/>
  </w:num>
  <w:num w:numId="19" w16cid:durableId="1124495732">
    <w:abstractNumId w:val="19"/>
  </w:num>
  <w:num w:numId="20" w16cid:durableId="20317632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25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3C2"/>
    <w:rsid w:val="00007B80"/>
    <w:rsid w:val="00013A22"/>
    <w:rsid w:val="00014C3F"/>
    <w:rsid w:val="00015880"/>
    <w:rsid w:val="00017C82"/>
    <w:rsid w:val="00032B88"/>
    <w:rsid w:val="00035149"/>
    <w:rsid w:val="00046DF5"/>
    <w:rsid w:val="00052060"/>
    <w:rsid w:val="00052E33"/>
    <w:rsid w:val="000548F8"/>
    <w:rsid w:val="00054B76"/>
    <w:rsid w:val="0005574A"/>
    <w:rsid w:val="00055FE1"/>
    <w:rsid w:val="00056EC2"/>
    <w:rsid w:val="00060B48"/>
    <w:rsid w:val="00067F32"/>
    <w:rsid w:val="00071807"/>
    <w:rsid w:val="000803E1"/>
    <w:rsid w:val="00082242"/>
    <w:rsid w:val="00084513"/>
    <w:rsid w:val="00084859"/>
    <w:rsid w:val="00092D94"/>
    <w:rsid w:val="000B0868"/>
    <w:rsid w:val="000B3E12"/>
    <w:rsid w:val="000B3E78"/>
    <w:rsid w:val="000B5DE1"/>
    <w:rsid w:val="000B7B48"/>
    <w:rsid w:val="000C096D"/>
    <w:rsid w:val="000C139A"/>
    <w:rsid w:val="000C2053"/>
    <w:rsid w:val="000C248C"/>
    <w:rsid w:val="000D291C"/>
    <w:rsid w:val="000E1D74"/>
    <w:rsid w:val="000E5A54"/>
    <w:rsid w:val="000E63D3"/>
    <w:rsid w:val="000E67CF"/>
    <w:rsid w:val="0010461E"/>
    <w:rsid w:val="00106FAA"/>
    <w:rsid w:val="00113443"/>
    <w:rsid w:val="00120DBE"/>
    <w:rsid w:val="001269A7"/>
    <w:rsid w:val="00131092"/>
    <w:rsid w:val="00136799"/>
    <w:rsid w:val="00140E6A"/>
    <w:rsid w:val="00142262"/>
    <w:rsid w:val="001428AD"/>
    <w:rsid w:val="00146545"/>
    <w:rsid w:val="00146B75"/>
    <w:rsid w:val="0015266D"/>
    <w:rsid w:val="0015288A"/>
    <w:rsid w:val="001564AE"/>
    <w:rsid w:val="00160F47"/>
    <w:rsid w:val="00177CA1"/>
    <w:rsid w:val="0018066B"/>
    <w:rsid w:val="00183823"/>
    <w:rsid w:val="00183942"/>
    <w:rsid w:val="001A009E"/>
    <w:rsid w:val="001A1287"/>
    <w:rsid w:val="001A3859"/>
    <w:rsid w:val="001A3C9D"/>
    <w:rsid w:val="001A43F8"/>
    <w:rsid w:val="001B79E5"/>
    <w:rsid w:val="001C1A91"/>
    <w:rsid w:val="001D56F0"/>
    <w:rsid w:val="001D663B"/>
    <w:rsid w:val="001D7B41"/>
    <w:rsid w:val="001E2A38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F14"/>
    <w:rsid w:val="00244AD1"/>
    <w:rsid w:val="002463BC"/>
    <w:rsid w:val="002465CE"/>
    <w:rsid w:val="0025734A"/>
    <w:rsid w:val="00263255"/>
    <w:rsid w:val="00276494"/>
    <w:rsid w:val="00277B0C"/>
    <w:rsid w:val="002837B3"/>
    <w:rsid w:val="00284CE7"/>
    <w:rsid w:val="002B1A2C"/>
    <w:rsid w:val="002B547A"/>
    <w:rsid w:val="002C34F2"/>
    <w:rsid w:val="002C58FF"/>
    <w:rsid w:val="002C5A92"/>
    <w:rsid w:val="002C6A77"/>
    <w:rsid w:val="002C7AFE"/>
    <w:rsid w:val="002D05D2"/>
    <w:rsid w:val="002E0D61"/>
    <w:rsid w:val="002E4C7B"/>
    <w:rsid w:val="002E71E3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798"/>
    <w:rsid w:val="00351FE0"/>
    <w:rsid w:val="00352615"/>
    <w:rsid w:val="0035412B"/>
    <w:rsid w:val="003567A8"/>
    <w:rsid w:val="00362368"/>
    <w:rsid w:val="00362895"/>
    <w:rsid w:val="003704B1"/>
    <w:rsid w:val="00370DBF"/>
    <w:rsid w:val="00386093"/>
    <w:rsid w:val="003904A4"/>
    <w:rsid w:val="00390D25"/>
    <w:rsid w:val="00391841"/>
    <w:rsid w:val="00391B6D"/>
    <w:rsid w:val="00394922"/>
    <w:rsid w:val="003A0E32"/>
    <w:rsid w:val="003A2B94"/>
    <w:rsid w:val="003B387D"/>
    <w:rsid w:val="003C0D58"/>
    <w:rsid w:val="003C4518"/>
    <w:rsid w:val="003D280C"/>
    <w:rsid w:val="003D4FA3"/>
    <w:rsid w:val="003E0807"/>
    <w:rsid w:val="003E51FB"/>
    <w:rsid w:val="003E6B39"/>
    <w:rsid w:val="003F07E1"/>
    <w:rsid w:val="003F6814"/>
    <w:rsid w:val="004030BC"/>
    <w:rsid w:val="00403EF9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3481"/>
    <w:rsid w:val="0047136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FB1"/>
    <w:rsid w:val="004A6E10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F24"/>
    <w:rsid w:val="00526418"/>
    <w:rsid w:val="005272E2"/>
    <w:rsid w:val="005275EE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220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543A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977"/>
    <w:rsid w:val="006B0069"/>
    <w:rsid w:val="006B160A"/>
    <w:rsid w:val="006B4E6C"/>
    <w:rsid w:val="006B50B6"/>
    <w:rsid w:val="006B625A"/>
    <w:rsid w:val="006D79EA"/>
    <w:rsid w:val="006E567F"/>
    <w:rsid w:val="006E5D05"/>
    <w:rsid w:val="006F3D34"/>
    <w:rsid w:val="0070023F"/>
    <w:rsid w:val="00701053"/>
    <w:rsid w:val="00701507"/>
    <w:rsid w:val="00701F5F"/>
    <w:rsid w:val="00714021"/>
    <w:rsid w:val="00716A0F"/>
    <w:rsid w:val="00717D45"/>
    <w:rsid w:val="007208F7"/>
    <w:rsid w:val="007218AF"/>
    <w:rsid w:val="00730B6A"/>
    <w:rsid w:val="007365D1"/>
    <w:rsid w:val="00740E0E"/>
    <w:rsid w:val="00750212"/>
    <w:rsid w:val="00754779"/>
    <w:rsid w:val="0075716D"/>
    <w:rsid w:val="00765F14"/>
    <w:rsid w:val="00766DAD"/>
    <w:rsid w:val="00770E31"/>
    <w:rsid w:val="007770F1"/>
    <w:rsid w:val="00783FB1"/>
    <w:rsid w:val="00785CDD"/>
    <w:rsid w:val="00791847"/>
    <w:rsid w:val="007925F0"/>
    <w:rsid w:val="0079313E"/>
    <w:rsid w:val="007939B3"/>
    <w:rsid w:val="0079509C"/>
    <w:rsid w:val="00796708"/>
    <w:rsid w:val="007A69D8"/>
    <w:rsid w:val="007B1B42"/>
    <w:rsid w:val="007C2055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845"/>
    <w:rsid w:val="00810BFF"/>
    <w:rsid w:val="00810C6D"/>
    <w:rsid w:val="00812887"/>
    <w:rsid w:val="008141BB"/>
    <w:rsid w:val="008169FD"/>
    <w:rsid w:val="00826F21"/>
    <w:rsid w:val="0083039B"/>
    <w:rsid w:val="00834CC8"/>
    <w:rsid w:val="008356E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DB2"/>
    <w:rsid w:val="0088798F"/>
    <w:rsid w:val="00887E4B"/>
    <w:rsid w:val="008915C8"/>
    <w:rsid w:val="008930BA"/>
    <w:rsid w:val="008A24D5"/>
    <w:rsid w:val="008A36CF"/>
    <w:rsid w:val="008A3BC4"/>
    <w:rsid w:val="008B403C"/>
    <w:rsid w:val="008B5F93"/>
    <w:rsid w:val="008B7983"/>
    <w:rsid w:val="008C2511"/>
    <w:rsid w:val="008C4D0F"/>
    <w:rsid w:val="008D026D"/>
    <w:rsid w:val="008D0487"/>
    <w:rsid w:val="008D23AB"/>
    <w:rsid w:val="008D4823"/>
    <w:rsid w:val="008D4B8B"/>
    <w:rsid w:val="008D5A78"/>
    <w:rsid w:val="008E7B64"/>
    <w:rsid w:val="008F5DCD"/>
    <w:rsid w:val="00900774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039"/>
    <w:rsid w:val="00984920"/>
    <w:rsid w:val="0099303A"/>
    <w:rsid w:val="009971C2"/>
    <w:rsid w:val="009A1254"/>
    <w:rsid w:val="009B2FF2"/>
    <w:rsid w:val="009B380C"/>
    <w:rsid w:val="009B4843"/>
    <w:rsid w:val="009B6543"/>
    <w:rsid w:val="009B7EF7"/>
    <w:rsid w:val="009C199D"/>
    <w:rsid w:val="009C278F"/>
    <w:rsid w:val="009C2B94"/>
    <w:rsid w:val="009C484C"/>
    <w:rsid w:val="009C5874"/>
    <w:rsid w:val="009C72C9"/>
    <w:rsid w:val="009D3B5A"/>
    <w:rsid w:val="009D507C"/>
    <w:rsid w:val="009E0C05"/>
    <w:rsid w:val="009E0D1C"/>
    <w:rsid w:val="009E2214"/>
    <w:rsid w:val="009E355A"/>
    <w:rsid w:val="009E63E2"/>
    <w:rsid w:val="009F05CF"/>
    <w:rsid w:val="009F0F3A"/>
    <w:rsid w:val="00A00373"/>
    <w:rsid w:val="00A01D0C"/>
    <w:rsid w:val="00A0643F"/>
    <w:rsid w:val="00A067EE"/>
    <w:rsid w:val="00A10FCE"/>
    <w:rsid w:val="00A16D91"/>
    <w:rsid w:val="00A174CC"/>
    <w:rsid w:val="00A2073D"/>
    <w:rsid w:val="00A20751"/>
    <w:rsid w:val="00A266EA"/>
    <w:rsid w:val="00A27E2D"/>
    <w:rsid w:val="00A3097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2F9"/>
    <w:rsid w:val="00AB43C4"/>
    <w:rsid w:val="00AC32E7"/>
    <w:rsid w:val="00AC3A9F"/>
    <w:rsid w:val="00AC6D2F"/>
    <w:rsid w:val="00AC72D5"/>
    <w:rsid w:val="00AD35FB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4077"/>
    <w:rsid w:val="00B33A21"/>
    <w:rsid w:val="00B40C60"/>
    <w:rsid w:val="00B41C08"/>
    <w:rsid w:val="00B45FEF"/>
    <w:rsid w:val="00B479A9"/>
    <w:rsid w:val="00B52EDF"/>
    <w:rsid w:val="00B6464C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BF6E34"/>
    <w:rsid w:val="00C06E43"/>
    <w:rsid w:val="00C16315"/>
    <w:rsid w:val="00C3091E"/>
    <w:rsid w:val="00C35AEC"/>
    <w:rsid w:val="00C40F91"/>
    <w:rsid w:val="00C40FF1"/>
    <w:rsid w:val="00C419E2"/>
    <w:rsid w:val="00C5020E"/>
    <w:rsid w:val="00C57452"/>
    <w:rsid w:val="00C61EDF"/>
    <w:rsid w:val="00C6239D"/>
    <w:rsid w:val="00C6594B"/>
    <w:rsid w:val="00C67FFB"/>
    <w:rsid w:val="00C708D9"/>
    <w:rsid w:val="00C7155E"/>
    <w:rsid w:val="00C71D1E"/>
    <w:rsid w:val="00C71D7D"/>
    <w:rsid w:val="00C74833"/>
    <w:rsid w:val="00C8090B"/>
    <w:rsid w:val="00C850A0"/>
    <w:rsid w:val="00C85A86"/>
    <w:rsid w:val="00C92175"/>
    <w:rsid w:val="00C92B74"/>
    <w:rsid w:val="00C9785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422"/>
    <w:rsid w:val="00D87570"/>
    <w:rsid w:val="00D90B67"/>
    <w:rsid w:val="00D91CB9"/>
    <w:rsid w:val="00D93D27"/>
    <w:rsid w:val="00D97989"/>
    <w:rsid w:val="00D97D8D"/>
    <w:rsid w:val="00DA352E"/>
    <w:rsid w:val="00DA4EA0"/>
    <w:rsid w:val="00DB384D"/>
    <w:rsid w:val="00DB6BF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65B3"/>
    <w:rsid w:val="00E37CFD"/>
    <w:rsid w:val="00E41A26"/>
    <w:rsid w:val="00E46BCB"/>
    <w:rsid w:val="00E46D3D"/>
    <w:rsid w:val="00E51CAF"/>
    <w:rsid w:val="00E5502F"/>
    <w:rsid w:val="00E60F04"/>
    <w:rsid w:val="00E62AAC"/>
    <w:rsid w:val="00E67C2F"/>
    <w:rsid w:val="00E67EF5"/>
    <w:rsid w:val="00E7316C"/>
    <w:rsid w:val="00E804EA"/>
    <w:rsid w:val="00E80A71"/>
    <w:rsid w:val="00E82337"/>
    <w:rsid w:val="00E83204"/>
    <w:rsid w:val="00E92499"/>
    <w:rsid w:val="00E949AF"/>
    <w:rsid w:val="00E96077"/>
    <w:rsid w:val="00EA0A06"/>
    <w:rsid w:val="00EA1D4B"/>
    <w:rsid w:val="00EA350D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5A59"/>
    <w:rsid w:val="00F43AD5"/>
    <w:rsid w:val="00F4402E"/>
    <w:rsid w:val="00F54F0A"/>
    <w:rsid w:val="00F56DD0"/>
    <w:rsid w:val="00F6151B"/>
    <w:rsid w:val="00F6491C"/>
    <w:rsid w:val="00F67BBB"/>
    <w:rsid w:val="00F7428F"/>
    <w:rsid w:val="00F745DD"/>
    <w:rsid w:val="00F843C4"/>
    <w:rsid w:val="00F87D92"/>
    <w:rsid w:val="00F90AA7"/>
    <w:rsid w:val="00F92498"/>
    <w:rsid w:val="00F9496B"/>
    <w:rsid w:val="00F970C9"/>
    <w:rsid w:val="00FA06A8"/>
    <w:rsid w:val="00FA2923"/>
    <w:rsid w:val="00FA3DF5"/>
    <w:rsid w:val="00FA741F"/>
    <w:rsid w:val="00FB4E07"/>
    <w:rsid w:val="00FB755A"/>
    <w:rsid w:val="00FC60A2"/>
    <w:rsid w:val="00FD1871"/>
    <w:rsid w:val="00FD3110"/>
    <w:rsid w:val="00FD4EC8"/>
    <w:rsid w:val="00FE3E9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5"/>
    <o:shapelayout v:ext="edit">
      <o:idmap v:ext="edit" data="1"/>
    </o:shapelayout>
  </w:shapeDefaults>
  <w:decimalSymbol w:val="."/>
  <w:listSeparator w:val=","/>
  <w14:docId w14:val="0B39F98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C2055"/>
    <w:pPr>
      <w:contextualSpacing/>
    </w:pPr>
  </w:style>
  <w:style w:type="paragraph" w:styleId="ListNumber">
    <w:name w:val="List Number"/>
    <w:basedOn w:val="Normal"/>
    <w:uiPriority w:val="99"/>
    <w:unhideWhenUsed/>
    <w:rsid w:val="00A3097D"/>
    <w:pPr>
      <w:numPr>
        <w:numId w:val="5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3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50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50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50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8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cgih.org/tlv-bei-guidelines/policies-procedures-presentation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4C59D99AB2E463CB0345524D8CE4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DC532-F15B-42A7-B710-18713C4E9D33}"/>
      </w:docPartPr>
      <w:docPartBody>
        <w:p w:rsidR="00D01185" w:rsidRDefault="001C2E58" w:rsidP="001C2E58">
          <w:pPr>
            <w:pStyle w:val="C4C59D99AB2E463CB0345524D8CE45A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D65FF71E8834374AA782C349205C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32559-AD9C-494D-B823-C699069DDDE7}"/>
      </w:docPartPr>
      <w:docPartBody>
        <w:p w:rsidR="00D01185" w:rsidRDefault="001C2E58" w:rsidP="001C2E58">
          <w:pPr>
            <w:pStyle w:val="7D65FF71E8834374AA782C349205C2D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C2E58"/>
    <w:rsid w:val="00592F44"/>
    <w:rsid w:val="00D01185"/>
    <w:rsid w:val="00D21A9F"/>
    <w:rsid w:val="00DF05F3"/>
    <w:rsid w:val="00E65216"/>
    <w:rsid w:val="00EC0D1F"/>
    <w:rsid w:val="00F54F0A"/>
    <w:rsid w:val="00FC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2E5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320A77D155374054996F168A20882C28">
    <w:name w:val="320A77D155374054996F168A20882C28"/>
  </w:style>
  <w:style w:type="paragraph" w:customStyle="1" w:styleId="F426C563814E402488AC06CC39354A11">
    <w:name w:val="F426C563814E402488AC06CC39354A1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4C59D99AB2E463CB0345524D8CE45A4">
    <w:name w:val="C4C59D99AB2E463CB0345524D8CE45A4"/>
    <w:rsid w:val="001C2E58"/>
  </w:style>
  <w:style w:type="paragraph" w:customStyle="1" w:styleId="7D65FF71E8834374AA782C349205C2D5">
    <w:name w:val="7D65FF71E8834374AA782C349205C2D5"/>
    <w:rsid w:val="001C2E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35DBD6-7554-4647-91E7-636FDA988B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bf54d604-3e62-4e70-ba33-9e9084b96a66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6821962-36CF-4367-AD4F-9A3874C2DB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28</cp:revision>
  <cp:lastPrinted>2018-10-22T22:41:00Z</cp:lastPrinted>
  <dcterms:created xsi:type="dcterms:W3CDTF">2019-07-25T08:44:00Z</dcterms:created>
  <dcterms:modified xsi:type="dcterms:W3CDTF">2026-01-02T05:22:00Z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2026-01-02T05:22:45Z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6a56f0b8-a743-4f21-9935-7a7e0708f08f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