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EndPr/>
      <w:sdtContent>
        <w:p w14:paraId="3A047E37" w14:textId="77777777" w:rsidR="00BD499F" w:rsidRPr="004C23F4" w:rsidRDefault="00D904FA" w:rsidP="00B40C60">
          <w:pPr>
            <w:pStyle w:val="Heading1"/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2,2’-Oxybis[ethanol]</w:t>
          </w:r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72"/>
        <w:gridCol w:w="5054"/>
      </w:tblGrid>
      <w:tr w:rsidR="00F43AD5" w:rsidRPr="004C23F4" w14:paraId="0C53DF0A" w14:textId="77777777" w:rsidTr="00B76A41">
        <w:trPr>
          <w:cantSplit/>
          <w:tblHeader/>
        </w:trPr>
        <w:tc>
          <w:tcPr>
            <w:tcW w:w="4077" w:type="dxa"/>
          </w:tcPr>
          <w:p w14:paraId="596AD6C6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165" w:type="dxa"/>
          </w:tcPr>
          <w:p w14:paraId="72BE5F1D" w14:textId="77777777" w:rsidR="00F43AD5" w:rsidRPr="00717D45" w:rsidRDefault="00D904FA" w:rsidP="00B76A41">
            <w:pPr>
              <w:pStyle w:val="Tablefont"/>
            </w:pPr>
            <w:r>
              <w:t>111-46-6</w:t>
            </w:r>
          </w:p>
        </w:tc>
      </w:tr>
      <w:tr w:rsidR="00F43AD5" w:rsidRPr="004C23F4" w14:paraId="0FA7611B" w14:textId="77777777" w:rsidTr="00B76A41">
        <w:trPr>
          <w:cantSplit/>
        </w:trPr>
        <w:tc>
          <w:tcPr>
            <w:tcW w:w="4077" w:type="dxa"/>
          </w:tcPr>
          <w:p w14:paraId="08A02DB8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165" w:type="dxa"/>
          </w:tcPr>
          <w:p w14:paraId="0406B055" w14:textId="2C329B7A" w:rsidR="00F43AD5" w:rsidRPr="00717D45" w:rsidRDefault="00F56FA2" w:rsidP="00B76A41">
            <w:pPr>
              <w:pStyle w:val="Tablefont"/>
            </w:pPr>
            <w:r w:rsidRPr="00F56FA2">
              <w:t>Diethylene glycol</w:t>
            </w:r>
            <w:r>
              <w:t xml:space="preserve">, </w:t>
            </w:r>
            <w:r w:rsidRPr="00F56FA2">
              <w:t>2-(2-</w:t>
            </w:r>
            <w:proofErr w:type="gramStart"/>
            <w:r w:rsidRPr="00F56FA2">
              <w:t>hydroxyethoxy)ethane</w:t>
            </w:r>
            <w:proofErr w:type="gramEnd"/>
            <w:r w:rsidRPr="00F56FA2">
              <w:t>-2-ol</w:t>
            </w:r>
            <w:r>
              <w:t>,</w:t>
            </w:r>
            <w:r w:rsidRPr="00F56FA2">
              <w:t xml:space="preserve"> bis(2-hydroxyethyl) ether</w:t>
            </w:r>
            <w:r>
              <w:t xml:space="preserve">, </w:t>
            </w:r>
            <w:proofErr w:type="spellStart"/>
            <w:r w:rsidRPr="00F56FA2">
              <w:t>Brecolane</w:t>
            </w:r>
            <w:proofErr w:type="spellEnd"/>
            <w:r w:rsidRPr="00F56FA2">
              <w:t xml:space="preserve"> </w:t>
            </w:r>
            <w:proofErr w:type="spellStart"/>
            <w:r w:rsidRPr="00F56FA2">
              <w:t>ndg</w:t>
            </w:r>
            <w:proofErr w:type="spellEnd"/>
            <w:r>
              <w:t xml:space="preserve">, </w:t>
            </w:r>
            <w:r w:rsidR="002A17BC">
              <w:br/>
            </w:r>
            <w:r>
              <w:t>Deactivator H,</w:t>
            </w:r>
            <w:r w:rsidRPr="00F56FA2">
              <w:t xml:space="preserve"> </w:t>
            </w:r>
            <w:proofErr w:type="spellStart"/>
            <w:r w:rsidRPr="00F56FA2">
              <w:t>Dicol</w:t>
            </w:r>
            <w:proofErr w:type="spellEnd"/>
          </w:p>
        </w:tc>
      </w:tr>
      <w:tr w:rsidR="00F43AD5" w:rsidRPr="004C23F4" w14:paraId="37B55768" w14:textId="77777777" w:rsidTr="00B76A41">
        <w:trPr>
          <w:cantSplit/>
        </w:trPr>
        <w:tc>
          <w:tcPr>
            <w:tcW w:w="4077" w:type="dxa"/>
          </w:tcPr>
          <w:p w14:paraId="23451370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165" w:type="dxa"/>
          </w:tcPr>
          <w:p w14:paraId="2C07863B" w14:textId="77777777" w:rsidR="00F43AD5" w:rsidRPr="00717D45" w:rsidRDefault="009F4FE1" w:rsidP="00B76A41">
            <w:pPr>
              <w:pStyle w:val="Tablefont"/>
            </w:pPr>
            <w:r w:rsidRPr="00672D58">
              <w:t>C</w:t>
            </w:r>
            <w:r w:rsidRPr="00672D58">
              <w:rPr>
                <w:vertAlign w:val="subscript"/>
              </w:rPr>
              <w:t>4</w:t>
            </w:r>
            <w:r w:rsidRPr="00672D58">
              <w:t>H</w:t>
            </w:r>
            <w:r w:rsidRPr="00672D58">
              <w:rPr>
                <w:vertAlign w:val="subscript"/>
              </w:rPr>
              <w:t>10</w:t>
            </w:r>
            <w:r w:rsidRPr="00672D58">
              <w:t>O</w:t>
            </w:r>
            <w:r w:rsidRPr="00672D58">
              <w:rPr>
                <w:vertAlign w:val="subscript"/>
              </w:rPr>
              <w:t>3</w:t>
            </w:r>
          </w:p>
        </w:tc>
      </w:tr>
      <w:tr w:rsidR="00F43AD5" w:rsidRPr="004C23F4" w14:paraId="138BE2AE" w14:textId="77777777" w:rsidTr="00B76A41">
        <w:trPr>
          <w:cantSplit/>
        </w:trPr>
        <w:tc>
          <w:tcPr>
            <w:tcW w:w="4077" w:type="dxa"/>
          </w:tcPr>
          <w:p w14:paraId="42E6FFAE" w14:textId="77777777" w:rsidR="00F43AD5" w:rsidRPr="00921DE7" w:rsidRDefault="00CB1CB1" w:rsidP="00B76A41">
            <w:pPr>
              <w:pStyle w:val="Tablerowright"/>
            </w:pPr>
            <w:r w:rsidRPr="00921DE7">
              <w:t>Structural formula:</w:t>
            </w:r>
          </w:p>
        </w:tc>
        <w:tc>
          <w:tcPr>
            <w:tcW w:w="5165" w:type="dxa"/>
          </w:tcPr>
          <w:p w14:paraId="32EB9A51" w14:textId="77777777" w:rsidR="00F43AD5" w:rsidRPr="00B40C60" w:rsidRDefault="00037E52" w:rsidP="00B76A41">
            <w:pPr>
              <w:pStyle w:val="Tablerowheading"/>
              <w:rPr>
                <w:b w:val="0"/>
              </w:rPr>
            </w:pPr>
            <w:r>
              <w:rPr>
                <w:b w:val="0"/>
              </w:rPr>
              <w:t>—</w:t>
            </w:r>
          </w:p>
        </w:tc>
      </w:tr>
    </w:tbl>
    <w:p w14:paraId="7883EB19" w14:textId="78AE892C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EndPr>
          <w:rPr>
            <w:rStyle w:val="WESstatus"/>
          </w:rPr>
        </w:sdtEndPr>
        <w:sdtContent>
          <w:r w:rsidR="00D65C81">
            <w:rPr>
              <w:rStyle w:val="WESstatus"/>
            </w:rPr>
            <w:t>(retained)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4010"/>
        <w:gridCol w:w="5016"/>
      </w:tblGrid>
      <w:tr w:rsidR="002C7AFE" w:rsidRPr="004C23F4" w14:paraId="73CC8B2A" w14:textId="77777777" w:rsidTr="00037E52">
        <w:trPr>
          <w:cantSplit/>
          <w:tblHeader/>
        </w:trPr>
        <w:tc>
          <w:tcPr>
            <w:tcW w:w="4010" w:type="dxa"/>
            <w:vAlign w:val="center"/>
          </w:tcPr>
          <w:p w14:paraId="77DF1FA1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016" w:type="dxa"/>
          </w:tcPr>
          <w:p w14:paraId="45CD65F0" w14:textId="024A5514" w:rsidR="002C7AFE" w:rsidRPr="00EB3D1B" w:rsidRDefault="00D65C81" w:rsidP="00017C82">
            <w:pPr>
              <w:pStyle w:val="Tablefont"/>
              <w:rPr>
                <w:b/>
              </w:rPr>
            </w:pPr>
            <w:r>
              <w:rPr>
                <w:b/>
              </w:rPr>
              <w:t xml:space="preserve">23 </w:t>
            </w:r>
            <w:r w:rsidR="00331EFA">
              <w:rPr>
                <w:b/>
              </w:rPr>
              <w:t>ppm (</w:t>
            </w:r>
            <w:r>
              <w:rPr>
                <w:b/>
              </w:rPr>
              <w:t xml:space="preserve">100 </w:t>
            </w:r>
            <w:r w:rsidR="00331EFA">
              <w:rPr>
                <w:b/>
              </w:rPr>
              <w:t>mg/m</w:t>
            </w:r>
            <w:r w:rsidR="00331EFA">
              <w:rPr>
                <w:b/>
                <w:vertAlign w:val="superscript"/>
              </w:rPr>
              <w:t>3</w:t>
            </w:r>
            <w:r w:rsidR="00331EFA">
              <w:rPr>
                <w:b/>
              </w:rPr>
              <w:t>)</w:t>
            </w:r>
          </w:p>
        </w:tc>
      </w:tr>
      <w:tr w:rsidR="00037E52" w:rsidRPr="004C23F4" w14:paraId="70E47679" w14:textId="77777777" w:rsidTr="00037E52">
        <w:trPr>
          <w:cantSplit/>
        </w:trPr>
        <w:tc>
          <w:tcPr>
            <w:tcW w:w="4010" w:type="dxa"/>
            <w:vAlign w:val="center"/>
          </w:tcPr>
          <w:p w14:paraId="0903C871" w14:textId="77777777" w:rsidR="00037E52" w:rsidRPr="002C58FF" w:rsidRDefault="00037E52" w:rsidP="00037E52">
            <w:pPr>
              <w:pStyle w:val="Tablerowright"/>
            </w:pPr>
            <w:r w:rsidRPr="002C58FF">
              <w:t>STEL</w:t>
            </w:r>
            <w:r>
              <w:t>:</w:t>
            </w:r>
          </w:p>
        </w:tc>
        <w:tc>
          <w:tcPr>
            <w:tcW w:w="5016" w:type="dxa"/>
          </w:tcPr>
          <w:p w14:paraId="712D4607" w14:textId="77777777" w:rsidR="00037E52" w:rsidRPr="00EB3D1B" w:rsidRDefault="00037E52" w:rsidP="00037E5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037E52" w:rsidRPr="004C23F4" w14:paraId="4A87B16D" w14:textId="77777777" w:rsidTr="00037E52">
        <w:trPr>
          <w:cantSplit/>
        </w:trPr>
        <w:tc>
          <w:tcPr>
            <w:tcW w:w="4010" w:type="dxa"/>
            <w:vAlign w:val="center"/>
          </w:tcPr>
          <w:p w14:paraId="07A1EA95" w14:textId="77777777" w:rsidR="00037E52" w:rsidRPr="002C58FF" w:rsidRDefault="00037E52" w:rsidP="00037E52">
            <w:pPr>
              <w:pStyle w:val="Tablerowright"/>
            </w:pPr>
            <w:r>
              <w:t>Peak limitation:</w:t>
            </w:r>
          </w:p>
        </w:tc>
        <w:tc>
          <w:tcPr>
            <w:tcW w:w="5016" w:type="dxa"/>
          </w:tcPr>
          <w:p w14:paraId="69B11BE3" w14:textId="77777777" w:rsidR="00037E52" w:rsidRPr="00EB3D1B" w:rsidRDefault="00037E52" w:rsidP="00037E5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037E52" w:rsidRPr="004C23F4" w14:paraId="7EE7C946" w14:textId="77777777" w:rsidTr="00037E52">
        <w:trPr>
          <w:cantSplit/>
        </w:trPr>
        <w:tc>
          <w:tcPr>
            <w:tcW w:w="4010" w:type="dxa"/>
          </w:tcPr>
          <w:p w14:paraId="52AE73E5" w14:textId="77777777" w:rsidR="00037E52" w:rsidRPr="002C58FF" w:rsidRDefault="00037E52" w:rsidP="00037E52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Pr="003241A8">
              <w:t>Notations</w:t>
            </w:r>
            <w:r>
              <w:t>:</w:t>
            </w:r>
          </w:p>
        </w:tc>
        <w:tc>
          <w:tcPr>
            <w:tcW w:w="5016" w:type="dxa"/>
          </w:tcPr>
          <w:p w14:paraId="09A0F51B" w14:textId="77777777" w:rsidR="00037E52" w:rsidRPr="00EB3D1B" w:rsidRDefault="00037E52" w:rsidP="00037E5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037E52" w:rsidRPr="004C23F4" w14:paraId="52E35D19" w14:textId="77777777" w:rsidTr="00037E52">
        <w:trPr>
          <w:cantSplit/>
        </w:trPr>
        <w:tc>
          <w:tcPr>
            <w:tcW w:w="4010" w:type="dxa"/>
            <w:vAlign w:val="center"/>
          </w:tcPr>
          <w:p w14:paraId="1D2172AD" w14:textId="77777777" w:rsidR="00037E52" w:rsidRPr="002C58FF" w:rsidRDefault="00037E52" w:rsidP="00037E52">
            <w:pPr>
              <w:pStyle w:val="Tablerowright"/>
            </w:pPr>
            <w:r>
              <w:t>IDLH:</w:t>
            </w:r>
          </w:p>
        </w:tc>
        <w:tc>
          <w:tcPr>
            <w:tcW w:w="5016" w:type="dxa"/>
          </w:tcPr>
          <w:p w14:paraId="27390E39" w14:textId="77777777" w:rsidR="00037E52" w:rsidRPr="00EB3D1B" w:rsidRDefault="00037E52" w:rsidP="00037E5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8439F4" w:rsidRPr="004C23F4" w14:paraId="2D98E0A6" w14:textId="77777777" w:rsidTr="00104C4C">
        <w:trPr>
          <w:cantSplit/>
        </w:trPr>
        <w:tc>
          <w:tcPr>
            <w:tcW w:w="9026" w:type="dxa"/>
            <w:gridSpan w:val="2"/>
            <w:vAlign w:val="center"/>
          </w:tcPr>
          <w:p w14:paraId="3C4491C4" w14:textId="09E49210" w:rsidR="008439F4" w:rsidRPr="008439F4" w:rsidRDefault="008439F4" w:rsidP="00037E52">
            <w:pPr>
              <w:pStyle w:val="Tablefont"/>
              <w:rPr>
                <w:b/>
              </w:rPr>
            </w:pPr>
            <w:r w:rsidRPr="008439F4">
              <w:rPr>
                <w:b/>
              </w:rPr>
              <w:t>Sampling and analysis:</w:t>
            </w:r>
            <w:r>
              <w:rPr>
                <w:b/>
              </w:rPr>
              <w:t xml:space="preserve"> </w:t>
            </w:r>
            <w:sdt>
              <w:sdtPr>
                <w:id w:val="-2105258949"/>
                <w:placeholder>
                  <w:docPart w:val="7B3EF96622DF4C398122843D1857D7A6"/>
                </w:placeholder>
                <w:comboBox>
                  <w:listItem w:displayText="(Click here to enter)" w:value="(Click here to enter)"/>
                  <w:listItem w:displayText="The recommended value is likely to be below the current limit of detection for standard sampling and analysis techniques." w:value="The recommended value is likely to be below the current limit of detection for standard sampling and analysis techniques."/>
                  <w:listItem w:displayText="The recommended value is quantifiable through available sampling and analysis techniques. " w:value="The recommended value is quantifiable through available sampling and analysis techniques. "/>
                  <w:listItem w:displayText="There is uncertainty regarding quantification of the recommended value with available sampling and/or analysis techniques." w:value="There is uncertainty regarding quantification of the recommended value with available sampling and/or analysis techniques."/>
                </w:comboBox>
              </w:sdtPr>
              <w:sdtEndPr/>
              <w:sdtContent>
                <w:r w:rsidR="00655857">
                  <w:t xml:space="preserve">The recommended value is quantifiable through available sampling and analysis techniques. </w:t>
                </w:r>
              </w:sdtContent>
            </w:sdt>
          </w:p>
        </w:tc>
      </w:tr>
    </w:tbl>
    <w:p w14:paraId="5CEF0EFA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5A1E8262" w14:textId="573F2A71" w:rsidR="006639B4" w:rsidRPr="004C23F4" w:rsidRDefault="008439F4" w:rsidP="000C139A">
      <w:pPr>
        <w:rPr>
          <w:rFonts w:cs="Arial"/>
        </w:rPr>
      </w:pPr>
      <w:r w:rsidRPr="008439F4">
        <w:rPr>
          <w:rFonts w:cs="Arial"/>
        </w:rPr>
        <w:t xml:space="preserve">A TWA of </w:t>
      </w:r>
      <w:r w:rsidR="00D65C81">
        <w:rPr>
          <w:rFonts w:cs="Arial"/>
        </w:rPr>
        <w:t>23</w:t>
      </w:r>
      <w:r w:rsidR="00D65C81" w:rsidRPr="008439F4">
        <w:rPr>
          <w:rFonts w:cs="Arial"/>
        </w:rPr>
        <w:t xml:space="preserve"> </w:t>
      </w:r>
      <w:r w:rsidRPr="008439F4">
        <w:rPr>
          <w:rFonts w:cs="Arial"/>
        </w:rPr>
        <w:t>ppm (</w:t>
      </w:r>
      <w:r w:rsidR="00D65C81">
        <w:rPr>
          <w:rFonts w:cs="Arial"/>
        </w:rPr>
        <w:t>100</w:t>
      </w:r>
      <w:r w:rsidR="00D65C81" w:rsidRPr="008439F4">
        <w:rPr>
          <w:rFonts w:cs="Arial"/>
        </w:rPr>
        <w:t xml:space="preserve"> </w:t>
      </w:r>
      <w:r w:rsidRPr="008439F4">
        <w:rPr>
          <w:rFonts w:cs="Arial"/>
        </w:rPr>
        <w:t>mg/m</w:t>
      </w:r>
      <w:r w:rsidRPr="008439F4">
        <w:rPr>
          <w:rFonts w:cs="Arial"/>
          <w:vertAlign w:val="superscript"/>
        </w:rPr>
        <w:t>3</w:t>
      </w:r>
      <w:r w:rsidRPr="008439F4">
        <w:rPr>
          <w:rFonts w:cs="Arial"/>
        </w:rPr>
        <w:t xml:space="preserve">) is recommended to protect for </w:t>
      </w:r>
      <w:r w:rsidR="00751D2F">
        <w:rPr>
          <w:rFonts w:cs="Arial"/>
        </w:rPr>
        <w:t>kidney damage</w:t>
      </w:r>
      <w:r w:rsidRPr="008439F4">
        <w:rPr>
          <w:rFonts w:cs="Arial"/>
        </w:rPr>
        <w:t xml:space="preserve"> in exposed workers</w:t>
      </w:r>
      <w:r>
        <w:rPr>
          <w:rFonts w:cs="Arial"/>
        </w:rPr>
        <w:t>.</w:t>
      </w:r>
    </w:p>
    <w:p w14:paraId="5F7CC337" w14:textId="77777777" w:rsidR="00C7155E" w:rsidRPr="004C23F4" w:rsidRDefault="00F10C97" w:rsidP="003365A5">
      <w:pPr>
        <w:pStyle w:val="Heading2"/>
      </w:pPr>
      <w:r>
        <w:t>Discussion and conclusions</w:t>
      </w:r>
    </w:p>
    <w:p w14:paraId="6C76D637" w14:textId="5C117F50" w:rsidR="00754C24" w:rsidRDefault="00397A04" w:rsidP="006639B4">
      <w:pPr>
        <w:rPr>
          <w:rFonts w:cs="Arial"/>
        </w:rPr>
      </w:pPr>
      <w:r>
        <w:rPr>
          <w:rFonts w:cs="Arial"/>
        </w:rPr>
        <w:t xml:space="preserve">2,2’-Oxybis[ethanol] </w:t>
      </w:r>
      <w:r w:rsidR="00833EB7">
        <w:rPr>
          <w:rFonts w:cs="Arial"/>
        </w:rPr>
        <w:t xml:space="preserve">is </w:t>
      </w:r>
      <w:r>
        <w:rPr>
          <w:rFonts w:cs="Arial"/>
        </w:rPr>
        <w:t>use</w:t>
      </w:r>
      <w:r w:rsidR="00833EB7">
        <w:rPr>
          <w:rFonts w:cs="Arial"/>
        </w:rPr>
        <w:t>d</w:t>
      </w:r>
      <w:r>
        <w:rPr>
          <w:rFonts w:cs="Arial"/>
        </w:rPr>
        <w:t xml:space="preserve"> </w:t>
      </w:r>
      <w:r w:rsidR="008F5F7E">
        <w:rPr>
          <w:rFonts w:cs="Arial"/>
        </w:rPr>
        <w:t xml:space="preserve">in </w:t>
      </w:r>
      <w:r>
        <w:rPr>
          <w:rFonts w:cs="Arial"/>
        </w:rPr>
        <w:t xml:space="preserve">the manufacture of resins, </w:t>
      </w:r>
      <w:r w:rsidR="008F5F7E">
        <w:rPr>
          <w:rFonts w:cs="Arial"/>
        </w:rPr>
        <w:t xml:space="preserve">as </w:t>
      </w:r>
      <w:r>
        <w:rPr>
          <w:rFonts w:cs="Arial"/>
        </w:rPr>
        <w:t xml:space="preserve">a </w:t>
      </w:r>
      <w:r w:rsidR="008F5F7E">
        <w:rPr>
          <w:rFonts w:cs="Arial"/>
        </w:rPr>
        <w:t xml:space="preserve">component of </w:t>
      </w:r>
      <w:r>
        <w:rPr>
          <w:rFonts w:cs="Arial"/>
        </w:rPr>
        <w:t>anti-freeze, in cosmetic ingredients and in brake fluids and lubricant</w:t>
      </w:r>
      <w:r w:rsidR="00655857">
        <w:rPr>
          <w:rFonts w:cs="Arial"/>
        </w:rPr>
        <w:t>s</w:t>
      </w:r>
      <w:r w:rsidR="0081517D">
        <w:rPr>
          <w:rFonts w:cs="Arial"/>
        </w:rPr>
        <w:t xml:space="preserve"> (</w:t>
      </w:r>
      <w:r w:rsidR="00754C24">
        <w:rPr>
          <w:rFonts w:cs="Arial"/>
        </w:rPr>
        <w:t xml:space="preserve">ECHA, 2019; </w:t>
      </w:r>
      <w:r w:rsidR="0081517D">
        <w:rPr>
          <w:rFonts w:cs="Arial"/>
        </w:rPr>
        <w:t>NICNAS, 2013)</w:t>
      </w:r>
      <w:r>
        <w:rPr>
          <w:rFonts w:cs="Arial"/>
        </w:rPr>
        <w:t>.</w:t>
      </w:r>
      <w:r w:rsidR="005F5202">
        <w:rPr>
          <w:rFonts w:cs="Arial"/>
        </w:rPr>
        <w:t xml:space="preserve"> </w:t>
      </w:r>
    </w:p>
    <w:p w14:paraId="2D7B8474" w14:textId="77777777" w:rsidR="00463951" w:rsidRDefault="008439F4" w:rsidP="006639B4">
      <w:pPr>
        <w:rPr>
          <w:rFonts w:cs="Arial"/>
        </w:rPr>
      </w:pPr>
      <w:r>
        <w:rPr>
          <w:rFonts w:cs="Arial"/>
        </w:rPr>
        <w:t xml:space="preserve">Critical effects </w:t>
      </w:r>
      <w:r w:rsidR="00655857">
        <w:rPr>
          <w:rFonts w:cs="Arial"/>
        </w:rPr>
        <w:t xml:space="preserve">of exposure </w:t>
      </w:r>
      <w:r>
        <w:rPr>
          <w:rFonts w:cs="Arial"/>
        </w:rPr>
        <w:t>are kidney</w:t>
      </w:r>
      <w:r w:rsidR="00754C24">
        <w:rPr>
          <w:rFonts w:cs="Arial"/>
        </w:rPr>
        <w:t xml:space="preserve"> and liver</w:t>
      </w:r>
      <w:r>
        <w:rPr>
          <w:rFonts w:cs="Arial"/>
        </w:rPr>
        <w:t xml:space="preserve"> damage</w:t>
      </w:r>
      <w:r w:rsidR="0081517D">
        <w:rPr>
          <w:rFonts w:cs="Arial"/>
        </w:rPr>
        <w:t>.</w:t>
      </w:r>
      <w:r w:rsidR="00754C24">
        <w:rPr>
          <w:rFonts w:cs="Arial"/>
        </w:rPr>
        <w:t xml:space="preserve"> </w:t>
      </w:r>
    </w:p>
    <w:p w14:paraId="4264A28F" w14:textId="600D81D9" w:rsidR="0081517D" w:rsidRPr="0081517D" w:rsidRDefault="00463951" w:rsidP="006639B4">
      <w:pPr>
        <w:rPr>
          <w:rFonts w:cs="Arial"/>
        </w:rPr>
      </w:pPr>
      <w:r>
        <w:rPr>
          <w:rStyle w:val="checkbox"/>
          <w:rFonts w:ascii="Arial" w:hAnsi="Arial" w:cs="Arial"/>
        </w:rPr>
        <w:t xml:space="preserve">Irritation of the throat and face </w:t>
      </w:r>
      <w:r w:rsidR="005F1EA6">
        <w:rPr>
          <w:rStyle w:val="checkbox"/>
          <w:rFonts w:ascii="Arial" w:hAnsi="Arial" w:cs="Arial"/>
        </w:rPr>
        <w:t xml:space="preserve">is </w:t>
      </w:r>
      <w:r>
        <w:rPr>
          <w:rFonts w:cs="Arial"/>
        </w:rPr>
        <w:t>reported in a</w:t>
      </w:r>
      <w:r w:rsidR="008F5F7E">
        <w:rPr>
          <w:rFonts w:cs="Arial"/>
        </w:rPr>
        <w:t xml:space="preserve"> study of volunteers exposed </w:t>
      </w:r>
      <w:r>
        <w:rPr>
          <w:rStyle w:val="checkbox"/>
          <w:rFonts w:ascii="Arial" w:hAnsi="Arial" w:cs="Arial"/>
        </w:rPr>
        <w:t>to</w:t>
      </w:r>
      <w:r>
        <w:rPr>
          <w:rFonts w:cs="Arial"/>
        </w:rPr>
        <w:t xml:space="preserve"> </w:t>
      </w:r>
      <w:r>
        <w:rPr>
          <w:rStyle w:val="checkbox"/>
          <w:rFonts w:ascii="Arial" w:hAnsi="Arial" w:cs="Arial"/>
        </w:rPr>
        <w:t>140 mg/m</w:t>
      </w:r>
      <w:r w:rsidRPr="006E73F1">
        <w:rPr>
          <w:rStyle w:val="checkbox"/>
          <w:rFonts w:ascii="Arial" w:hAnsi="Arial" w:cs="Arial"/>
          <w:vertAlign w:val="superscript"/>
        </w:rPr>
        <w:t>3</w:t>
      </w:r>
      <w:r w:rsidR="00013272">
        <w:rPr>
          <w:rStyle w:val="checkbox"/>
          <w:rFonts w:ascii="Arial" w:hAnsi="Arial" w:cs="Arial"/>
        </w:rPr>
        <w:t xml:space="preserve">. </w:t>
      </w:r>
      <w:r w:rsidR="00B81FC8">
        <w:rPr>
          <w:rStyle w:val="checkbox"/>
          <w:rFonts w:ascii="Arial" w:hAnsi="Arial" w:cs="Arial"/>
        </w:rPr>
        <w:t xml:space="preserve">An </w:t>
      </w:r>
      <w:r w:rsidR="00013272">
        <w:rPr>
          <w:rStyle w:val="checkbox"/>
          <w:rFonts w:ascii="Arial" w:hAnsi="Arial" w:cs="Arial"/>
        </w:rPr>
        <w:t>e</w:t>
      </w:r>
      <w:r w:rsidR="008F5F7E">
        <w:rPr>
          <w:rStyle w:val="checkbox"/>
          <w:rFonts w:ascii="Arial" w:hAnsi="Arial" w:cs="Arial"/>
        </w:rPr>
        <w:t>xposure greater than 200 mg/m</w:t>
      </w:r>
      <w:r w:rsidR="008F5F7E" w:rsidRPr="0081517D">
        <w:rPr>
          <w:rStyle w:val="checkbox"/>
          <w:rFonts w:ascii="Arial" w:hAnsi="Arial" w:cs="Arial"/>
          <w:vertAlign w:val="superscript"/>
        </w:rPr>
        <w:t>3</w:t>
      </w:r>
      <w:r w:rsidR="008F5F7E">
        <w:rPr>
          <w:rStyle w:val="checkbox"/>
          <w:rFonts w:ascii="Arial" w:hAnsi="Arial" w:cs="Arial"/>
        </w:rPr>
        <w:t xml:space="preserve"> </w:t>
      </w:r>
      <w:r w:rsidR="00A74B63">
        <w:rPr>
          <w:rStyle w:val="checkbox"/>
          <w:rFonts w:ascii="Arial" w:hAnsi="Arial" w:cs="Arial"/>
        </w:rPr>
        <w:t xml:space="preserve">is </w:t>
      </w:r>
      <w:r w:rsidR="008F5F7E">
        <w:rPr>
          <w:rStyle w:val="checkbox"/>
          <w:rFonts w:ascii="Arial" w:hAnsi="Arial" w:cs="Arial"/>
        </w:rPr>
        <w:t>not tolerated for more than a minute.</w:t>
      </w:r>
      <w:r w:rsidR="008F5F7E">
        <w:rPr>
          <w:rFonts w:cs="Arial"/>
        </w:rPr>
        <w:t xml:space="preserve"> No further</w:t>
      </w:r>
      <w:r w:rsidR="0081517D">
        <w:rPr>
          <w:rFonts w:cs="Arial"/>
        </w:rPr>
        <w:t xml:space="preserve"> human inhalation</w:t>
      </w:r>
      <w:r w:rsidR="00F01C01">
        <w:rPr>
          <w:rFonts w:cs="Arial"/>
        </w:rPr>
        <w:t xml:space="preserve"> </w:t>
      </w:r>
      <w:r w:rsidR="0081517D">
        <w:rPr>
          <w:rFonts w:cs="Arial"/>
        </w:rPr>
        <w:t xml:space="preserve">data </w:t>
      </w:r>
      <w:r w:rsidR="002A17BC">
        <w:rPr>
          <w:rFonts w:cs="Arial"/>
        </w:rPr>
        <w:t xml:space="preserve">are </w:t>
      </w:r>
      <w:r w:rsidR="0081517D">
        <w:rPr>
          <w:rFonts w:cs="Arial"/>
        </w:rPr>
        <w:t xml:space="preserve">available </w:t>
      </w:r>
      <w:r w:rsidR="0081517D">
        <w:rPr>
          <w:rStyle w:val="checkbox"/>
          <w:rFonts w:ascii="Arial" w:hAnsi="Arial" w:cs="Arial"/>
        </w:rPr>
        <w:t>(ECHA</w:t>
      </w:r>
      <w:r w:rsidR="00A27D22">
        <w:rPr>
          <w:rStyle w:val="checkbox"/>
          <w:rFonts w:ascii="Arial" w:hAnsi="Arial" w:cs="Arial"/>
        </w:rPr>
        <w:t>, 2019</w:t>
      </w:r>
      <w:r w:rsidR="0081517D">
        <w:rPr>
          <w:rStyle w:val="checkbox"/>
          <w:rFonts w:ascii="Arial" w:hAnsi="Arial" w:cs="Arial"/>
        </w:rPr>
        <w:t xml:space="preserve">). Humans appear more </w:t>
      </w:r>
      <w:r w:rsidR="00EF3629">
        <w:rPr>
          <w:rStyle w:val="checkbox"/>
          <w:rFonts w:ascii="Arial" w:hAnsi="Arial" w:cs="Arial"/>
        </w:rPr>
        <w:t xml:space="preserve">susceptible to </w:t>
      </w:r>
      <w:r w:rsidR="0081517D">
        <w:rPr>
          <w:rStyle w:val="checkbox"/>
          <w:rFonts w:ascii="Arial" w:hAnsi="Arial" w:cs="Arial"/>
        </w:rPr>
        <w:t>a</w:t>
      </w:r>
      <w:r w:rsidR="00EF3629">
        <w:rPr>
          <w:rStyle w:val="checkbox"/>
          <w:rFonts w:ascii="Arial" w:hAnsi="Arial" w:cs="Arial"/>
        </w:rPr>
        <w:t>cute toxic</w:t>
      </w:r>
      <w:r w:rsidR="005F5202">
        <w:rPr>
          <w:rStyle w:val="checkbox"/>
          <w:rFonts w:ascii="Arial" w:hAnsi="Arial" w:cs="Arial"/>
        </w:rPr>
        <w:t xml:space="preserve"> effects than animals (DFG, 1995</w:t>
      </w:r>
      <w:r w:rsidR="00EF3629">
        <w:rPr>
          <w:rStyle w:val="checkbox"/>
          <w:rFonts w:ascii="Arial" w:hAnsi="Arial" w:cs="Arial"/>
        </w:rPr>
        <w:t xml:space="preserve">). </w:t>
      </w:r>
      <w:r w:rsidR="00CA3339">
        <w:rPr>
          <w:rStyle w:val="checkbox"/>
          <w:rFonts w:ascii="Arial" w:hAnsi="Arial" w:cs="Arial"/>
        </w:rPr>
        <w:t>A NOAEL of 50 mg/kg</w:t>
      </w:r>
      <w:r w:rsidR="00B81FC8">
        <w:rPr>
          <w:rStyle w:val="checkbox"/>
          <w:rFonts w:ascii="Arial" w:hAnsi="Arial" w:cs="Arial"/>
        </w:rPr>
        <w:t>/day</w:t>
      </w:r>
      <w:r w:rsidR="00CA3339">
        <w:rPr>
          <w:rStyle w:val="checkbox"/>
          <w:rFonts w:ascii="Arial" w:hAnsi="Arial" w:cs="Arial"/>
        </w:rPr>
        <w:t xml:space="preserve"> </w:t>
      </w:r>
      <w:r w:rsidR="006638B0">
        <w:rPr>
          <w:rStyle w:val="checkbox"/>
          <w:rFonts w:ascii="Arial" w:hAnsi="Arial" w:cs="Arial"/>
        </w:rPr>
        <w:t xml:space="preserve">for oxalate formation in rats </w:t>
      </w:r>
      <w:r w:rsidR="00B81FC8">
        <w:rPr>
          <w:rStyle w:val="checkbox"/>
          <w:rFonts w:ascii="Arial" w:hAnsi="Arial" w:cs="Arial"/>
        </w:rPr>
        <w:t>reported</w:t>
      </w:r>
      <w:r w:rsidR="00CA3339">
        <w:rPr>
          <w:rStyle w:val="checkbox"/>
          <w:rFonts w:ascii="Arial" w:hAnsi="Arial" w:cs="Arial"/>
        </w:rPr>
        <w:t xml:space="preserve"> by DFG (1995) </w:t>
      </w:r>
      <w:r w:rsidR="00584575">
        <w:rPr>
          <w:rStyle w:val="checkbox"/>
          <w:rFonts w:ascii="Arial" w:hAnsi="Arial" w:cs="Arial"/>
        </w:rPr>
        <w:t xml:space="preserve">used </w:t>
      </w:r>
      <w:r w:rsidR="00CA3339">
        <w:rPr>
          <w:rStyle w:val="checkbox"/>
          <w:rFonts w:ascii="Arial" w:hAnsi="Arial" w:cs="Arial"/>
        </w:rPr>
        <w:t>for MAK derivation</w:t>
      </w:r>
      <w:r w:rsidR="002A17BC">
        <w:rPr>
          <w:rStyle w:val="checkbox"/>
          <w:rFonts w:ascii="Arial" w:hAnsi="Arial" w:cs="Arial"/>
        </w:rPr>
        <w:t>. This is</w:t>
      </w:r>
      <w:r w:rsidR="00161E07">
        <w:rPr>
          <w:rStyle w:val="checkbox"/>
          <w:rFonts w:ascii="Arial" w:hAnsi="Arial" w:cs="Arial"/>
        </w:rPr>
        <w:t xml:space="preserve"> </w:t>
      </w:r>
      <w:r w:rsidR="00CA3339">
        <w:rPr>
          <w:rStyle w:val="checkbox"/>
          <w:rFonts w:ascii="Arial" w:hAnsi="Arial" w:cs="Arial"/>
        </w:rPr>
        <w:t xml:space="preserve">disputed by HCOTN (2007), NICNAS (2013) and ECHA (2019) as elevated oxalate formation </w:t>
      </w:r>
      <w:r w:rsidR="00F01C01">
        <w:rPr>
          <w:rStyle w:val="checkbox"/>
          <w:rFonts w:ascii="Arial" w:hAnsi="Arial" w:cs="Arial"/>
        </w:rPr>
        <w:t xml:space="preserve">is </w:t>
      </w:r>
      <w:r w:rsidR="00CA3339">
        <w:rPr>
          <w:rStyle w:val="checkbox"/>
          <w:rFonts w:ascii="Arial" w:hAnsi="Arial" w:cs="Arial"/>
        </w:rPr>
        <w:t xml:space="preserve">not considered </w:t>
      </w:r>
      <w:r w:rsidR="00F01C01">
        <w:rPr>
          <w:rStyle w:val="checkbox"/>
          <w:rFonts w:ascii="Arial" w:hAnsi="Arial" w:cs="Arial"/>
        </w:rPr>
        <w:t xml:space="preserve">a </w:t>
      </w:r>
      <w:r w:rsidR="00CA3339">
        <w:rPr>
          <w:rStyle w:val="checkbox"/>
          <w:rFonts w:ascii="Arial" w:hAnsi="Arial" w:cs="Arial"/>
        </w:rPr>
        <w:t xml:space="preserve">toxicity indicator. </w:t>
      </w:r>
      <w:r w:rsidR="00584575">
        <w:rPr>
          <w:rStyle w:val="checkbox"/>
          <w:rFonts w:ascii="Arial" w:hAnsi="Arial" w:cs="Arial"/>
        </w:rPr>
        <w:t>T</w:t>
      </w:r>
      <w:r w:rsidR="006D2CA2">
        <w:rPr>
          <w:rStyle w:val="checkbox"/>
          <w:rFonts w:ascii="Arial" w:hAnsi="Arial" w:cs="Arial"/>
        </w:rPr>
        <w:t xml:space="preserve">hese sources </w:t>
      </w:r>
      <w:r w:rsidR="00B81FC8">
        <w:rPr>
          <w:rStyle w:val="checkbox"/>
          <w:rFonts w:ascii="Arial" w:hAnsi="Arial" w:cs="Arial"/>
        </w:rPr>
        <w:t>report</w:t>
      </w:r>
      <w:r w:rsidR="006D2CA2">
        <w:rPr>
          <w:rStyle w:val="checkbox"/>
          <w:rFonts w:ascii="Arial" w:hAnsi="Arial" w:cs="Arial"/>
        </w:rPr>
        <w:t xml:space="preserve"> a NOAEL of 300 mg/kg</w:t>
      </w:r>
      <w:r w:rsidR="00B81FC8">
        <w:rPr>
          <w:rStyle w:val="checkbox"/>
          <w:rFonts w:ascii="Arial" w:hAnsi="Arial" w:cs="Arial"/>
        </w:rPr>
        <w:t>/day</w:t>
      </w:r>
      <w:r w:rsidR="006D2CA2">
        <w:rPr>
          <w:rStyle w:val="checkbox"/>
          <w:rFonts w:ascii="Arial" w:hAnsi="Arial" w:cs="Arial"/>
        </w:rPr>
        <w:t xml:space="preserve"> </w:t>
      </w:r>
      <w:r w:rsidR="00584575">
        <w:rPr>
          <w:rStyle w:val="checkbox"/>
          <w:rFonts w:ascii="Arial" w:hAnsi="Arial" w:cs="Arial"/>
        </w:rPr>
        <w:t xml:space="preserve">from the same study </w:t>
      </w:r>
      <w:r w:rsidR="006D2CA2">
        <w:rPr>
          <w:rStyle w:val="checkbox"/>
          <w:rFonts w:ascii="Arial" w:hAnsi="Arial" w:cs="Arial"/>
        </w:rPr>
        <w:t>b</w:t>
      </w:r>
      <w:r w:rsidR="00EF3629">
        <w:rPr>
          <w:rStyle w:val="checkbox"/>
          <w:rFonts w:ascii="Arial" w:hAnsi="Arial" w:cs="Arial"/>
        </w:rPr>
        <w:t>ased on histopathological findings</w:t>
      </w:r>
      <w:r w:rsidR="00687C5A">
        <w:rPr>
          <w:rStyle w:val="checkbox"/>
          <w:rFonts w:ascii="Arial" w:hAnsi="Arial" w:cs="Arial"/>
        </w:rPr>
        <w:t xml:space="preserve"> </w:t>
      </w:r>
      <w:r w:rsidR="00833EB7">
        <w:rPr>
          <w:rStyle w:val="checkbox"/>
          <w:rFonts w:ascii="Arial" w:hAnsi="Arial" w:cs="Arial"/>
        </w:rPr>
        <w:t xml:space="preserve">in the </w:t>
      </w:r>
      <w:r w:rsidR="00687C5A">
        <w:rPr>
          <w:rStyle w:val="checkbox"/>
          <w:rFonts w:ascii="Arial" w:hAnsi="Arial" w:cs="Arial"/>
        </w:rPr>
        <w:t>kidney and liver</w:t>
      </w:r>
      <w:r w:rsidR="002A17BC">
        <w:rPr>
          <w:rStyle w:val="checkbox"/>
          <w:rFonts w:ascii="Arial" w:hAnsi="Arial" w:cs="Arial"/>
        </w:rPr>
        <w:t xml:space="preserve"> (</w:t>
      </w:r>
      <w:r w:rsidR="002A17BC" w:rsidRPr="00833EB7">
        <w:t xml:space="preserve">hydropic degeneration of the kidneys and tubular necrosis in the kidneys </w:t>
      </w:r>
      <w:r w:rsidR="002A17BC">
        <w:t>resulting in renal failure)</w:t>
      </w:r>
      <w:r w:rsidR="007036D6">
        <w:rPr>
          <w:rStyle w:val="checkbox"/>
          <w:rFonts w:ascii="Arial" w:hAnsi="Arial" w:cs="Arial"/>
        </w:rPr>
        <w:t>.</w:t>
      </w:r>
      <w:r w:rsidR="00CA3339">
        <w:rPr>
          <w:rStyle w:val="checkbox"/>
          <w:rFonts w:ascii="Arial" w:hAnsi="Arial" w:cs="Arial"/>
        </w:rPr>
        <w:t xml:space="preserve"> </w:t>
      </w:r>
    </w:p>
    <w:p w14:paraId="48D36F7A" w14:textId="0F28825B" w:rsidR="008439F4" w:rsidRPr="007036D6" w:rsidRDefault="00D65C81" w:rsidP="006639B4">
      <w:pPr>
        <w:rPr>
          <w:rFonts w:cs="Arial"/>
        </w:rPr>
      </w:pPr>
      <w:r>
        <w:rPr>
          <w:rFonts w:cs="Arial"/>
        </w:rPr>
        <w:t>Based on the weight of evidence presented</w:t>
      </w:r>
      <w:r w:rsidR="002A17BC">
        <w:rPr>
          <w:rFonts w:cs="Arial"/>
        </w:rPr>
        <w:t>,</w:t>
      </w:r>
      <w:r>
        <w:rPr>
          <w:rFonts w:cs="Arial"/>
        </w:rPr>
        <w:t xml:space="preserve"> the </w:t>
      </w:r>
      <w:r w:rsidR="00B81FC8">
        <w:rPr>
          <w:rFonts w:cs="Arial"/>
        </w:rPr>
        <w:t xml:space="preserve">SWA </w:t>
      </w:r>
      <w:r w:rsidR="007036D6">
        <w:rPr>
          <w:rFonts w:cs="Arial"/>
        </w:rPr>
        <w:t xml:space="preserve">TWA of </w:t>
      </w:r>
      <w:r w:rsidR="000A6E2E">
        <w:rPr>
          <w:rFonts w:cs="Arial"/>
        </w:rPr>
        <w:t>23</w:t>
      </w:r>
      <w:r w:rsidR="000A6E2E" w:rsidRPr="008439F4">
        <w:rPr>
          <w:rFonts w:cs="Arial"/>
        </w:rPr>
        <w:t xml:space="preserve"> ppm (</w:t>
      </w:r>
      <w:r w:rsidR="000A6E2E">
        <w:rPr>
          <w:rFonts w:cs="Arial"/>
        </w:rPr>
        <w:t>100</w:t>
      </w:r>
      <w:r w:rsidR="000A6E2E" w:rsidRPr="008439F4">
        <w:rPr>
          <w:rFonts w:cs="Arial"/>
        </w:rPr>
        <w:t xml:space="preserve"> mg/m</w:t>
      </w:r>
      <w:r w:rsidR="000A6E2E" w:rsidRPr="008439F4">
        <w:rPr>
          <w:rFonts w:cs="Arial"/>
          <w:vertAlign w:val="superscript"/>
        </w:rPr>
        <w:t>3</w:t>
      </w:r>
      <w:r w:rsidR="000A6E2E" w:rsidRPr="008439F4">
        <w:rPr>
          <w:rFonts w:cs="Arial"/>
        </w:rPr>
        <w:t xml:space="preserve">) </w:t>
      </w:r>
      <w:r w:rsidR="007036D6">
        <w:rPr>
          <w:rFonts w:cs="Arial"/>
        </w:rPr>
        <w:t xml:space="preserve">is </w:t>
      </w:r>
      <w:r w:rsidR="00200456">
        <w:rPr>
          <w:rFonts w:cs="Arial"/>
        </w:rPr>
        <w:t>recommended</w:t>
      </w:r>
      <w:r w:rsidR="00751D2F">
        <w:rPr>
          <w:rFonts w:cs="Arial"/>
        </w:rPr>
        <w:t xml:space="preserve"> </w:t>
      </w:r>
      <w:r w:rsidR="005F1EA6">
        <w:rPr>
          <w:rFonts w:cs="Arial"/>
        </w:rPr>
        <w:t xml:space="preserve">to </w:t>
      </w:r>
      <w:r w:rsidR="00B81FC8">
        <w:rPr>
          <w:rFonts w:cs="Arial"/>
        </w:rPr>
        <w:t xml:space="preserve">be retained </w:t>
      </w:r>
      <w:r w:rsidR="00751D2F">
        <w:rPr>
          <w:rFonts w:cs="Arial"/>
        </w:rPr>
        <w:t xml:space="preserve">and </w:t>
      </w:r>
      <w:r w:rsidR="007036D6">
        <w:rPr>
          <w:rFonts w:cs="Arial"/>
        </w:rPr>
        <w:t xml:space="preserve">is considered protective </w:t>
      </w:r>
      <w:r w:rsidR="00751D2F">
        <w:rPr>
          <w:rFonts w:cs="Arial"/>
        </w:rPr>
        <w:t>of</w:t>
      </w:r>
      <w:r w:rsidR="00331EFA">
        <w:rPr>
          <w:rFonts w:cs="Arial"/>
        </w:rPr>
        <w:t xml:space="preserve"> </w:t>
      </w:r>
      <w:r w:rsidR="00B81FC8">
        <w:rPr>
          <w:rFonts w:cs="Arial"/>
        </w:rPr>
        <w:t xml:space="preserve">potential </w:t>
      </w:r>
      <w:r w:rsidR="00331EFA">
        <w:rPr>
          <w:rFonts w:cs="Arial"/>
        </w:rPr>
        <w:t xml:space="preserve">kidney </w:t>
      </w:r>
      <w:r w:rsidR="00751D2F">
        <w:rPr>
          <w:rFonts w:cs="Arial"/>
        </w:rPr>
        <w:t xml:space="preserve">damage </w:t>
      </w:r>
      <w:r w:rsidR="00B81FC8">
        <w:rPr>
          <w:rFonts w:cs="Arial"/>
        </w:rPr>
        <w:t xml:space="preserve">after chronic exposure </w:t>
      </w:r>
      <w:r w:rsidR="00751D2F">
        <w:rPr>
          <w:rFonts w:cs="Arial"/>
        </w:rPr>
        <w:t>and irritation effects after acute exposures</w:t>
      </w:r>
      <w:r w:rsidR="00331EFA">
        <w:rPr>
          <w:rFonts w:cs="Arial"/>
        </w:rPr>
        <w:t>.</w:t>
      </w:r>
    </w:p>
    <w:p w14:paraId="26902FED" w14:textId="77777777" w:rsidR="004529F0" w:rsidRPr="004C23F4" w:rsidRDefault="004529F0" w:rsidP="00F34B5E">
      <w:pPr>
        <w:pStyle w:val="Heading2"/>
        <w:pageBreakBefore/>
      </w:pPr>
      <w:r>
        <w:lastRenderedPageBreak/>
        <w:t>Recommendation for notations</w:t>
      </w:r>
    </w:p>
    <w:p w14:paraId="048B6434" w14:textId="62C6878D" w:rsidR="008E4F1F" w:rsidRPr="00192A0E" w:rsidRDefault="008E4F1F" w:rsidP="008E4F1F">
      <w:pPr>
        <w:rPr>
          <w:rFonts w:cs="Arial"/>
        </w:rPr>
      </w:pPr>
      <w:r w:rsidRPr="00192A0E">
        <w:rPr>
          <w:rFonts w:cs="Arial"/>
        </w:rPr>
        <w:t>Not classified as a carcinogen according to the Globally Harmonized System of Classification and Labelling o</w:t>
      </w:r>
      <w:r w:rsidR="00192A0E" w:rsidRPr="00192A0E">
        <w:rPr>
          <w:rFonts w:cs="Arial"/>
        </w:rPr>
        <w:t>f</w:t>
      </w:r>
      <w:r w:rsidRPr="00192A0E">
        <w:rPr>
          <w:rFonts w:cs="Arial"/>
        </w:rPr>
        <w:t xml:space="preserve"> Chemicals (GHS). </w:t>
      </w:r>
    </w:p>
    <w:p w14:paraId="728FCED8" w14:textId="090E9C36" w:rsidR="008E4F1F" w:rsidRPr="00192A0E" w:rsidRDefault="008E4F1F" w:rsidP="008E4F1F">
      <w:pPr>
        <w:rPr>
          <w:rFonts w:cs="Arial"/>
        </w:rPr>
      </w:pPr>
      <w:r w:rsidRPr="00192A0E">
        <w:rPr>
          <w:rFonts w:cs="Arial"/>
        </w:rPr>
        <w:t xml:space="preserve">Not classified as a skin </w:t>
      </w:r>
      <w:r w:rsidR="00192A0E" w:rsidRPr="00192A0E">
        <w:rPr>
          <w:rFonts w:cs="Arial"/>
        </w:rPr>
        <w:t xml:space="preserve">sensitiser </w:t>
      </w:r>
      <w:r w:rsidRPr="00192A0E">
        <w:rPr>
          <w:rFonts w:cs="Arial"/>
        </w:rPr>
        <w:t>or respiratory sensitiser according to the GHS.</w:t>
      </w:r>
    </w:p>
    <w:p w14:paraId="1FCFEDC7" w14:textId="51E14D00" w:rsidR="005E6979" w:rsidRPr="004C23F4" w:rsidRDefault="00A27D22">
      <w:pPr>
        <w:rPr>
          <w:rFonts w:cs="Arial"/>
        </w:rPr>
        <w:sectPr w:rsidR="005E6979" w:rsidRPr="004C23F4" w:rsidSect="00B479A9">
          <w:headerReference w:type="default" r:id="rId11"/>
          <w:footerReference w:type="default" r:id="rId12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  <w:r>
        <w:rPr>
          <w:rFonts w:cs="Arial"/>
        </w:rPr>
        <w:t>There are insufficient data to recommend a skin notation, noting there is conflicting data between agencies.</w:t>
      </w:r>
    </w:p>
    <w:p w14:paraId="06E1BEFE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1D68DCA2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20" w:firstRow="1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DA352E" w14:paraId="1D9DF113" w14:textId="77777777" w:rsidTr="00F34B5E">
        <w:trPr>
          <w:gridAfter w:val="1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8" w:type="pct"/>
          <w:trHeight w:val="393"/>
          <w:tblHeader/>
        </w:trPr>
        <w:tc>
          <w:tcPr>
            <w:tcW w:w="4990" w:type="pct"/>
            <w:shd w:val="clear" w:color="auto" w:fill="BFBFBF" w:themeFill="background1" w:themeFillShade="BF"/>
            <w:vAlign w:val="center"/>
          </w:tcPr>
          <w:p w14:paraId="5AE4FBD5" w14:textId="77777777" w:rsidR="00C978F0" w:rsidRPr="00DA352E" w:rsidRDefault="00C978F0" w:rsidP="00C67FFB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DE26E8" w:rsidRPr="003365A5" w14:paraId="6A61456F" w14:textId="77777777" w:rsidTr="00F34B5E">
        <w:tc>
          <w:tcPr>
            <w:tcW w:w="4990" w:type="pct"/>
            <w:gridSpan w:val="2"/>
            <w:shd w:val="clear" w:color="auto" w:fill="F2F2F2" w:themeFill="background1" w:themeFillShade="F2"/>
          </w:tcPr>
          <w:p w14:paraId="4F361F72" w14:textId="3FFE1C72" w:rsidR="00DE26E8" w:rsidRPr="003365A5" w:rsidRDefault="00DE26E8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3365A5">
              <w:t>SWA</w:t>
            </w:r>
            <w:r w:rsidRPr="003365A5">
              <w:tab/>
            </w:r>
            <w:sdt>
              <w:sdtPr>
                <w:rPr>
                  <w:highlight w:val="yellow"/>
                </w:rPr>
                <w:id w:val="-2034099983"/>
                <w:placeholder>
                  <w:docPart w:val="0A35AF4547E94E219E26BC12DBC33282"/>
                </w:placeholder>
                <w:showingPlcHdr/>
                <w:text/>
              </w:sdtPr>
              <w:sdtEndPr/>
              <w:sdtContent>
                <w:r w:rsidR="005F5202">
                  <w:rPr>
                    <w:rStyle w:val="PlaceholderText"/>
                  </w:rPr>
                  <w:t>Y</w:t>
                </w:r>
                <w:r w:rsidR="005F5202" w:rsidRPr="003365A5">
                  <w:rPr>
                    <w:rStyle w:val="PlaceholderText"/>
                  </w:rPr>
                  <w:t>ear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EndPr/>
              <w:sdtContent>
                <w:r w:rsidR="00777B62">
                  <w:t>TWA: 23 ppm (100 mg/m</w:t>
                </w:r>
                <w:r w:rsidR="00777B62" w:rsidRPr="00777B62">
                  <w:rPr>
                    <w:vertAlign w:val="superscript"/>
                  </w:rPr>
                  <w:t>3</w:t>
                </w:r>
                <w:r w:rsidR="00777B62">
                  <w:t>)</w:t>
                </w:r>
              </w:sdtContent>
            </w:sdt>
          </w:p>
        </w:tc>
      </w:tr>
      <w:tr w:rsidR="00C978F0" w:rsidRPr="00DA352E" w14:paraId="2827E2EC" w14:textId="77777777" w:rsidTr="00F34B5E">
        <w:trPr>
          <w:gridAfter w:val="1"/>
          <w:wAfter w:w="8" w:type="pct"/>
        </w:trPr>
        <w:tc>
          <w:tcPr>
            <w:tcW w:w="4990" w:type="pct"/>
          </w:tcPr>
          <w:p w14:paraId="30B1982E" w14:textId="77777777" w:rsidR="00C978F0" w:rsidRPr="00DA352E" w:rsidRDefault="00C978F0" w:rsidP="003365A5">
            <w:pPr>
              <w:pStyle w:val="Tabletextprimarysource"/>
            </w:pPr>
          </w:p>
        </w:tc>
      </w:tr>
      <w:tr w:rsidR="00C978F0" w:rsidRPr="00DA352E" w14:paraId="365DDB3A" w14:textId="77777777" w:rsidTr="00F34B5E">
        <w:trPr>
          <w:gridAfter w:val="1"/>
          <w:wAfter w:w="8" w:type="pct"/>
        </w:trPr>
        <w:tc>
          <w:tcPr>
            <w:tcW w:w="4990" w:type="pct"/>
            <w:shd w:val="clear" w:color="auto" w:fill="F2F2F2" w:themeFill="background1" w:themeFillShade="F2"/>
          </w:tcPr>
          <w:p w14:paraId="1D3932C8" w14:textId="03D11E05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ACGIH</w:t>
            </w:r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EndPr/>
              <w:sdtContent>
                <w:r w:rsidR="007825BE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EndPr/>
              <w:sdtContent>
                <w:proofErr w:type="spellStart"/>
                <w:r w:rsidR="007825BE">
                  <w:t>NA</w:t>
                </w:r>
                <w:proofErr w:type="spellEnd"/>
              </w:sdtContent>
            </w:sdt>
          </w:p>
        </w:tc>
      </w:tr>
      <w:tr w:rsidR="00C978F0" w:rsidRPr="00DA352E" w14:paraId="04AAE823" w14:textId="77777777" w:rsidTr="00F34B5E">
        <w:trPr>
          <w:gridAfter w:val="1"/>
          <w:wAfter w:w="8" w:type="pct"/>
        </w:trPr>
        <w:tc>
          <w:tcPr>
            <w:tcW w:w="4990" w:type="pct"/>
          </w:tcPr>
          <w:p w14:paraId="49B01F3B" w14:textId="526C65E5" w:rsidR="00C978F0" w:rsidRPr="00DA352E" w:rsidRDefault="007825BE" w:rsidP="003365A5">
            <w:pPr>
              <w:pStyle w:val="Tabletextprimarysource"/>
            </w:pPr>
            <w:r>
              <w:t>No report</w:t>
            </w:r>
            <w:r w:rsidR="005F5202">
              <w:t>.</w:t>
            </w:r>
          </w:p>
        </w:tc>
      </w:tr>
      <w:tr w:rsidR="00C978F0" w:rsidRPr="00DA352E" w14:paraId="0C11038D" w14:textId="77777777" w:rsidTr="00F34B5E">
        <w:trPr>
          <w:gridAfter w:val="1"/>
          <w:wAfter w:w="8" w:type="pct"/>
        </w:trPr>
        <w:tc>
          <w:tcPr>
            <w:tcW w:w="4990" w:type="pct"/>
            <w:shd w:val="clear" w:color="auto" w:fill="F2F2F2" w:themeFill="background1" w:themeFillShade="F2"/>
          </w:tcPr>
          <w:p w14:paraId="2B98480E" w14:textId="1CFF868F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DFG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EndPr/>
              <w:sdtContent>
                <w:r w:rsidR="005F5202">
                  <w:t>1995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EndPr/>
              <w:sdtContent>
                <w:r w:rsidR="007825BE">
                  <w:t>MAK: 10 ppm (44 mg/m</w:t>
                </w:r>
                <w:r w:rsidR="007825BE" w:rsidRPr="007825BE">
                  <w:rPr>
                    <w:vertAlign w:val="superscript"/>
                  </w:rPr>
                  <w:t>3</w:t>
                </w:r>
                <w:r w:rsidR="007825BE">
                  <w:t>)</w:t>
                </w:r>
              </w:sdtContent>
            </w:sdt>
          </w:p>
        </w:tc>
      </w:tr>
      <w:tr w:rsidR="00C978F0" w:rsidRPr="00DA352E" w14:paraId="42259C12" w14:textId="77777777" w:rsidTr="00F34B5E">
        <w:trPr>
          <w:gridAfter w:val="1"/>
          <w:wAfter w:w="8" w:type="pct"/>
        </w:trPr>
        <w:tc>
          <w:tcPr>
            <w:tcW w:w="4990" w:type="pct"/>
          </w:tcPr>
          <w:p w14:paraId="301CD9AC" w14:textId="7248A9D5" w:rsidR="00C978F0" w:rsidRDefault="005A2DB3" w:rsidP="003365A5">
            <w:pPr>
              <w:pStyle w:val="Tabletextprimarysource"/>
            </w:pPr>
            <w:r>
              <w:t xml:space="preserve">MAK recommended to protect for </w:t>
            </w:r>
            <w:r w:rsidR="00462747">
              <w:t>liver and kidney effects</w:t>
            </w:r>
            <w:r w:rsidR="008439F4">
              <w:t>.</w:t>
            </w:r>
          </w:p>
          <w:p w14:paraId="38214068" w14:textId="77777777" w:rsidR="005F5202" w:rsidRDefault="005F5202" w:rsidP="005F5202">
            <w:pPr>
              <w:pStyle w:val="ListBullet"/>
              <w:numPr>
                <w:ilvl w:val="0"/>
                <w:numId w:val="0"/>
              </w:numPr>
              <w:ind w:left="360" w:hanging="360"/>
            </w:pPr>
            <w:r>
              <w:t xml:space="preserve">Summary of data: </w:t>
            </w:r>
          </w:p>
          <w:p w14:paraId="4B82B141" w14:textId="1884DFC8" w:rsidR="005F5202" w:rsidRDefault="002A17BC" w:rsidP="00161E07">
            <w:pPr>
              <w:pStyle w:val="ListBullet"/>
              <w:spacing w:before="60" w:after="60"/>
              <w:ind w:left="714" w:hanging="357"/>
              <w:contextualSpacing w:val="0"/>
            </w:pPr>
            <w:r>
              <w:t>Acute t</w:t>
            </w:r>
            <w:r w:rsidR="005F5202">
              <w:t xml:space="preserve">oxicity </w:t>
            </w:r>
            <w:r w:rsidR="005F5202">
              <w:rPr>
                <w:rFonts w:ascii="Times New Roman" w:hAnsi="Times New Roman" w:cs="Times New Roman"/>
              </w:rPr>
              <w:t>≈</w:t>
            </w:r>
            <w:r w:rsidR="005F5202">
              <w:t xml:space="preserve">10 </w:t>
            </w:r>
            <w:r w:rsidR="00A74B63">
              <w:t>times</w:t>
            </w:r>
            <w:r w:rsidR="005F5202">
              <w:t xml:space="preserve"> higher in humans than in animals.</w:t>
            </w:r>
          </w:p>
          <w:p w14:paraId="5FD49360" w14:textId="2548EA2D" w:rsidR="005F5202" w:rsidRDefault="005F5202" w:rsidP="003365A5">
            <w:pPr>
              <w:pStyle w:val="Tabletextprimarysource"/>
            </w:pPr>
            <w:r>
              <w:t>Human data:</w:t>
            </w:r>
          </w:p>
          <w:p w14:paraId="54559DE9" w14:textId="24723CF3" w:rsidR="001D0780" w:rsidRDefault="001D0780" w:rsidP="00161E07">
            <w:pPr>
              <w:pStyle w:val="ListBullet"/>
              <w:spacing w:before="60" w:after="60"/>
              <w:ind w:left="714" w:hanging="357"/>
              <w:contextualSpacing w:val="0"/>
            </w:pPr>
            <w:r>
              <w:t>Mass intoxication f</w:t>
            </w:r>
            <w:r w:rsidR="00462747">
              <w:t>ollowing repeated intake during sulphonamide preparation (containing 72% 2,2’-oxybis</w:t>
            </w:r>
            <w:r>
              <w:t>[ethanol] as solvent),</w:t>
            </w:r>
            <w:r w:rsidR="00462747">
              <w:t xml:space="preserve"> 71 adults and 41 children </w:t>
            </w:r>
            <w:r>
              <w:t>di</w:t>
            </w:r>
            <w:r w:rsidR="00462747">
              <w:t>ed</w:t>
            </w:r>
            <w:r>
              <w:t>:</w:t>
            </w:r>
          </w:p>
          <w:p w14:paraId="5B987D81" w14:textId="3C5175B6" w:rsidR="00462747" w:rsidRDefault="001D0780">
            <w:pPr>
              <w:pStyle w:val="ListBullet"/>
              <w:numPr>
                <w:ilvl w:val="0"/>
                <w:numId w:val="2"/>
              </w:numPr>
              <w:spacing w:before="60" w:after="60"/>
              <w:ind w:left="1071" w:hanging="357"/>
              <w:contextualSpacing w:val="0"/>
            </w:pPr>
            <w:r>
              <w:t>headaches, dizziness and vomiting,</w:t>
            </w:r>
            <w:r w:rsidR="00462747">
              <w:t xml:space="preserve"> </w:t>
            </w:r>
            <w:r>
              <w:t xml:space="preserve">clinical signs of kidney damage, </w:t>
            </w:r>
            <w:r w:rsidR="005F5202">
              <w:t>followed by</w:t>
            </w:r>
            <w:r>
              <w:t xml:space="preserve"> kidney failure</w:t>
            </w:r>
          </w:p>
          <w:p w14:paraId="0FE2BEC7" w14:textId="4FADBB36" w:rsidR="005F3880" w:rsidRDefault="001D0780">
            <w:pPr>
              <w:pStyle w:val="ListBullet"/>
              <w:numPr>
                <w:ilvl w:val="0"/>
                <w:numId w:val="2"/>
              </w:numPr>
              <w:spacing w:before="60" w:after="60"/>
              <w:ind w:left="1071" w:hanging="357"/>
              <w:contextualSpacing w:val="0"/>
            </w:pPr>
            <w:r>
              <w:t xml:space="preserve">doses from </w:t>
            </w:r>
            <w:r w:rsidR="00902F14">
              <w:rPr>
                <w:rFonts w:cs="Arial"/>
              </w:rPr>
              <w:t>≈</w:t>
            </w:r>
            <w:r>
              <w:t>16</w:t>
            </w:r>
            <w:r w:rsidR="00902F14">
              <w:t>–</w:t>
            </w:r>
            <w:r>
              <w:t>190 g (adults)</w:t>
            </w:r>
          </w:p>
          <w:p w14:paraId="4A2CE023" w14:textId="56F3F24A" w:rsidR="005F3880" w:rsidRDefault="001D0780">
            <w:pPr>
              <w:pStyle w:val="ListBullet"/>
              <w:numPr>
                <w:ilvl w:val="0"/>
                <w:numId w:val="2"/>
              </w:numPr>
              <w:spacing w:before="60" w:after="60"/>
              <w:ind w:left="1071" w:hanging="357"/>
              <w:contextualSpacing w:val="0"/>
            </w:pPr>
            <w:r>
              <w:t xml:space="preserve">smallest lethal dose calculated </w:t>
            </w:r>
            <w:r w:rsidR="00902F14">
              <w:rPr>
                <w:rFonts w:cs="Arial"/>
              </w:rPr>
              <w:t>≈</w:t>
            </w:r>
            <w:r>
              <w:t xml:space="preserve">1,100 mg/kg </w:t>
            </w:r>
            <w:proofErr w:type="spellStart"/>
            <w:r>
              <w:t>bw</w:t>
            </w:r>
            <w:proofErr w:type="spellEnd"/>
            <w:r w:rsidR="005F3880">
              <w:t xml:space="preserve"> </w:t>
            </w:r>
          </w:p>
          <w:p w14:paraId="12A4F33A" w14:textId="4F166B2F" w:rsidR="001D0780" w:rsidRDefault="005F3880" w:rsidP="00161E07">
            <w:pPr>
              <w:pStyle w:val="ListBullet"/>
              <w:spacing w:before="60" w:after="60"/>
              <w:ind w:left="714" w:hanging="357"/>
              <w:contextualSpacing w:val="0"/>
            </w:pPr>
            <w:r>
              <w:t>Tolerated for 48 h in volunteers with no irritation in patch test, concentration of 20% in Vaseline</w:t>
            </w:r>
            <w:r w:rsidR="002A17BC">
              <w:t>.</w:t>
            </w:r>
          </w:p>
          <w:p w14:paraId="5FFB18DD" w14:textId="2BCE891E" w:rsidR="005F5202" w:rsidRDefault="005F5202" w:rsidP="005F5202">
            <w:pPr>
              <w:pStyle w:val="ListBullet"/>
              <w:numPr>
                <w:ilvl w:val="0"/>
                <w:numId w:val="0"/>
              </w:numPr>
              <w:ind w:left="360" w:hanging="360"/>
            </w:pPr>
            <w:r>
              <w:t>Animal data:</w:t>
            </w:r>
          </w:p>
          <w:p w14:paraId="57333658" w14:textId="2F07659C" w:rsidR="00BA44F4" w:rsidRDefault="003E7CE1" w:rsidP="00161E07">
            <w:pPr>
              <w:pStyle w:val="ListBullet"/>
              <w:spacing w:before="60" w:after="60"/>
              <w:ind w:left="714" w:hanging="357"/>
              <w:contextualSpacing w:val="0"/>
            </w:pPr>
            <w:r>
              <w:t>No deaths following 4 h exposure at 4,500 mg/m</w:t>
            </w:r>
            <w:r w:rsidRPr="003E7CE1">
              <w:rPr>
                <w:vertAlign w:val="superscript"/>
              </w:rPr>
              <w:t>3</w:t>
            </w:r>
            <w:r>
              <w:t xml:space="preserve"> in rats</w:t>
            </w:r>
          </w:p>
          <w:p w14:paraId="1B5E4DFF" w14:textId="5F776F3E" w:rsidR="003E7CE1" w:rsidRDefault="003E7CE1" w:rsidP="00161E07">
            <w:pPr>
              <w:pStyle w:val="ListBullet"/>
              <w:spacing w:before="60" w:after="60"/>
              <w:ind w:left="714" w:hanging="357"/>
              <w:contextualSpacing w:val="0"/>
            </w:pPr>
            <w:r>
              <w:t>LD</w:t>
            </w:r>
            <w:r w:rsidRPr="003E7CE1">
              <w:rPr>
                <w:vertAlign w:val="subscript"/>
              </w:rPr>
              <w:t>50</w:t>
            </w:r>
            <w:r>
              <w:t>: 10,000</w:t>
            </w:r>
            <w:r w:rsidR="00902F14">
              <w:t>–</w:t>
            </w:r>
            <w:r>
              <w:t>27,000 mg/kg</w:t>
            </w:r>
            <w:r w:rsidR="008A7013">
              <w:t>/d</w:t>
            </w:r>
            <w:r>
              <w:t xml:space="preserve"> (rats, mice and dogs, oral); </w:t>
            </w:r>
            <w:r w:rsidR="00902F14">
              <w:rPr>
                <w:rFonts w:cs="Arial"/>
              </w:rPr>
              <w:t>≈</w:t>
            </w:r>
            <w:r>
              <w:rPr>
                <w:rFonts w:cs="Arial"/>
              </w:rPr>
              <w:t xml:space="preserve">8,700 </w:t>
            </w:r>
            <w:r w:rsidR="008A7013">
              <w:t xml:space="preserve">mg/kg/d </w:t>
            </w:r>
            <w:r>
              <w:rPr>
                <w:rFonts w:cs="Arial"/>
              </w:rPr>
              <w:t xml:space="preserve">(guinea pigs, oral); </w:t>
            </w:r>
            <w:r w:rsidR="00902F14">
              <w:rPr>
                <w:rFonts w:cs="Arial"/>
              </w:rPr>
              <w:t>≈</w:t>
            </w:r>
            <w:r>
              <w:rPr>
                <w:rFonts w:cs="Arial"/>
              </w:rPr>
              <w:t xml:space="preserve">4,930 </w:t>
            </w:r>
            <w:r w:rsidR="008A7013">
              <w:t xml:space="preserve">mg/kg/d </w:t>
            </w:r>
            <w:r>
              <w:rPr>
                <w:rFonts w:cs="Arial"/>
              </w:rPr>
              <w:t>(rabbits, oral)</w:t>
            </w:r>
          </w:p>
          <w:p w14:paraId="31EBB07E" w14:textId="303F450D" w:rsidR="003E7CE1" w:rsidRDefault="003E7CE1" w:rsidP="00161E07">
            <w:pPr>
              <w:pStyle w:val="ListBullet"/>
              <w:spacing w:before="60" w:after="60"/>
              <w:ind w:left="714" w:hanging="357"/>
              <w:contextualSpacing w:val="0"/>
            </w:pPr>
            <w:r>
              <w:t>LD</w:t>
            </w:r>
            <w:r w:rsidRPr="003E7CE1">
              <w:rPr>
                <w:vertAlign w:val="subscript"/>
              </w:rPr>
              <w:t>50</w:t>
            </w:r>
            <w:r>
              <w:t xml:space="preserve">: </w:t>
            </w:r>
            <w:r w:rsidR="00902F14">
              <w:rPr>
                <w:rFonts w:cs="Arial"/>
              </w:rPr>
              <w:t>≈</w:t>
            </w:r>
            <w:r>
              <w:t xml:space="preserve">13,300 </w:t>
            </w:r>
            <w:r w:rsidR="008A7013">
              <w:t xml:space="preserve">mg/kg/d </w:t>
            </w:r>
            <w:r>
              <w:t>(rabbit, dermal)</w:t>
            </w:r>
          </w:p>
          <w:p w14:paraId="48C97EBD" w14:textId="7AAA11EB" w:rsidR="00CC524B" w:rsidRDefault="00CC524B" w:rsidP="00161E07">
            <w:pPr>
              <w:pStyle w:val="ListBullet"/>
              <w:spacing w:before="60" w:after="60"/>
              <w:ind w:left="714" w:hanging="357"/>
              <w:contextualSpacing w:val="0"/>
            </w:pPr>
            <w:r>
              <w:t>No skin irritation after repeated application in rats and guinea pigs</w:t>
            </w:r>
          </w:p>
          <w:p w14:paraId="06994586" w14:textId="6619D0EF" w:rsidR="00CC524B" w:rsidRDefault="00CC524B" w:rsidP="00161E07">
            <w:pPr>
              <w:pStyle w:val="ListBullet"/>
              <w:spacing w:before="60" w:after="60"/>
              <w:ind w:left="714" w:hanging="357"/>
              <w:contextualSpacing w:val="0"/>
            </w:pPr>
            <w:r>
              <w:t>No irritation of rabbit eye</w:t>
            </w:r>
          </w:p>
          <w:p w14:paraId="077156FD" w14:textId="01FAB9CC" w:rsidR="00CC524B" w:rsidRDefault="00CC524B" w:rsidP="00161E07">
            <w:pPr>
              <w:pStyle w:val="ListBullet"/>
              <w:spacing w:before="60" w:after="60"/>
              <w:ind w:left="714" w:hanging="357"/>
              <w:contextualSpacing w:val="0"/>
            </w:pPr>
            <w:r>
              <w:t>No evidence of sensitisation in guinea pigs</w:t>
            </w:r>
          </w:p>
          <w:p w14:paraId="63197FC4" w14:textId="6293EF91" w:rsidR="002A17BC" w:rsidRDefault="003E7CE1" w:rsidP="00161E07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NOEL: </w:t>
            </w:r>
            <w:r w:rsidR="009E48B3">
              <w:t>50 mg/kg</w:t>
            </w:r>
            <w:r w:rsidR="008A7013">
              <w:t>/d</w:t>
            </w:r>
            <w:r w:rsidR="009E48B3">
              <w:t xml:space="preserve"> (male and female rats, gavage</w:t>
            </w:r>
            <w:r w:rsidR="00556490">
              <w:t>);</w:t>
            </w:r>
            <w:r w:rsidR="009E48B3">
              <w:t xml:space="preserve"> </w:t>
            </w:r>
            <w:r w:rsidR="006E73F1">
              <w:t xml:space="preserve">2 studies: </w:t>
            </w:r>
            <w:r w:rsidR="00556490">
              <w:t xml:space="preserve">99 d with doses 300, 1,500 and 3,300 </w:t>
            </w:r>
            <w:r w:rsidR="008A7013">
              <w:t xml:space="preserve">mg/kg/d </w:t>
            </w:r>
            <w:r w:rsidR="00556490">
              <w:t xml:space="preserve">and </w:t>
            </w:r>
            <w:r w:rsidR="009E48B3">
              <w:t>225 d</w:t>
            </w:r>
            <w:r w:rsidR="00556490">
              <w:t xml:space="preserve"> with</w:t>
            </w:r>
            <w:r w:rsidR="009E48B3">
              <w:t xml:space="preserve"> doses 50, 100, 300, 1,500 </w:t>
            </w:r>
            <w:r w:rsidR="008A7013">
              <w:t>mg/kg/d</w:t>
            </w:r>
            <w:r w:rsidR="006B48C0">
              <w:t>:</w:t>
            </w:r>
            <w:r w:rsidR="00CC524B">
              <w:t xml:space="preserve"> </w:t>
            </w:r>
          </w:p>
          <w:p w14:paraId="7A20174C" w14:textId="5648A406" w:rsidR="002A17BC" w:rsidRDefault="00CC524B" w:rsidP="00751D2F">
            <w:pPr>
              <w:pStyle w:val="ListBullet"/>
              <w:numPr>
                <w:ilvl w:val="0"/>
                <w:numId w:val="4"/>
              </w:numPr>
              <w:spacing w:before="60" w:after="60"/>
              <w:contextualSpacing w:val="0"/>
            </w:pPr>
            <w:r>
              <w:t>ox</w:t>
            </w:r>
            <w:r w:rsidR="00703C4A">
              <w:t>a</w:t>
            </w:r>
            <w:r>
              <w:t>late crystals in urine</w:t>
            </w:r>
          </w:p>
          <w:p w14:paraId="3B8746EA" w14:textId="3C89AE29" w:rsidR="003E7CE1" w:rsidRDefault="00CC524B" w:rsidP="00751D2F">
            <w:pPr>
              <w:pStyle w:val="ListBullet"/>
              <w:numPr>
                <w:ilvl w:val="0"/>
                <w:numId w:val="4"/>
              </w:numPr>
              <w:spacing w:before="60" w:after="60"/>
              <w:contextualSpacing w:val="0"/>
            </w:pPr>
            <w:r>
              <w:t>slight kidney effects</w:t>
            </w:r>
          </w:p>
          <w:p w14:paraId="4DC7903E" w14:textId="605A6F02" w:rsidR="002A17BC" w:rsidRDefault="009120DC" w:rsidP="00161E07">
            <w:pPr>
              <w:pStyle w:val="ListBullet"/>
              <w:spacing w:before="60" w:after="60"/>
              <w:ind w:left="714" w:hanging="357"/>
              <w:contextualSpacing w:val="0"/>
            </w:pPr>
            <w:r>
              <w:t>NOEL: 750 mg/kg</w:t>
            </w:r>
            <w:r w:rsidR="008A7013">
              <w:t>/d</w:t>
            </w:r>
            <w:r>
              <w:t xml:space="preserve"> (male and female rats, gavage, 28 d); doses 0, 38, 188, 750 and 3,300</w:t>
            </w:r>
            <w:r w:rsidR="00463951">
              <w:t> </w:t>
            </w:r>
            <w:r>
              <w:t>mg/kg</w:t>
            </w:r>
            <w:r w:rsidR="008A7013">
              <w:t>/d</w:t>
            </w:r>
            <w:r w:rsidR="006B48C0">
              <w:t>:</w:t>
            </w:r>
            <w:r>
              <w:t xml:space="preserve"> </w:t>
            </w:r>
          </w:p>
          <w:p w14:paraId="2E2ADD74" w14:textId="086177B2" w:rsidR="002A17BC" w:rsidRDefault="00CC524B" w:rsidP="00751D2F">
            <w:pPr>
              <w:pStyle w:val="ListBullet"/>
              <w:numPr>
                <w:ilvl w:val="0"/>
                <w:numId w:val="5"/>
              </w:numPr>
              <w:spacing w:before="60" w:after="60"/>
              <w:contextualSpacing w:val="0"/>
            </w:pPr>
            <w:r>
              <w:t>ox</w:t>
            </w:r>
            <w:r w:rsidR="00703C4A">
              <w:t>a</w:t>
            </w:r>
            <w:r>
              <w:t xml:space="preserve">late crystals in urine of males and reduced brain weights in females </w:t>
            </w:r>
          </w:p>
          <w:p w14:paraId="1F397D95" w14:textId="1C16B502" w:rsidR="009120DC" w:rsidRDefault="00CC524B" w:rsidP="00751D2F">
            <w:pPr>
              <w:pStyle w:val="ListBullet"/>
              <w:numPr>
                <w:ilvl w:val="0"/>
                <w:numId w:val="5"/>
              </w:numPr>
              <w:spacing w:before="60" w:after="60"/>
              <w:contextualSpacing w:val="0"/>
            </w:pPr>
            <w:r>
              <w:t>effects reversible</w:t>
            </w:r>
          </w:p>
          <w:p w14:paraId="2C9DD854" w14:textId="0372D911" w:rsidR="00CC524B" w:rsidRDefault="00CC524B" w:rsidP="00161E07">
            <w:pPr>
              <w:pStyle w:val="ListBullet"/>
              <w:spacing w:before="60" w:after="60"/>
              <w:ind w:left="714" w:hanging="357"/>
              <w:contextualSpacing w:val="0"/>
            </w:pPr>
            <w:r>
              <w:t>Difference in NOELs of rat studies unclear</w:t>
            </w:r>
          </w:p>
          <w:p w14:paraId="24DC590A" w14:textId="77777777" w:rsidR="005A2DB3" w:rsidRDefault="00462747" w:rsidP="00161E07">
            <w:pPr>
              <w:pStyle w:val="ListBullet"/>
              <w:spacing w:before="60" w:after="60"/>
              <w:ind w:left="714" w:hanging="357"/>
              <w:contextualSpacing w:val="0"/>
            </w:pPr>
            <w:r>
              <w:t>No evidence of genotoxic potential</w:t>
            </w:r>
          </w:p>
          <w:p w14:paraId="4F9A2498" w14:textId="4A17BE14" w:rsidR="0070165D" w:rsidRDefault="0070165D" w:rsidP="00161E07">
            <w:pPr>
              <w:pStyle w:val="ListBullet"/>
              <w:spacing w:before="60" w:after="60"/>
              <w:ind w:left="714" w:hanging="357"/>
              <w:contextualSpacing w:val="0"/>
            </w:pPr>
            <w:r>
              <w:t>No evidence of direct carcinogenic effect in rat and mice studies; indirect effect of high doses is bladder stones, can induce bladder tumours</w:t>
            </w:r>
            <w:r w:rsidR="001745EA">
              <w:t>.</w:t>
            </w:r>
          </w:p>
          <w:p w14:paraId="60752535" w14:textId="77777777" w:rsidR="00A74B63" w:rsidRDefault="00A74B63" w:rsidP="00536AA4">
            <w:pPr>
              <w:pStyle w:val="Tabletextprimarysource"/>
            </w:pPr>
          </w:p>
          <w:p w14:paraId="3F4A8FBC" w14:textId="27527518" w:rsidR="0070165D" w:rsidRDefault="00536AA4" w:rsidP="00536AA4">
            <w:pPr>
              <w:pStyle w:val="Tabletextprimarysource"/>
            </w:pPr>
            <w:r>
              <w:t>Utilising NOEL of 50 mg/kg</w:t>
            </w:r>
            <w:r w:rsidR="008A7013">
              <w:t>/d</w:t>
            </w:r>
            <w:r>
              <w:t xml:space="preserve"> as starting point, a safety margin of 10 was applied to derive MAK.</w:t>
            </w:r>
          </w:p>
          <w:p w14:paraId="03C1F020" w14:textId="004702FF" w:rsidR="00902F14" w:rsidRPr="00DA352E" w:rsidRDefault="00902F14" w:rsidP="00536AA4">
            <w:pPr>
              <w:pStyle w:val="Tabletextprimarysource"/>
            </w:pPr>
          </w:p>
        </w:tc>
      </w:tr>
      <w:tr w:rsidR="00C978F0" w:rsidRPr="00DA352E" w14:paraId="543A2A0F" w14:textId="77777777" w:rsidTr="00F34B5E">
        <w:trPr>
          <w:gridAfter w:val="1"/>
          <w:wAfter w:w="8" w:type="pct"/>
        </w:trPr>
        <w:tc>
          <w:tcPr>
            <w:tcW w:w="4990" w:type="pct"/>
            <w:shd w:val="clear" w:color="auto" w:fill="F2F2F2" w:themeFill="background1" w:themeFillShade="F2"/>
          </w:tcPr>
          <w:p w14:paraId="37E12AF7" w14:textId="60D855C4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lastRenderedPageBreak/>
              <w:t>SCOEL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EndPr/>
              <w:sdtContent>
                <w:r w:rsidR="00237E26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EndPr/>
              <w:sdtContent>
                <w:proofErr w:type="spellStart"/>
                <w:r w:rsidR="00237E26">
                  <w:t>NA</w:t>
                </w:r>
                <w:proofErr w:type="spellEnd"/>
              </w:sdtContent>
            </w:sdt>
          </w:p>
        </w:tc>
      </w:tr>
      <w:tr w:rsidR="00C978F0" w:rsidRPr="00DA352E" w14:paraId="17360934" w14:textId="77777777" w:rsidTr="00F34B5E">
        <w:trPr>
          <w:gridAfter w:val="1"/>
          <w:wAfter w:w="8" w:type="pct"/>
        </w:trPr>
        <w:tc>
          <w:tcPr>
            <w:tcW w:w="4990" w:type="pct"/>
          </w:tcPr>
          <w:p w14:paraId="566C639B" w14:textId="791982BA" w:rsidR="00C978F0" w:rsidRPr="00DA352E" w:rsidRDefault="00237E26" w:rsidP="003365A5">
            <w:pPr>
              <w:pStyle w:val="Tabletextprimarysource"/>
            </w:pPr>
            <w:r>
              <w:t>No report</w:t>
            </w:r>
            <w:r w:rsidR="005F3880">
              <w:t>.</w:t>
            </w:r>
          </w:p>
        </w:tc>
      </w:tr>
      <w:tr w:rsidR="00DA352E" w:rsidRPr="00DA352E" w14:paraId="51B19A8D" w14:textId="77777777" w:rsidTr="00F34B5E">
        <w:trPr>
          <w:gridAfter w:val="1"/>
          <w:wAfter w:w="8" w:type="pct"/>
        </w:trPr>
        <w:tc>
          <w:tcPr>
            <w:tcW w:w="4990" w:type="pct"/>
            <w:shd w:val="clear" w:color="auto" w:fill="F2F2F2" w:themeFill="background1" w:themeFillShade="F2"/>
          </w:tcPr>
          <w:p w14:paraId="0F0BC5D8" w14:textId="39026AC4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EndPr/>
              <w:sdtContent>
                <w:r w:rsidR="00877B08">
                  <w:t>2016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EndPr/>
              <w:sdtContent>
                <w:r w:rsidR="00877B08">
                  <w:t>TWA:</w:t>
                </w:r>
                <w:r w:rsidR="00EC5D59">
                  <w:t xml:space="preserve"> 10 mg/m</w:t>
                </w:r>
                <w:r w:rsidR="00EC5D59" w:rsidRPr="00EC5D59">
                  <w:rPr>
                    <w:vertAlign w:val="superscript"/>
                  </w:rPr>
                  <w:t>3</w:t>
                </w:r>
              </w:sdtContent>
            </w:sdt>
          </w:p>
        </w:tc>
      </w:tr>
      <w:tr w:rsidR="00DA352E" w:rsidRPr="00DA352E" w14:paraId="2D59D321" w14:textId="77777777" w:rsidTr="00F34B5E">
        <w:trPr>
          <w:gridAfter w:val="1"/>
          <w:wAfter w:w="8" w:type="pct"/>
        </w:trPr>
        <w:tc>
          <w:tcPr>
            <w:tcW w:w="4990" w:type="pct"/>
          </w:tcPr>
          <w:p w14:paraId="2582FE13" w14:textId="62807555" w:rsidR="00DA352E" w:rsidRPr="00DA352E" w:rsidRDefault="005A2DB3" w:rsidP="003365A5">
            <w:pPr>
              <w:pStyle w:val="Tabletextprimarysource"/>
            </w:pPr>
            <w:r>
              <w:t>No additional data.</w:t>
            </w:r>
          </w:p>
        </w:tc>
      </w:tr>
      <w:tr w:rsidR="00DA352E" w:rsidRPr="00DA352E" w14:paraId="6BCB7AF0" w14:textId="77777777" w:rsidTr="00F34B5E">
        <w:trPr>
          <w:gridAfter w:val="1"/>
          <w:wAfter w:w="8" w:type="pct"/>
        </w:trPr>
        <w:tc>
          <w:tcPr>
            <w:tcW w:w="4990" w:type="pct"/>
            <w:shd w:val="clear" w:color="auto" w:fill="F2F2F2" w:themeFill="background1" w:themeFillShade="F2"/>
          </w:tcPr>
          <w:p w14:paraId="6A05639D" w14:textId="183B18D5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HCOTN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EndPr/>
              <w:sdtContent>
                <w:r w:rsidR="00EC5D59">
                  <w:t>2007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EndPr/>
              <w:sdtContent>
                <w:r w:rsidR="00EC5D59">
                  <w:t>Not assigned</w:t>
                </w:r>
              </w:sdtContent>
            </w:sdt>
          </w:p>
        </w:tc>
      </w:tr>
      <w:tr w:rsidR="00DA352E" w:rsidRPr="00DA352E" w14:paraId="213680BB" w14:textId="77777777" w:rsidTr="00F34B5E">
        <w:trPr>
          <w:gridAfter w:val="1"/>
          <w:wAfter w:w="8" w:type="pct"/>
        </w:trPr>
        <w:tc>
          <w:tcPr>
            <w:tcW w:w="4990" w:type="pct"/>
          </w:tcPr>
          <w:p w14:paraId="566494B2" w14:textId="77777777" w:rsidR="00DA352E" w:rsidRDefault="00536AA4" w:rsidP="003365A5">
            <w:pPr>
              <w:pStyle w:val="Tabletextprimarysource"/>
            </w:pPr>
            <w:r>
              <w:t>Summary of additional data:</w:t>
            </w:r>
          </w:p>
          <w:p w14:paraId="29E96674" w14:textId="5AB48CD7" w:rsidR="00536AA4" w:rsidRDefault="00536AA4" w:rsidP="00161E07">
            <w:pPr>
              <w:pStyle w:val="ListBullet"/>
              <w:spacing w:before="60" w:after="60"/>
              <w:ind w:left="714" w:hanging="357"/>
              <w:contextualSpacing w:val="0"/>
            </w:pPr>
            <w:r>
              <w:t>Likely routes of exposure are contact with skin and eyes during industrial handling</w:t>
            </w:r>
          </w:p>
          <w:p w14:paraId="5B8BFAD5" w14:textId="10DF7AD2" w:rsidR="00833EB7" w:rsidRDefault="00833EB7" w:rsidP="00161E07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Aerosol also an exposure concern, resulting in </w:t>
            </w:r>
            <w:r w:rsidR="002A17BC">
              <w:t>GIT</w:t>
            </w:r>
            <w:r>
              <w:t xml:space="preserve"> absorption</w:t>
            </w:r>
          </w:p>
          <w:p w14:paraId="716D66A1" w14:textId="019F883E" w:rsidR="00536AA4" w:rsidRDefault="00536AA4" w:rsidP="00161E07">
            <w:pPr>
              <w:pStyle w:val="ListBullet"/>
              <w:spacing w:before="60" w:after="60"/>
              <w:ind w:left="714" w:hanging="357"/>
              <w:contextualSpacing w:val="0"/>
            </w:pPr>
            <w:r>
              <w:t>Metabolite likely responsible for adverse effects on kidney</w:t>
            </w:r>
          </w:p>
          <w:p w14:paraId="603A73DC" w14:textId="5FD7CC5F" w:rsidR="0015155B" w:rsidRDefault="0015155B" w:rsidP="00161E07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Due to significant systemic toxicity, committee recommends skin notation (based on data from </w:t>
            </w:r>
            <w:proofErr w:type="spellStart"/>
            <w:r>
              <w:t>SkinPerm</w:t>
            </w:r>
            <w:proofErr w:type="spellEnd"/>
            <w:r>
              <w:t xml:space="preserve"> model)</w:t>
            </w:r>
            <w:r w:rsidR="001745EA">
              <w:t>.</w:t>
            </w:r>
          </w:p>
          <w:p w14:paraId="77154EBF" w14:textId="77777777" w:rsidR="00A74B63" w:rsidRDefault="00A74B63" w:rsidP="007949E6">
            <w:pPr>
              <w:pStyle w:val="Tabletextprimarysource"/>
            </w:pPr>
          </w:p>
          <w:p w14:paraId="576F2772" w14:textId="7BCAFAA4" w:rsidR="00536AA4" w:rsidRDefault="007949E6" w:rsidP="007949E6">
            <w:pPr>
              <w:pStyle w:val="Tabletextprimarysource"/>
            </w:pPr>
            <w:r>
              <w:t>Based on histopathological findings</w:t>
            </w:r>
            <w:r w:rsidR="00833EB7">
              <w:t xml:space="preserve">, including </w:t>
            </w:r>
            <w:r w:rsidR="00833EB7" w:rsidRPr="00833EB7">
              <w:t xml:space="preserve">hydropic degeneration of the kidneys and tubular necrosis in the kidneys </w:t>
            </w:r>
            <w:r w:rsidR="00833EB7">
              <w:t>(resulting in renal failure)</w:t>
            </w:r>
            <w:r>
              <w:t xml:space="preserve">, committee concludes HBROEL </w:t>
            </w:r>
            <w:r w:rsidR="00397A04">
              <w:t>should be</w:t>
            </w:r>
            <w:r>
              <w:t xml:space="preserve"> derived from NOAEL of 300 mg/kg</w:t>
            </w:r>
            <w:r w:rsidR="00463951">
              <w:t>/d</w:t>
            </w:r>
            <w:r>
              <w:t xml:space="preserve"> </w:t>
            </w:r>
            <w:r w:rsidR="00242982">
              <w:t xml:space="preserve">(based on same study cited in DFG, </w:t>
            </w:r>
            <w:r w:rsidR="00CA3339">
              <w:t>1995</w:t>
            </w:r>
            <w:r w:rsidR="00242982">
              <w:t xml:space="preserve">, </w:t>
            </w:r>
            <w:r w:rsidR="003D293C">
              <w:t xml:space="preserve">which identified NOAEL of 50 mg/kg/d </w:t>
            </w:r>
            <w:r w:rsidR="00242982">
              <w:t xml:space="preserve">but </w:t>
            </w:r>
            <w:r w:rsidR="003D293C">
              <w:t>HCOTN dispute</w:t>
            </w:r>
            <w:r w:rsidR="00242982">
              <w:t xml:space="preserve"> identity of crystals in urine, </w:t>
            </w:r>
            <w:r w:rsidR="007036D6">
              <w:t>and</w:t>
            </w:r>
            <w:r w:rsidR="00242982">
              <w:t xml:space="preserve"> </w:t>
            </w:r>
            <w:r w:rsidR="007036D6">
              <w:t xml:space="preserve">therefore </w:t>
            </w:r>
            <w:r w:rsidR="00242982">
              <w:t>higher NOAEL</w:t>
            </w:r>
            <w:r w:rsidR="007036D6">
              <w:t xml:space="preserve"> derived</w:t>
            </w:r>
            <w:r w:rsidR="00242982">
              <w:t xml:space="preserve">). Application of </w:t>
            </w:r>
            <w:r w:rsidR="005F3880">
              <w:t>U</w:t>
            </w:r>
            <w:r w:rsidR="00242982">
              <w:t>F of 10 for interspecies differences and 3 for intraspecies differences, results in recommended TWA of 70 mg/m</w:t>
            </w:r>
            <w:r w:rsidR="00242982" w:rsidRPr="00242982">
              <w:rPr>
                <w:vertAlign w:val="superscript"/>
              </w:rPr>
              <w:t>3</w:t>
            </w:r>
            <w:r w:rsidR="005F3880">
              <w:t xml:space="preserve"> (16</w:t>
            </w:r>
            <w:r w:rsidR="00902F14">
              <w:t xml:space="preserve"> </w:t>
            </w:r>
            <w:r w:rsidR="005F3880">
              <w:t xml:space="preserve">ppm) </w:t>
            </w:r>
            <w:r w:rsidR="00242982">
              <w:t>(assuming 70 kg worker and 10 m</w:t>
            </w:r>
            <w:r w:rsidR="00242982" w:rsidRPr="00242982">
              <w:rPr>
                <w:vertAlign w:val="superscript"/>
              </w:rPr>
              <w:t>3</w:t>
            </w:r>
            <w:r w:rsidR="00242982">
              <w:t xml:space="preserve"> respiratory volume per 8 h shift).</w:t>
            </w:r>
          </w:p>
          <w:p w14:paraId="1193E70E" w14:textId="77777777" w:rsidR="0015155B" w:rsidRDefault="0015155B" w:rsidP="007949E6">
            <w:pPr>
              <w:pStyle w:val="Tabletextprimarysource"/>
            </w:pPr>
            <w:r>
              <w:t>TWA applies to sum of concentrations existing as vapour and aerosol.</w:t>
            </w:r>
          </w:p>
          <w:p w14:paraId="78384185" w14:textId="6461A8C1" w:rsidR="00902F14" w:rsidRPr="00242982" w:rsidRDefault="00902F14" w:rsidP="007949E6">
            <w:pPr>
              <w:pStyle w:val="Tabletextprimarysource"/>
            </w:pPr>
          </w:p>
        </w:tc>
      </w:tr>
    </w:tbl>
    <w:p w14:paraId="42F551B0" w14:textId="77777777" w:rsidR="00A20751" w:rsidRPr="004C23F4" w:rsidRDefault="00A20751" w:rsidP="003365A5">
      <w:pPr>
        <w:pStyle w:val="Heading3"/>
      </w:pPr>
      <w:bookmarkStart w:id="0" w:name="SecondSource"/>
      <w:r w:rsidRPr="004C23F4">
        <w:t xml:space="preserve">Secondary </w:t>
      </w:r>
      <w:r w:rsidR="0088798F">
        <w:t xml:space="preserve">source reports relied upon </w:t>
      </w:r>
    </w:p>
    <w:tbl>
      <w:tblPr>
        <w:tblStyle w:val="LightList"/>
        <w:tblW w:w="0" w:type="auto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ook w:val="0620" w:firstRow="1" w:lastRow="0" w:firstColumn="0" w:lastColumn="0" w:noHBand="1" w:noVBand="1"/>
        <w:tblCaption w:val="Table"/>
        <w:tblDescription w:val="Listing secondary sources with reports"/>
      </w:tblPr>
      <w:tblGrid>
        <w:gridCol w:w="972"/>
        <w:gridCol w:w="374"/>
        <w:gridCol w:w="661"/>
        <w:gridCol w:w="6452"/>
      </w:tblGrid>
      <w:tr w:rsidR="00F34B5E" w:rsidRPr="00263255" w14:paraId="4055E4E6" w14:textId="77777777" w:rsidTr="00F34B5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393"/>
          <w:tblHeader/>
        </w:trPr>
        <w:tc>
          <w:tcPr>
            <w:tcW w:w="972" w:type="dxa"/>
            <w:shd w:val="clear" w:color="auto" w:fill="BFBFBF" w:themeFill="background1" w:themeFillShade="BF"/>
            <w:vAlign w:val="center"/>
          </w:tcPr>
          <w:p w14:paraId="584B98EA" w14:textId="77777777" w:rsidR="004966BF" w:rsidRPr="00263255" w:rsidRDefault="004966BF" w:rsidP="00263255">
            <w:pPr>
              <w:pStyle w:val="Tableheader"/>
            </w:pPr>
            <w:r w:rsidRPr="00263255">
              <w:t>Source</w:t>
            </w:r>
          </w:p>
        </w:tc>
        <w:tc>
          <w:tcPr>
            <w:tcW w:w="374" w:type="dxa"/>
            <w:shd w:val="clear" w:color="auto" w:fill="BFBFBF" w:themeFill="background1" w:themeFillShade="BF"/>
            <w:vAlign w:val="center"/>
          </w:tcPr>
          <w:p w14:paraId="673629E3" w14:textId="77777777" w:rsidR="004966BF" w:rsidRPr="00263255" w:rsidRDefault="004966BF" w:rsidP="00263255">
            <w:pPr>
              <w:pStyle w:val="Tableheader"/>
            </w:pPr>
          </w:p>
        </w:tc>
        <w:tc>
          <w:tcPr>
            <w:tcW w:w="0" w:type="dxa"/>
            <w:shd w:val="clear" w:color="auto" w:fill="BFBFBF" w:themeFill="background1" w:themeFillShade="BF"/>
            <w:vAlign w:val="center"/>
          </w:tcPr>
          <w:p w14:paraId="23F1E459" w14:textId="77777777" w:rsidR="004966BF" w:rsidRPr="00263255" w:rsidRDefault="004966BF" w:rsidP="00263255">
            <w:pPr>
              <w:pStyle w:val="Tableheader"/>
            </w:pPr>
            <w:r>
              <w:t>Year</w:t>
            </w:r>
          </w:p>
        </w:tc>
        <w:tc>
          <w:tcPr>
            <w:tcW w:w="6452" w:type="dxa"/>
            <w:shd w:val="clear" w:color="auto" w:fill="BFBFBF" w:themeFill="background1" w:themeFillShade="BF"/>
            <w:vAlign w:val="center"/>
          </w:tcPr>
          <w:p w14:paraId="11D1FFFA" w14:textId="77777777" w:rsidR="004966BF" w:rsidRPr="00263255" w:rsidRDefault="004966BF" w:rsidP="00263255">
            <w:pPr>
              <w:pStyle w:val="Tableheader"/>
            </w:pPr>
            <w:r>
              <w:t>Additional information</w:t>
            </w:r>
          </w:p>
        </w:tc>
      </w:tr>
      <w:tr w:rsidR="004966BF" w:rsidRPr="004C23F4" w14:paraId="11D45952" w14:textId="77777777" w:rsidTr="00F34B5E">
        <w:trPr>
          <w:cantSplit/>
        </w:trPr>
        <w:tc>
          <w:tcPr>
            <w:tcW w:w="972" w:type="dxa"/>
          </w:tcPr>
          <w:p w14:paraId="0EECB2BD" w14:textId="77777777" w:rsidR="004966BF" w:rsidRPr="004C23F4" w:rsidRDefault="004966BF" w:rsidP="00224EE2">
            <w:pPr>
              <w:pStyle w:val="Tablefont"/>
            </w:pPr>
            <w:r>
              <w:t>NICNAS</w:t>
            </w:r>
          </w:p>
        </w:tc>
        <w:tc>
          <w:tcPr>
            <w:tcW w:w="374" w:type="dxa"/>
          </w:tcPr>
          <w:p w14:paraId="2991A62C" w14:textId="45777E81" w:rsidR="004966BF" w:rsidRPr="00CE617F" w:rsidRDefault="001C6C0A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1234131032"/>
                <w:placeholder>
                  <w:docPart w:val="C2B44F29000D47BD8588D2D5E8DFA6C8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397A04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0" w:type="dxa"/>
          </w:tcPr>
          <w:p w14:paraId="53A0B196" w14:textId="25FA621A" w:rsidR="004966BF" w:rsidRPr="004C23F4" w:rsidRDefault="00397A04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2013</w:t>
            </w:r>
          </w:p>
        </w:tc>
        <w:tc>
          <w:tcPr>
            <w:tcW w:w="6452" w:type="dxa"/>
          </w:tcPr>
          <w:p w14:paraId="1AC1ECAC" w14:textId="2B0EC8C1" w:rsidR="00703C4A" w:rsidRPr="00703C4A" w:rsidRDefault="00703C4A" w:rsidP="00161E07">
            <w:pPr>
              <w:pStyle w:val="ListBullet"/>
              <w:spacing w:before="60" w:after="60"/>
              <w:contextualSpacing w:val="0"/>
              <w:rPr>
                <w:rStyle w:val="checkbox"/>
                <w:rFonts w:ascii="Arial" w:hAnsi="Arial"/>
                <w:lang w:eastAsia="en-AU"/>
              </w:rPr>
            </w:pPr>
            <w:r>
              <w:rPr>
                <w:rStyle w:val="checkbox"/>
                <w:rFonts w:ascii="Arial" w:hAnsi="Arial" w:cs="Arial"/>
              </w:rPr>
              <w:t>NOAEL of 50 mg/kg</w:t>
            </w:r>
            <w:r w:rsidR="008A7013">
              <w:rPr>
                <w:rStyle w:val="checkbox"/>
                <w:rFonts w:ascii="Arial" w:hAnsi="Arial" w:cs="Arial"/>
              </w:rPr>
              <w:t>/d</w:t>
            </w:r>
            <w:r>
              <w:rPr>
                <w:rStyle w:val="checkbox"/>
                <w:rFonts w:ascii="Arial" w:hAnsi="Arial" w:cs="Arial"/>
              </w:rPr>
              <w:t xml:space="preserve"> (cited in DFG, </w:t>
            </w:r>
            <w:r w:rsidR="00CA3339">
              <w:rPr>
                <w:rStyle w:val="checkbox"/>
                <w:rFonts w:ascii="Arial" w:hAnsi="Arial" w:cs="Arial"/>
              </w:rPr>
              <w:t>1995</w:t>
            </w:r>
            <w:r>
              <w:rPr>
                <w:rStyle w:val="checkbox"/>
                <w:rFonts w:ascii="Arial" w:hAnsi="Arial" w:cs="Arial"/>
              </w:rPr>
              <w:t xml:space="preserve">) called into question as elevated oxalate formation not considered toxicity indicator: </w:t>
            </w:r>
          </w:p>
          <w:p w14:paraId="4D5CB1F2" w14:textId="34FE6C60" w:rsidR="00703C4A" w:rsidRPr="00703C4A" w:rsidRDefault="00703C4A" w:rsidP="00161E07">
            <w:pPr>
              <w:pStyle w:val="ListBullet2"/>
              <w:numPr>
                <w:ilvl w:val="0"/>
                <w:numId w:val="3"/>
              </w:numPr>
              <w:spacing w:before="60" w:after="60"/>
              <w:contextualSpacing w:val="0"/>
            </w:pPr>
            <w:r>
              <w:rPr>
                <w:rStyle w:val="checkbox"/>
                <w:rFonts w:ascii="Arial" w:hAnsi="Arial" w:cs="Arial"/>
              </w:rPr>
              <w:t xml:space="preserve">NOAEL </w:t>
            </w:r>
            <w:r w:rsidR="003D293C">
              <w:rPr>
                <w:rStyle w:val="checkbox"/>
                <w:rFonts w:ascii="Arial" w:hAnsi="Arial" w:cs="Arial"/>
              </w:rPr>
              <w:t xml:space="preserve">of </w:t>
            </w:r>
            <w:r>
              <w:rPr>
                <w:rStyle w:val="checkbox"/>
                <w:rFonts w:ascii="Arial" w:hAnsi="Arial" w:cs="Arial"/>
              </w:rPr>
              <w:t>300 mg/kg</w:t>
            </w:r>
            <w:r w:rsidR="008A7013">
              <w:rPr>
                <w:rStyle w:val="checkbox"/>
                <w:rFonts w:ascii="Arial" w:hAnsi="Arial" w:cs="Arial"/>
              </w:rPr>
              <w:t>/d</w:t>
            </w:r>
            <w:r>
              <w:rPr>
                <w:rStyle w:val="checkbox"/>
                <w:rFonts w:ascii="Arial" w:hAnsi="Arial" w:cs="Arial"/>
              </w:rPr>
              <w:t xml:space="preserve"> </w:t>
            </w:r>
            <w:r w:rsidR="003D293C">
              <w:rPr>
                <w:rStyle w:val="checkbox"/>
                <w:rFonts w:ascii="Arial" w:hAnsi="Arial" w:cs="Arial"/>
              </w:rPr>
              <w:t xml:space="preserve">therefore identified </w:t>
            </w:r>
            <w:r>
              <w:rPr>
                <w:rStyle w:val="checkbox"/>
                <w:rFonts w:ascii="Arial" w:hAnsi="Arial" w:cs="Arial"/>
              </w:rPr>
              <w:t xml:space="preserve">based on </w:t>
            </w:r>
            <w:r>
              <w:t xml:space="preserve">histopathological findings and 100 </w:t>
            </w:r>
            <w:r w:rsidR="008A7013">
              <w:t xml:space="preserve">mg/kg/d </w:t>
            </w:r>
            <w:r>
              <w:t>based on increased urine volume</w:t>
            </w:r>
          </w:p>
          <w:p w14:paraId="040F098B" w14:textId="3B9BE71A" w:rsidR="004966BF" w:rsidRDefault="00703C4A" w:rsidP="00161E07">
            <w:pPr>
              <w:pStyle w:val="ListBullet"/>
              <w:spacing w:before="60" w:after="60"/>
              <w:contextualSpacing w:val="0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Neurologic effects noted in severe intoxications</w:t>
            </w:r>
          </w:p>
          <w:p w14:paraId="032ACF94" w14:textId="09FBF414" w:rsidR="00047414" w:rsidRDefault="00047414" w:rsidP="00161E07">
            <w:pPr>
              <w:pStyle w:val="ListBullet"/>
              <w:spacing w:before="60" w:after="60"/>
              <w:contextualSpacing w:val="0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 xml:space="preserve">Large-scale intoxication of children following ingestion of contaminated paracetamol syrup; median lethal dose based on acute renal failure 1,490 </w:t>
            </w:r>
            <w:r w:rsidR="008A7013">
              <w:t xml:space="preserve">mg/kg/d </w:t>
            </w:r>
          </w:p>
          <w:p w14:paraId="56C9ABE5" w14:textId="79CB9A3B" w:rsidR="00047414" w:rsidRPr="004C23F4" w:rsidRDefault="00047414" w:rsidP="00161E07">
            <w:pPr>
              <w:pStyle w:val="ListBullet"/>
              <w:spacing w:before="60" w:after="60"/>
              <w:contextualSpacing w:val="0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 xml:space="preserve">Based on weight of evidence from </w:t>
            </w:r>
            <w:r>
              <w:rPr>
                <w:rStyle w:val="checkbox"/>
                <w:rFonts w:ascii="Arial" w:hAnsi="Arial" w:cs="Arial"/>
                <w:i/>
              </w:rPr>
              <w:t>in vitro</w:t>
            </w:r>
            <w:r>
              <w:rPr>
                <w:rStyle w:val="checkbox"/>
                <w:rFonts w:ascii="Arial" w:hAnsi="Arial" w:cs="Arial"/>
              </w:rPr>
              <w:t xml:space="preserve"> and </w:t>
            </w:r>
            <w:r>
              <w:rPr>
                <w:rStyle w:val="checkbox"/>
                <w:rFonts w:ascii="Arial" w:hAnsi="Arial" w:cs="Arial"/>
                <w:i/>
              </w:rPr>
              <w:t>in vivo</w:t>
            </w:r>
            <w:r>
              <w:rPr>
                <w:rStyle w:val="checkbox"/>
                <w:rFonts w:ascii="Arial" w:hAnsi="Arial" w:cs="Arial"/>
              </w:rPr>
              <w:t xml:space="preserve"> studies, not considered genotoxic and not considered carcinogenic</w:t>
            </w:r>
            <w:r w:rsidR="001745EA">
              <w:rPr>
                <w:rStyle w:val="checkbox"/>
                <w:rFonts w:ascii="Arial" w:hAnsi="Arial" w:cs="Arial"/>
              </w:rPr>
              <w:t>.</w:t>
            </w:r>
          </w:p>
        </w:tc>
      </w:tr>
      <w:tr w:rsidR="004966BF" w:rsidRPr="004C23F4" w14:paraId="469B5297" w14:textId="77777777" w:rsidTr="00F34B5E">
        <w:trPr>
          <w:cantSplit/>
        </w:trPr>
        <w:tc>
          <w:tcPr>
            <w:tcW w:w="972" w:type="dxa"/>
          </w:tcPr>
          <w:p w14:paraId="21A27A5D" w14:textId="77777777" w:rsidR="004966BF" w:rsidRPr="004C23F4" w:rsidRDefault="004966BF" w:rsidP="00224EE2">
            <w:pPr>
              <w:pStyle w:val="Tablefont"/>
            </w:pPr>
            <w:r>
              <w:lastRenderedPageBreak/>
              <w:t>ECHA</w:t>
            </w:r>
          </w:p>
        </w:tc>
        <w:tc>
          <w:tcPr>
            <w:tcW w:w="374" w:type="dxa"/>
          </w:tcPr>
          <w:p w14:paraId="713CFCE7" w14:textId="63AA028C" w:rsidR="004966BF" w:rsidRPr="00CE617F" w:rsidRDefault="001C6C0A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-2066787458"/>
                <w:placeholder>
                  <w:docPart w:val="EA32968BF93744FAABC5FC124DBE04BD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047414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0" w:type="dxa"/>
          </w:tcPr>
          <w:p w14:paraId="4BBF0FD2" w14:textId="3F28987D" w:rsidR="004966BF" w:rsidRPr="004C23F4" w:rsidRDefault="00A27D22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2019</w:t>
            </w:r>
          </w:p>
        </w:tc>
        <w:tc>
          <w:tcPr>
            <w:tcW w:w="6452" w:type="dxa"/>
          </w:tcPr>
          <w:p w14:paraId="087F9E3B" w14:textId="294573F3" w:rsidR="004966BF" w:rsidRDefault="001745EA" w:rsidP="00161E07">
            <w:pPr>
              <w:pStyle w:val="ListBullet"/>
              <w:spacing w:before="60" w:after="60"/>
              <w:contextualSpacing w:val="0"/>
              <w:rPr>
                <w:rStyle w:val="checkbox"/>
                <w:rFonts w:ascii="Arial" w:hAnsi="Arial" w:cs="Arial"/>
                <w:lang w:eastAsia="en-AU"/>
              </w:rPr>
            </w:pPr>
            <w:r>
              <w:rPr>
                <w:rStyle w:val="checkbox"/>
                <w:rFonts w:ascii="Arial" w:hAnsi="Arial" w:cs="Arial"/>
              </w:rPr>
              <w:t xml:space="preserve">NOAEL utilising increased oxalate crystals and urine volume also questioned; NOAEL </w:t>
            </w:r>
            <w:r w:rsidR="00643D5E">
              <w:rPr>
                <w:rStyle w:val="checkbox"/>
                <w:rFonts w:ascii="Arial" w:hAnsi="Arial" w:cs="Arial"/>
              </w:rPr>
              <w:t>determined to be</w:t>
            </w:r>
            <w:r w:rsidR="006E73F1">
              <w:rPr>
                <w:rStyle w:val="checkbox"/>
                <w:rFonts w:ascii="Arial" w:hAnsi="Arial" w:cs="Arial"/>
              </w:rPr>
              <w:t xml:space="preserve"> 300 mg/kg</w:t>
            </w:r>
            <w:r w:rsidR="008A7013">
              <w:rPr>
                <w:rStyle w:val="checkbox"/>
                <w:rFonts w:ascii="Arial" w:hAnsi="Arial" w:cs="Arial"/>
              </w:rPr>
              <w:t>/</w:t>
            </w:r>
            <w:r w:rsidR="008A7013" w:rsidRPr="00D408D0">
              <w:rPr>
                <w:rStyle w:val="checkbox"/>
                <w:rFonts w:ascii="Arial" w:hAnsi="Arial" w:cs="Arial"/>
              </w:rPr>
              <w:t>d</w:t>
            </w:r>
            <w:r w:rsidR="006E73F1">
              <w:rPr>
                <w:rStyle w:val="checkbox"/>
                <w:rFonts w:ascii="Arial" w:hAnsi="Arial" w:cs="Arial"/>
              </w:rPr>
              <w:t xml:space="preserve"> based on </w:t>
            </w:r>
            <w:r w:rsidR="006E73F1">
              <w:t>histopathological findings</w:t>
            </w:r>
          </w:p>
          <w:p w14:paraId="46BFCC36" w14:textId="616404C3" w:rsidR="001745EA" w:rsidRDefault="006E73F1" w:rsidP="00161E07">
            <w:pPr>
              <w:pStyle w:val="ListBullet"/>
              <w:spacing w:before="60" w:after="60"/>
              <w:contextualSpacing w:val="0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Volunteers exposed at 3</w:t>
            </w:r>
            <w:r w:rsidR="00774C39">
              <w:rPr>
                <w:rStyle w:val="checkbox"/>
                <w:rFonts w:ascii="Arial" w:hAnsi="Arial" w:cs="Arial"/>
              </w:rPr>
              <w:t>–</w:t>
            </w:r>
            <w:r>
              <w:rPr>
                <w:rStyle w:val="checkbox"/>
                <w:rFonts w:ascii="Arial" w:hAnsi="Arial" w:cs="Arial"/>
              </w:rPr>
              <w:t>67 mg/m</w:t>
            </w:r>
            <w:r w:rsidRPr="006E73F1">
              <w:rPr>
                <w:rStyle w:val="checkbox"/>
                <w:rFonts w:ascii="Arial" w:hAnsi="Arial" w:cs="Arial"/>
                <w:vertAlign w:val="superscript"/>
              </w:rPr>
              <w:t>3</w:t>
            </w:r>
            <w:r>
              <w:rPr>
                <w:rStyle w:val="checkbox"/>
                <w:rFonts w:ascii="Arial" w:hAnsi="Arial" w:cs="Arial"/>
              </w:rPr>
              <w:t xml:space="preserve"> (aerosolised) for 20</w:t>
            </w:r>
            <w:r w:rsidR="00774C39">
              <w:rPr>
                <w:rStyle w:val="checkbox"/>
                <w:rFonts w:ascii="Arial" w:hAnsi="Arial" w:cs="Arial"/>
              </w:rPr>
              <w:t>–</w:t>
            </w:r>
            <w:r>
              <w:rPr>
                <w:rStyle w:val="checkbox"/>
                <w:rFonts w:ascii="Arial" w:hAnsi="Arial" w:cs="Arial"/>
              </w:rPr>
              <w:t xml:space="preserve">22 h/d for 1 </w:t>
            </w:r>
            <w:proofErr w:type="spellStart"/>
            <w:r>
              <w:rPr>
                <w:rStyle w:val="checkbox"/>
                <w:rFonts w:ascii="Arial" w:hAnsi="Arial" w:cs="Arial"/>
              </w:rPr>
              <w:t>mo</w:t>
            </w:r>
            <w:proofErr w:type="spellEnd"/>
            <w:r>
              <w:rPr>
                <w:rStyle w:val="checkbox"/>
                <w:rFonts w:ascii="Arial" w:hAnsi="Arial" w:cs="Arial"/>
              </w:rPr>
              <w:t>; not tolerated for more than 1 min at ≥200 mg/m</w:t>
            </w:r>
            <w:r w:rsidRPr="006E73F1">
              <w:rPr>
                <w:rStyle w:val="checkbox"/>
                <w:rFonts w:ascii="Arial" w:hAnsi="Arial" w:cs="Arial"/>
                <w:vertAlign w:val="superscript"/>
              </w:rPr>
              <w:t>3</w:t>
            </w:r>
            <w:r>
              <w:rPr>
                <w:rStyle w:val="checkbox"/>
                <w:rFonts w:ascii="Arial" w:hAnsi="Arial" w:cs="Arial"/>
              </w:rPr>
              <w:t>; irritation of throat and faces commonly reported at 140 mg/m</w:t>
            </w:r>
            <w:r w:rsidRPr="006E73F1">
              <w:rPr>
                <w:rStyle w:val="checkbox"/>
                <w:rFonts w:ascii="Arial" w:hAnsi="Arial" w:cs="Arial"/>
                <w:vertAlign w:val="superscript"/>
              </w:rPr>
              <w:t>3</w:t>
            </w:r>
          </w:p>
          <w:p w14:paraId="2F0347CB" w14:textId="77777777" w:rsidR="00643D5E" w:rsidRDefault="00643D5E" w:rsidP="00161E07">
            <w:pPr>
              <w:pStyle w:val="ListBullet"/>
              <w:spacing w:before="60" w:after="60"/>
              <w:contextualSpacing w:val="0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Based on available data, no evidence of genotoxic or mutagenic properties; not considered carcinogenic</w:t>
            </w:r>
          </w:p>
          <w:p w14:paraId="7BCEC653" w14:textId="660E4C84" w:rsidR="006E73F1" w:rsidRPr="004C23F4" w:rsidRDefault="00D76AF5" w:rsidP="00161E07">
            <w:pPr>
              <w:pStyle w:val="ListBullet"/>
              <w:spacing w:before="60" w:after="60"/>
              <w:contextualSpacing w:val="0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DNEL = 44 mg/m</w:t>
            </w:r>
            <w:r>
              <w:rPr>
                <w:rStyle w:val="checkbox"/>
                <w:rFonts w:ascii="Arial" w:hAnsi="Arial" w:cs="Arial"/>
                <w:vertAlign w:val="superscript"/>
              </w:rPr>
              <w:t>3</w:t>
            </w:r>
            <w:r>
              <w:rPr>
                <w:rStyle w:val="checkbox"/>
                <w:rFonts w:ascii="Arial" w:hAnsi="Arial" w:cs="Arial"/>
              </w:rPr>
              <w:t xml:space="preserve"> (based on DFG) for long-term systemic effects</w:t>
            </w:r>
            <w:r w:rsidR="005F3880">
              <w:rPr>
                <w:rStyle w:val="checkbox"/>
                <w:rFonts w:ascii="Arial" w:hAnsi="Arial" w:cs="Arial"/>
              </w:rPr>
              <w:t>.</w:t>
            </w:r>
            <w:r>
              <w:rPr>
                <w:rStyle w:val="checkbox"/>
                <w:rFonts w:ascii="Arial" w:hAnsi="Arial" w:cs="Arial"/>
              </w:rPr>
              <w:t xml:space="preserve"> </w:t>
            </w:r>
          </w:p>
        </w:tc>
      </w:tr>
    </w:tbl>
    <w:bookmarkEnd w:id="0"/>
    <w:p w14:paraId="3A0F26DD" w14:textId="77777777" w:rsidR="007E2A4B" w:rsidRDefault="007E2A4B" w:rsidP="00751D2F">
      <w:pPr>
        <w:pStyle w:val="Heading3"/>
      </w:pPr>
      <w:r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603"/>
        <w:gridCol w:w="2423"/>
      </w:tblGrid>
      <w:tr w:rsidR="002E0D61" w14:paraId="5FF24687" w14:textId="77777777" w:rsidTr="008439F4">
        <w:trPr>
          <w:trHeight w:val="454"/>
          <w:tblHeader/>
        </w:trPr>
        <w:tc>
          <w:tcPr>
            <w:tcW w:w="6603" w:type="dxa"/>
            <w:vAlign w:val="center"/>
          </w:tcPr>
          <w:p w14:paraId="7252CB4B" w14:textId="77777777" w:rsidR="002E0D61" w:rsidRDefault="00B1422A" w:rsidP="00F01C01">
            <w:pPr>
              <w:pStyle w:val="Tablefont"/>
              <w:spacing w:before="40" w:after="40"/>
            </w:pPr>
            <w:bookmarkStart w:id="1" w:name="GCQuest"/>
            <w:r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EndPr/>
          <w:sdtContent>
            <w:tc>
              <w:tcPr>
                <w:tcW w:w="2423" w:type="dxa"/>
                <w:vAlign w:val="center"/>
              </w:tcPr>
              <w:p w14:paraId="6D4DE25F" w14:textId="299ED04E" w:rsidR="002E0D61" w:rsidRDefault="008439F4" w:rsidP="00F01C01">
                <w:pPr>
                  <w:pStyle w:val="Tablefont"/>
                  <w:spacing w:before="40" w:after="40"/>
                </w:pPr>
                <w:r>
                  <w:t>No</w:t>
                </w:r>
              </w:p>
            </w:tc>
          </w:sdtContent>
        </w:sdt>
      </w:tr>
      <w:tr w:rsidR="008A36CF" w14:paraId="4781F211" w14:textId="77777777" w:rsidTr="008439F4">
        <w:trPr>
          <w:trHeight w:val="454"/>
        </w:trPr>
        <w:sdt>
          <w:sdtPr>
            <w:rPr>
              <w:b/>
            </w:rPr>
            <w:id w:val="1830936485"/>
            <w:placeholder>
              <w:docPart w:val="CAD2D506A5824AB88D896BC2795BCEDE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EndPr/>
          <w:sdtContent>
            <w:tc>
              <w:tcPr>
                <w:tcW w:w="6603" w:type="dxa"/>
                <w:vAlign w:val="center"/>
              </w:tcPr>
              <w:p w14:paraId="3C0D1357" w14:textId="4F70BA9F" w:rsidR="008A36CF" w:rsidRPr="006901A2" w:rsidRDefault="008439F4" w:rsidP="00F01C01">
                <w:pPr>
                  <w:pStyle w:val="Tablefont"/>
                  <w:spacing w:before="40" w:after="40"/>
                  <w:rPr>
                    <w:b/>
                  </w:rPr>
                </w:pPr>
                <w:r>
                  <w:rPr>
                    <w:b/>
                  </w:rPr>
                  <w:t>The chemical is not a non-threshold based genotoxic carcinogen.</w:t>
                </w:r>
              </w:p>
            </w:tc>
          </w:sdtContent>
        </w:sdt>
        <w:tc>
          <w:tcPr>
            <w:tcW w:w="2423" w:type="dxa"/>
            <w:vAlign w:val="center"/>
          </w:tcPr>
          <w:p w14:paraId="5CABD7C8" w14:textId="77777777" w:rsidR="008A36CF" w:rsidRDefault="008A36CF" w:rsidP="00F01C01">
            <w:pPr>
              <w:pStyle w:val="Tablefont"/>
              <w:spacing w:before="40" w:after="40"/>
            </w:pPr>
          </w:p>
        </w:tc>
      </w:tr>
    </w:tbl>
    <w:bookmarkEnd w:id="1"/>
    <w:p w14:paraId="2901764E" w14:textId="77777777" w:rsidR="00687890" w:rsidRPr="004C23F4" w:rsidRDefault="00B479A9" w:rsidP="00474E33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20" w:firstRow="1" w:lastRow="0" w:firstColumn="0" w:lastColumn="0" w:noHBand="1" w:noVBand="1"/>
        <w:tblCaption w:val="Table"/>
        <w:tblDescription w:val="Listing notations"/>
      </w:tblPr>
      <w:tblGrid>
        <w:gridCol w:w="4513"/>
        <w:gridCol w:w="4513"/>
      </w:tblGrid>
      <w:tr w:rsidR="00687890" w:rsidRPr="004C23F4" w14:paraId="455331E8" w14:textId="77777777" w:rsidTr="00F34B5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blHeader/>
        </w:trPr>
        <w:tc>
          <w:tcPr>
            <w:tcW w:w="0" w:type="dxa"/>
            <w:shd w:val="clear" w:color="auto" w:fill="BFBFBF" w:themeFill="background1" w:themeFillShade="BF"/>
            <w:vAlign w:val="center"/>
          </w:tcPr>
          <w:p w14:paraId="3824440F" w14:textId="77777777" w:rsidR="00687890" w:rsidRPr="004C23F4" w:rsidRDefault="00687890" w:rsidP="00263255">
            <w:pPr>
              <w:pStyle w:val="Tableheader"/>
            </w:pPr>
            <w:bookmarkStart w:id="2" w:name="Notations"/>
            <w:r w:rsidRPr="004C23F4">
              <w:t>Source</w:t>
            </w:r>
          </w:p>
        </w:tc>
        <w:tc>
          <w:tcPr>
            <w:tcW w:w="0" w:type="dxa"/>
            <w:shd w:val="clear" w:color="auto" w:fill="BFBFBF" w:themeFill="background1" w:themeFillShade="BF"/>
            <w:vAlign w:val="center"/>
          </w:tcPr>
          <w:p w14:paraId="6253D65A" w14:textId="77777777" w:rsidR="00687890" w:rsidRPr="004C23F4" w:rsidRDefault="00687890" w:rsidP="00F4402E">
            <w:pPr>
              <w:pStyle w:val="Tableheader"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14:paraId="7E9D79C2" w14:textId="77777777" w:rsidTr="00F34B5E">
        <w:trPr>
          <w:cantSplit/>
        </w:trPr>
        <w:tc>
          <w:tcPr>
            <w:tcW w:w="0" w:type="dxa"/>
          </w:tcPr>
          <w:p w14:paraId="23AE6ABF" w14:textId="77777777"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0" w:type="dxa"/>
          </w:tcPr>
          <w:p w14:paraId="7541F694" w14:textId="134FFB3D" w:rsidR="00687890" w:rsidRPr="00DD2F9B" w:rsidRDefault="00237E26" w:rsidP="00DD2F9B">
            <w:pPr>
              <w:pStyle w:val="Tablefont"/>
            </w:pPr>
            <w:r>
              <w:t>NA</w:t>
            </w:r>
          </w:p>
        </w:tc>
      </w:tr>
      <w:tr w:rsidR="007925F0" w:rsidRPr="004C23F4" w14:paraId="4095761E" w14:textId="77777777" w:rsidTr="00F34B5E">
        <w:trPr>
          <w:cantSplit/>
        </w:trPr>
        <w:tc>
          <w:tcPr>
            <w:tcW w:w="0" w:type="dxa"/>
          </w:tcPr>
          <w:p w14:paraId="7A54FA30" w14:textId="77777777" w:rsidR="004079B4" w:rsidRPr="004C23F4" w:rsidRDefault="007925F0" w:rsidP="00F4402E">
            <w:pPr>
              <w:pStyle w:val="Tablefont"/>
            </w:pPr>
            <w:r>
              <w:t>HCIS</w:t>
            </w:r>
          </w:p>
        </w:tc>
        <w:tc>
          <w:tcPr>
            <w:tcW w:w="0" w:type="dxa"/>
          </w:tcPr>
          <w:p w14:paraId="290F073D" w14:textId="50BEC8B4" w:rsidR="007925F0" w:rsidRPr="00DD2F9B" w:rsidRDefault="005F3880" w:rsidP="00DD2F9B">
            <w:pPr>
              <w:pStyle w:val="Tablefont"/>
            </w:pPr>
            <w:r>
              <w:t>—</w:t>
            </w:r>
          </w:p>
        </w:tc>
      </w:tr>
      <w:tr w:rsidR="00AF483F" w:rsidRPr="004C23F4" w14:paraId="1801F581" w14:textId="77777777" w:rsidTr="00F34B5E">
        <w:trPr>
          <w:cantSplit/>
        </w:trPr>
        <w:tc>
          <w:tcPr>
            <w:tcW w:w="0" w:type="dxa"/>
          </w:tcPr>
          <w:p w14:paraId="40E13743" w14:textId="77777777" w:rsidR="00AF483F" w:rsidRPr="004C23F4" w:rsidRDefault="00AF483F" w:rsidP="00F4402E">
            <w:pPr>
              <w:pStyle w:val="Tablefont"/>
            </w:pPr>
            <w:r>
              <w:t>NICNAS</w:t>
            </w:r>
          </w:p>
        </w:tc>
        <w:tc>
          <w:tcPr>
            <w:tcW w:w="0" w:type="dxa"/>
          </w:tcPr>
          <w:p w14:paraId="1B11E16E" w14:textId="00898918" w:rsidR="00AF483F" w:rsidRPr="00DD2F9B" w:rsidRDefault="005F3880" w:rsidP="00DD2F9B">
            <w:pPr>
              <w:pStyle w:val="Tablefont"/>
            </w:pPr>
            <w:r>
              <w:t xml:space="preserve">— </w:t>
            </w:r>
          </w:p>
        </w:tc>
      </w:tr>
      <w:tr w:rsidR="00687890" w:rsidRPr="004C23F4" w14:paraId="7E504252" w14:textId="77777777" w:rsidTr="00F34B5E">
        <w:trPr>
          <w:cantSplit/>
        </w:trPr>
        <w:tc>
          <w:tcPr>
            <w:tcW w:w="0" w:type="dxa"/>
          </w:tcPr>
          <w:p w14:paraId="1E3426B7" w14:textId="77777777" w:rsidR="004079B4" w:rsidRPr="004C23F4" w:rsidRDefault="00687890" w:rsidP="00F4402E">
            <w:pPr>
              <w:pStyle w:val="Tablefont"/>
            </w:pPr>
            <w:r w:rsidRPr="004C23F4">
              <w:t>EU Annex</w:t>
            </w:r>
          </w:p>
        </w:tc>
        <w:tc>
          <w:tcPr>
            <w:tcW w:w="0" w:type="dxa"/>
          </w:tcPr>
          <w:p w14:paraId="51BDED95" w14:textId="29FA537B" w:rsidR="00687890" w:rsidRPr="00DD2F9B" w:rsidRDefault="00EC5D59" w:rsidP="00DD2F9B">
            <w:pPr>
              <w:pStyle w:val="Tablefont"/>
            </w:pPr>
            <w:r>
              <w:t>NA</w:t>
            </w:r>
          </w:p>
        </w:tc>
      </w:tr>
      <w:tr w:rsidR="00E41A26" w:rsidRPr="004C23F4" w14:paraId="571CF1DF" w14:textId="77777777" w:rsidTr="00F34B5E">
        <w:trPr>
          <w:cantSplit/>
        </w:trPr>
        <w:tc>
          <w:tcPr>
            <w:tcW w:w="0" w:type="dxa"/>
          </w:tcPr>
          <w:p w14:paraId="680D31C8" w14:textId="77777777" w:rsidR="00E41A26" w:rsidRDefault="00E41A26" w:rsidP="00F4402E">
            <w:pPr>
              <w:pStyle w:val="Tablefont"/>
            </w:pPr>
            <w:r>
              <w:t>ECHA</w:t>
            </w:r>
          </w:p>
        </w:tc>
        <w:tc>
          <w:tcPr>
            <w:tcW w:w="0" w:type="dxa"/>
          </w:tcPr>
          <w:p w14:paraId="5D3BB85F" w14:textId="635A83F4" w:rsidR="00E41A26" w:rsidRPr="00DD2F9B" w:rsidRDefault="005F3880" w:rsidP="00DD2F9B">
            <w:pPr>
              <w:pStyle w:val="Tablefont"/>
            </w:pPr>
            <w:r>
              <w:t>—</w:t>
            </w:r>
          </w:p>
        </w:tc>
      </w:tr>
      <w:tr w:rsidR="002E0D61" w:rsidRPr="004C23F4" w14:paraId="6B24ECE3" w14:textId="77777777" w:rsidTr="00F34B5E">
        <w:trPr>
          <w:cantSplit/>
        </w:trPr>
        <w:tc>
          <w:tcPr>
            <w:tcW w:w="0" w:type="dxa"/>
          </w:tcPr>
          <w:p w14:paraId="0C77DE4B" w14:textId="77777777" w:rsidR="004079B4" w:rsidRPr="004C23F4" w:rsidRDefault="002E0D61" w:rsidP="00F4402E">
            <w:pPr>
              <w:pStyle w:val="Tablefont"/>
            </w:pPr>
            <w:r>
              <w:t>ACGIH</w:t>
            </w:r>
          </w:p>
        </w:tc>
        <w:tc>
          <w:tcPr>
            <w:tcW w:w="0" w:type="dxa"/>
          </w:tcPr>
          <w:p w14:paraId="6D979466" w14:textId="7932C2C9" w:rsidR="002E0D61" w:rsidRPr="00DD2F9B" w:rsidRDefault="00237E26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432A000F" w14:textId="77777777" w:rsidTr="00F34B5E">
        <w:trPr>
          <w:cantSplit/>
        </w:trPr>
        <w:tc>
          <w:tcPr>
            <w:tcW w:w="0" w:type="dxa"/>
          </w:tcPr>
          <w:p w14:paraId="02A0A699" w14:textId="77777777" w:rsidR="004079B4" w:rsidRPr="004C23F4" w:rsidRDefault="002E0D61" w:rsidP="00F4402E">
            <w:pPr>
              <w:pStyle w:val="Tablefont"/>
            </w:pPr>
            <w:r>
              <w:t>DFG</w:t>
            </w:r>
          </w:p>
        </w:tc>
        <w:tc>
          <w:tcPr>
            <w:tcW w:w="0" w:type="dxa"/>
          </w:tcPr>
          <w:p w14:paraId="6823DEDF" w14:textId="5CEB05FB" w:rsidR="002E0D61" w:rsidRPr="00DD2F9B" w:rsidRDefault="005F3880" w:rsidP="00DD2F9B">
            <w:pPr>
              <w:pStyle w:val="Tablefont"/>
            </w:pPr>
            <w:r>
              <w:t>—</w:t>
            </w:r>
          </w:p>
        </w:tc>
      </w:tr>
      <w:tr w:rsidR="002E0D61" w:rsidRPr="004C23F4" w14:paraId="12F4C7AD" w14:textId="77777777" w:rsidTr="00F34B5E">
        <w:trPr>
          <w:cantSplit/>
        </w:trPr>
        <w:tc>
          <w:tcPr>
            <w:tcW w:w="0" w:type="dxa"/>
          </w:tcPr>
          <w:p w14:paraId="3D511145" w14:textId="77777777" w:rsidR="004079B4" w:rsidRPr="004C23F4" w:rsidRDefault="002E0D61" w:rsidP="00F4402E">
            <w:pPr>
              <w:pStyle w:val="Tablefont"/>
            </w:pPr>
            <w:r>
              <w:t>SCOEL</w:t>
            </w:r>
          </w:p>
        </w:tc>
        <w:tc>
          <w:tcPr>
            <w:tcW w:w="0" w:type="dxa"/>
          </w:tcPr>
          <w:p w14:paraId="6A106B64" w14:textId="2E373FCC" w:rsidR="002E0D61" w:rsidRPr="00DD2F9B" w:rsidRDefault="00237E26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6790BF85" w14:textId="77777777" w:rsidTr="00F34B5E">
        <w:trPr>
          <w:cantSplit/>
        </w:trPr>
        <w:tc>
          <w:tcPr>
            <w:tcW w:w="0" w:type="dxa"/>
          </w:tcPr>
          <w:p w14:paraId="539D0459" w14:textId="77777777" w:rsidR="004079B4" w:rsidRDefault="002E0D61" w:rsidP="00F4402E">
            <w:pPr>
              <w:pStyle w:val="Tablefont"/>
            </w:pPr>
            <w:r>
              <w:t>HCOTN</w:t>
            </w:r>
          </w:p>
        </w:tc>
        <w:tc>
          <w:tcPr>
            <w:tcW w:w="0" w:type="dxa"/>
          </w:tcPr>
          <w:p w14:paraId="49BCB5A1" w14:textId="3882EF11" w:rsidR="002E0D61" w:rsidRPr="00DD2F9B" w:rsidRDefault="005F3880" w:rsidP="00DD2F9B">
            <w:pPr>
              <w:pStyle w:val="Tablefont"/>
            </w:pPr>
            <w:r>
              <w:t>Skin</w:t>
            </w:r>
          </w:p>
        </w:tc>
      </w:tr>
      <w:tr w:rsidR="00386093" w:rsidRPr="004C23F4" w14:paraId="7D480F98" w14:textId="77777777" w:rsidTr="00F34B5E">
        <w:trPr>
          <w:cantSplit/>
        </w:trPr>
        <w:tc>
          <w:tcPr>
            <w:tcW w:w="0" w:type="dxa"/>
          </w:tcPr>
          <w:p w14:paraId="37104FF2" w14:textId="77777777" w:rsidR="004079B4" w:rsidRDefault="00386093" w:rsidP="00F4402E">
            <w:pPr>
              <w:pStyle w:val="Tablefont"/>
            </w:pPr>
            <w:r>
              <w:t>IARC</w:t>
            </w:r>
          </w:p>
        </w:tc>
        <w:tc>
          <w:tcPr>
            <w:tcW w:w="0" w:type="dxa"/>
          </w:tcPr>
          <w:p w14:paraId="07D7CFB5" w14:textId="31E26B89" w:rsidR="00386093" w:rsidRPr="00DD2F9B" w:rsidRDefault="00EC5D59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105A7BF9" w14:textId="77777777" w:rsidTr="00F34B5E">
        <w:trPr>
          <w:cantSplit/>
        </w:trPr>
        <w:tc>
          <w:tcPr>
            <w:tcW w:w="0" w:type="dxa"/>
          </w:tcPr>
          <w:p w14:paraId="508B26F0" w14:textId="77777777" w:rsidR="004079B4" w:rsidRDefault="00386093" w:rsidP="00F4402E">
            <w:pPr>
              <w:pStyle w:val="Tablefont"/>
              <w:keepNext/>
            </w:pPr>
            <w:r>
              <w:t>US NIOSH</w:t>
            </w:r>
          </w:p>
        </w:tc>
        <w:tc>
          <w:tcPr>
            <w:tcW w:w="0" w:type="dxa"/>
          </w:tcPr>
          <w:p w14:paraId="0561B49C" w14:textId="39E7ED44" w:rsidR="00386093" w:rsidRPr="00DD2F9B" w:rsidRDefault="009B486F" w:rsidP="00D87570">
            <w:pPr>
              <w:pStyle w:val="Tablefont"/>
              <w:keepNext/>
            </w:pPr>
            <w:r>
              <w:t>NA</w:t>
            </w:r>
          </w:p>
        </w:tc>
      </w:tr>
    </w:tbl>
    <w:bookmarkEnd w:id="2"/>
    <w:p w14:paraId="7A52B4E1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51F20922" w14:textId="77777777" w:rsidR="00474E33" w:rsidRDefault="00474E33" w:rsidP="00474E33">
      <w:pPr>
        <w:pStyle w:val="Heading3"/>
      </w:pPr>
      <w:r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4C23F4" w14:paraId="5A52978A" w14:textId="77777777" w:rsidTr="00EA6243">
        <w:trPr>
          <w:cantSplit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4D553EAF" w14:textId="77777777" w:rsidR="00932DCE" w:rsidRPr="004C23F4" w:rsidRDefault="00932DCE" w:rsidP="00F4402E">
            <w:pPr>
              <w:pStyle w:val="Tableheader"/>
              <w:keepNext/>
              <w:tabs>
                <w:tab w:val="right" w:pos="8800"/>
              </w:tabs>
            </w:pPr>
            <w:bookmarkStart w:id="3" w:name="SkinNot"/>
            <w:r>
              <w:t>Calculation</w:t>
            </w:r>
            <w:r w:rsidR="00177CA1">
              <w:tab/>
            </w:r>
          </w:p>
        </w:tc>
      </w:tr>
    </w:tbl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3592"/>
        <w:gridCol w:w="967"/>
        <w:gridCol w:w="967"/>
        <w:gridCol w:w="3500"/>
      </w:tblGrid>
      <w:tr w:rsidR="00A27D22" w14:paraId="112166EC" w14:textId="77777777" w:rsidTr="004F584A">
        <w:trPr>
          <w:trHeight w:val="342"/>
        </w:trPr>
        <w:tc>
          <w:tcPr>
            <w:tcW w:w="2073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bookmarkEnd w:id="3"/>
          <w:p w14:paraId="2C5CEED5" w14:textId="77777777" w:rsidR="00A27D22" w:rsidRDefault="00A27D22" w:rsidP="00A27D22">
            <w:pPr>
              <w:spacing w:after="0"/>
              <w:jc w:val="right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Adverse effects in human case study: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04433680" w14:textId="1D462A15" w:rsidR="00A27D22" w:rsidRDefault="00A27D22" w:rsidP="00A27D22">
            <w:pPr>
              <w:jc w:val="center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no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218E8D2A" w14:textId="77777777" w:rsidR="00A27D22" w:rsidRDefault="00A27D22" w:rsidP="00A27D22">
            <w:pPr>
              <w:rPr>
                <w:rFonts w:ascii="Segoe UI" w:hAnsi="Segoe UI" w:cs="Segoe UI"/>
                <w:color w:val="C5D9F1"/>
                <w:sz w:val="18"/>
                <w:szCs w:val="18"/>
              </w:rPr>
            </w:pPr>
            <w:r>
              <w:rPr>
                <w:rFonts w:ascii="Segoe UI" w:hAnsi="Segoe UI" w:cs="Segoe UI"/>
                <w:color w:val="C5D9F1"/>
                <w:sz w:val="18"/>
                <w:szCs w:val="18"/>
              </w:rPr>
              <w:t> </w:t>
            </w:r>
          </w:p>
        </w:tc>
        <w:tc>
          <w:tcPr>
            <w:tcW w:w="1690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74CA54BA" w14:textId="77777777" w:rsidR="00A27D22" w:rsidRDefault="00A27D22" w:rsidP="00A27D22">
            <w:pPr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 </w:t>
            </w:r>
          </w:p>
        </w:tc>
      </w:tr>
      <w:tr w:rsidR="00A27D22" w14:paraId="3C868CC0" w14:textId="77777777" w:rsidTr="004F584A">
        <w:trPr>
          <w:trHeight w:val="342"/>
        </w:trPr>
        <w:tc>
          <w:tcPr>
            <w:tcW w:w="2073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49762F3F" w14:textId="77777777" w:rsidR="00A27D22" w:rsidRDefault="00A27D22" w:rsidP="00A27D22">
            <w:pPr>
              <w:jc w:val="right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Dermal LD</w:t>
            </w:r>
            <w:r>
              <w:rPr>
                <w:rFonts w:ascii="Segoe UI" w:hAnsi="Segoe UI" w:cs="Segoe UI"/>
                <w:color w:val="000000"/>
                <w:sz w:val="18"/>
                <w:szCs w:val="18"/>
                <w:vertAlign w:val="subscript"/>
              </w:rPr>
              <w:t>50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≤1000 mg/kg: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55FF509D" w14:textId="6ACDF935" w:rsidR="00A27D22" w:rsidRDefault="00A27D22" w:rsidP="00A27D22">
            <w:pPr>
              <w:jc w:val="center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no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3EC470E0" w14:textId="77777777" w:rsidR="00A27D22" w:rsidRDefault="00A27D22" w:rsidP="00A27D22">
            <w:pPr>
              <w:rPr>
                <w:rFonts w:ascii="Segoe UI" w:hAnsi="Segoe UI" w:cs="Segoe UI"/>
                <w:color w:val="C5D9F1"/>
                <w:sz w:val="18"/>
                <w:szCs w:val="18"/>
              </w:rPr>
            </w:pPr>
            <w:r>
              <w:rPr>
                <w:rFonts w:ascii="Segoe UI" w:hAnsi="Segoe UI" w:cs="Segoe UI"/>
                <w:color w:val="C5D9F1"/>
                <w:sz w:val="18"/>
                <w:szCs w:val="18"/>
              </w:rPr>
              <w:t> </w:t>
            </w:r>
          </w:p>
        </w:tc>
        <w:tc>
          <w:tcPr>
            <w:tcW w:w="1690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112B130D" w14:textId="77777777" w:rsidR="00A27D22" w:rsidRDefault="00A27D22" w:rsidP="00A27D22">
            <w:pPr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 </w:t>
            </w:r>
          </w:p>
        </w:tc>
      </w:tr>
      <w:tr w:rsidR="00A27D22" w14:paraId="6EE84F85" w14:textId="77777777" w:rsidTr="004F584A">
        <w:trPr>
          <w:trHeight w:val="342"/>
        </w:trPr>
        <w:tc>
          <w:tcPr>
            <w:tcW w:w="2073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10D26FFA" w14:textId="77777777" w:rsidR="00A27D22" w:rsidRDefault="00A27D22" w:rsidP="00A27D22">
            <w:pPr>
              <w:jc w:val="right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Dermal repeat-dose NOAEL ≤200 mg/kg: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741E9592" w14:textId="40F3897D" w:rsidR="00A27D22" w:rsidRDefault="00A27D22" w:rsidP="00A27D22">
            <w:pPr>
              <w:jc w:val="center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545CF461" w14:textId="77777777" w:rsidR="00A27D22" w:rsidRDefault="00A27D22" w:rsidP="00A27D22">
            <w:pPr>
              <w:rPr>
                <w:rFonts w:ascii="Segoe UI" w:hAnsi="Segoe UI" w:cs="Segoe UI"/>
                <w:color w:val="C5D9F1"/>
                <w:sz w:val="18"/>
                <w:szCs w:val="18"/>
              </w:rPr>
            </w:pPr>
            <w:r>
              <w:rPr>
                <w:rFonts w:ascii="Segoe UI" w:hAnsi="Segoe UI" w:cs="Segoe UI"/>
                <w:color w:val="C5D9F1"/>
                <w:sz w:val="18"/>
                <w:szCs w:val="18"/>
              </w:rPr>
              <w:t> </w:t>
            </w:r>
          </w:p>
        </w:tc>
        <w:tc>
          <w:tcPr>
            <w:tcW w:w="1690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0D180E46" w14:textId="77777777" w:rsidR="00A27D22" w:rsidRDefault="00A27D22" w:rsidP="00A27D22">
            <w:pPr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 </w:t>
            </w:r>
          </w:p>
        </w:tc>
      </w:tr>
      <w:tr w:rsidR="00A27D22" w14:paraId="4164583B" w14:textId="77777777" w:rsidTr="004F584A">
        <w:trPr>
          <w:trHeight w:val="342"/>
        </w:trPr>
        <w:tc>
          <w:tcPr>
            <w:tcW w:w="2073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613F9514" w14:textId="77777777" w:rsidR="00A27D22" w:rsidRDefault="00A27D22" w:rsidP="00A27D22">
            <w:pPr>
              <w:jc w:val="right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Dermal LD</w:t>
            </w:r>
            <w:r>
              <w:rPr>
                <w:rFonts w:ascii="Segoe UI" w:hAnsi="Segoe UI" w:cs="Segoe UI"/>
                <w:color w:val="000000"/>
                <w:sz w:val="18"/>
                <w:szCs w:val="18"/>
                <w:vertAlign w:val="subscript"/>
              </w:rPr>
              <w:t>50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/Inhalation LD</w:t>
            </w:r>
            <w:r>
              <w:rPr>
                <w:rFonts w:ascii="Segoe UI" w:hAnsi="Segoe UI" w:cs="Segoe UI"/>
                <w:color w:val="000000"/>
                <w:sz w:val="18"/>
                <w:szCs w:val="18"/>
                <w:vertAlign w:val="subscript"/>
              </w:rPr>
              <w:t>50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&lt;10: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5F471288" w14:textId="29E085B7" w:rsidR="00A27D22" w:rsidRDefault="00A27D22" w:rsidP="00A27D22">
            <w:pPr>
              <w:jc w:val="center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449EC552" w14:textId="77777777" w:rsidR="00A27D22" w:rsidRDefault="00A27D22" w:rsidP="00A27D22">
            <w:pPr>
              <w:rPr>
                <w:rFonts w:ascii="Segoe UI" w:hAnsi="Segoe UI" w:cs="Segoe UI"/>
                <w:color w:val="C5D9F1"/>
                <w:sz w:val="18"/>
                <w:szCs w:val="18"/>
              </w:rPr>
            </w:pPr>
            <w:r>
              <w:rPr>
                <w:rFonts w:ascii="Segoe UI" w:hAnsi="Segoe UI" w:cs="Segoe UI"/>
                <w:color w:val="C5D9F1"/>
                <w:sz w:val="18"/>
                <w:szCs w:val="18"/>
              </w:rPr>
              <w:t> </w:t>
            </w:r>
          </w:p>
        </w:tc>
        <w:tc>
          <w:tcPr>
            <w:tcW w:w="1690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1A04B36F" w14:textId="77777777" w:rsidR="00A27D22" w:rsidRDefault="00A27D22" w:rsidP="00A27D22">
            <w:pPr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 </w:t>
            </w:r>
          </w:p>
        </w:tc>
      </w:tr>
      <w:tr w:rsidR="00A27D22" w14:paraId="7B64797E" w14:textId="77777777" w:rsidTr="004F584A">
        <w:trPr>
          <w:trHeight w:val="342"/>
        </w:trPr>
        <w:tc>
          <w:tcPr>
            <w:tcW w:w="2073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41999E09" w14:textId="77777777" w:rsidR="00A27D22" w:rsidRDefault="00A27D22" w:rsidP="00A27D22">
            <w:pPr>
              <w:jc w:val="right"/>
              <w:rPr>
                <w:rFonts w:ascii="Segoe UI" w:hAnsi="Segoe UI" w:cs="Segoe UI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i/>
                <w:iCs/>
                <w:color w:val="000000"/>
                <w:sz w:val="18"/>
                <w:szCs w:val="18"/>
              </w:rPr>
              <w:lastRenderedPageBreak/>
              <w:t>In vivo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dermal absorption rate &gt;10%: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3D508780" w14:textId="4DFA601A" w:rsidR="00A27D22" w:rsidRDefault="00A27D22" w:rsidP="00A27D22">
            <w:pPr>
              <w:jc w:val="center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556B173C" w14:textId="77777777" w:rsidR="00A27D22" w:rsidRDefault="00A27D22" w:rsidP="00A27D22">
            <w:pPr>
              <w:rPr>
                <w:rFonts w:ascii="Segoe UI" w:hAnsi="Segoe UI" w:cs="Segoe UI"/>
                <w:color w:val="C5D9F1"/>
                <w:sz w:val="18"/>
                <w:szCs w:val="18"/>
              </w:rPr>
            </w:pPr>
            <w:r>
              <w:rPr>
                <w:rFonts w:ascii="Segoe UI" w:hAnsi="Segoe UI" w:cs="Segoe UI"/>
                <w:color w:val="C5D9F1"/>
                <w:sz w:val="18"/>
                <w:szCs w:val="18"/>
              </w:rPr>
              <w:t> </w:t>
            </w:r>
          </w:p>
        </w:tc>
        <w:tc>
          <w:tcPr>
            <w:tcW w:w="1690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08673B8E" w14:textId="77777777" w:rsidR="00A27D22" w:rsidRDefault="00A27D22" w:rsidP="00A27D22">
            <w:pPr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 </w:t>
            </w:r>
          </w:p>
        </w:tc>
      </w:tr>
      <w:tr w:rsidR="00A27D22" w14:paraId="405FBC8B" w14:textId="77777777" w:rsidTr="00FF5B1E">
        <w:trPr>
          <w:trHeight w:val="342"/>
        </w:trPr>
        <w:tc>
          <w:tcPr>
            <w:tcW w:w="2073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5895DED8" w14:textId="77777777" w:rsidR="00A27D22" w:rsidRDefault="00A27D22" w:rsidP="00A27D22">
            <w:pPr>
              <w:jc w:val="right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Estimated dermal exposure at WES &gt;10%: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000000" w:fill="FFEB9C"/>
            <w:noWrap/>
            <w:vAlign w:val="center"/>
            <w:hideMark/>
          </w:tcPr>
          <w:p w14:paraId="0892D8EB" w14:textId="224F5EEA" w:rsidR="00A27D22" w:rsidRDefault="00A27D22" w:rsidP="00A27D22">
            <w:pPr>
              <w:jc w:val="center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9C6500"/>
                <w:sz w:val="18"/>
                <w:szCs w:val="18"/>
              </w:rPr>
              <w:t>yes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049857B0" w14:textId="77777777" w:rsidR="00A27D22" w:rsidRDefault="00A27D22" w:rsidP="00A27D22">
            <w:pPr>
              <w:rPr>
                <w:rFonts w:ascii="Segoe UI" w:hAnsi="Segoe UI" w:cs="Segoe UI"/>
                <w:color w:val="C5D9F1"/>
                <w:sz w:val="18"/>
                <w:szCs w:val="18"/>
              </w:rPr>
            </w:pPr>
            <w:r>
              <w:rPr>
                <w:rFonts w:ascii="Segoe UI" w:hAnsi="Segoe UI" w:cs="Segoe UI"/>
                <w:color w:val="C5D9F1"/>
                <w:sz w:val="18"/>
                <w:szCs w:val="18"/>
              </w:rPr>
              <w:t> </w:t>
            </w:r>
          </w:p>
        </w:tc>
        <w:tc>
          <w:tcPr>
            <w:tcW w:w="1690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6368A3C6" w14:textId="77777777" w:rsidR="00A27D22" w:rsidRDefault="00A27D22" w:rsidP="00A27D22">
            <w:pPr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 </w:t>
            </w:r>
          </w:p>
        </w:tc>
      </w:tr>
      <w:tr w:rsidR="004F584A" w14:paraId="3E547A89" w14:textId="77777777" w:rsidTr="004F584A">
        <w:trPr>
          <w:trHeight w:val="342"/>
        </w:trPr>
        <w:tc>
          <w:tcPr>
            <w:tcW w:w="2073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33D103A1" w14:textId="77777777" w:rsidR="004F584A" w:rsidRDefault="004F584A">
            <w:pPr>
              <w:jc w:val="right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7484F6E0" w14:textId="77777777" w:rsidR="004F584A" w:rsidRDefault="004F584A">
            <w:pPr>
              <w:jc w:val="center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2BFFE2D7" w14:textId="77777777" w:rsidR="004F584A" w:rsidRDefault="004F584A">
            <w:pPr>
              <w:rPr>
                <w:rFonts w:ascii="Segoe UI" w:hAnsi="Segoe UI" w:cs="Segoe UI"/>
                <w:color w:val="C5D9F1"/>
                <w:sz w:val="18"/>
                <w:szCs w:val="18"/>
              </w:rPr>
            </w:pPr>
            <w:r>
              <w:rPr>
                <w:rFonts w:ascii="Segoe UI" w:hAnsi="Segoe UI" w:cs="Segoe UI"/>
                <w:color w:val="C5D9F1"/>
                <w:sz w:val="18"/>
                <w:szCs w:val="18"/>
              </w:rPr>
              <w:t> </w:t>
            </w:r>
          </w:p>
        </w:tc>
        <w:tc>
          <w:tcPr>
            <w:tcW w:w="1690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12AE2880" w14:textId="099C4FB7" w:rsidR="004F584A" w:rsidRDefault="00A27D22">
            <w:pPr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  <w:t>Insufficient data to assign a skin notation</w:t>
            </w:r>
          </w:p>
        </w:tc>
      </w:tr>
    </w:tbl>
    <w:p w14:paraId="398F359A" w14:textId="49EDB0E9" w:rsidR="00EB3D1B" w:rsidRDefault="004F584A" w:rsidP="00EB3D1B">
      <w:pPr>
        <w:pStyle w:val="Heading3"/>
      </w:pPr>
      <w:r>
        <w:t xml:space="preserve"> </w:t>
      </w:r>
      <w:r w:rsidR="00EB3D1B">
        <w:t>IDLH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9"/>
        <w:gridCol w:w="4757"/>
      </w:tblGrid>
      <w:tr w:rsidR="00EB3D1B" w14:paraId="2FDBC9A1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46082C16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IDLH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EndPr/>
          <w:sdtContent>
            <w:tc>
              <w:tcPr>
                <w:tcW w:w="4881" w:type="dxa"/>
                <w:vAlign w:val="center"/>
              </w:tcPr>
              <w:p w14:paraId="42902B59" w14:textId="0F72D573" w:rsidR="00EB3D1B" w:rsidRDefault="009B486F" w:rsidP="00EB3D1B">
                <w:pPr>
                  <w:pStyle w:val="Tablefont"/>
                </w:pPr>
                <w:r>
                  <w:t>No</w:t>
                </w:r>
              </w:p>
            </w:tc>
          </w:sdtContent>
        </w:sdt>
      </w:tr>
    </w:tbl>
    <w:p w14:paraId="1DD2E63B" w14:textId="77777777" w:rsidR="00687890" w:rsidRPr="004C23F4" w:rsidRDefault="00B479A9" w:rsidP="00474E33">
      <w:pPr>
        <w:pStyle w:val="Heading2"/>
      </w:pPr>
      <w:r w:rsidRPr="004C23F4"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5"/>
        <w:gridCol w:w="5031"/>
      </w:tblGrid>
      <w:tr w:rsidR="001B79E5" w:rsidRPr="004C23F4" w14:paraId="5424E450" w14:textId="77777777" w:rsidTr="00751D2F">
        <w:trPr>
          <w:cantSplit/>
        </w:trPr>
        <w:tc>
          <w:tcPr>
            <w:tcW w:w="4077" w:type="dxa"/>
            <w:vAlign w:val="center"/>
          </w:tcPr>
          <w:p w14:paraId="3ED71683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EndPr/>
          <w:sdtContent>
            <w:tc>
              <w:tcPr>
                <w:tcW w:w="5165" w:type="dxa"/>
                <w:vAlign w:val="center"/>
              </w:tcPr>
              <w:p w14:paraId="5C877874" w14:textId="5AFD2658" w:rsidR="001B79E5" w:rsidRDefault="007825BE" w:rsidP="001B79E5">
                <w:pPr>
                  <w:pStyle w:val="Tablefont"/>
                </w:pPr>
                <w:r>
                  <w:t>106.12</w:t>
                </w:r>
              </w:p>
            </w:tc>
          </w:sdtContent>
        </w:sdt>
      </w:tr>
      <w:tr w:rsidR="00A31D99" w:rsidRPr="004C23F4" w14:paraId="0B5EC3B6" w14:textId="77777777" w:rsidTr="00751D2F">
        <w:trPr>
          <w:cantSplit/>
        </w:trPr>
        <w:tc>
          <w:tcPr>
            <w:tcW w:w="4077" w:type="dxa"/>
            <w:vAlign w:val="center"/>
          </w:tcPr>
          <w:p w14:paraId="2657B9AA" w14:textId="77777777" w:rsidR="00A31D99" w:rsidRPr="00263255" w:rsidRDefault="00A31D99" w:rsidP="00A31D99">
            <w:pPr>
              <w:pStyle w:val="Tablefont"/>
            </w:pPr>
            <w:r>
              <w:t>Conversion factors at 25</w:t>
            </w:r>
            <w:r>
              <w:rPr>
                <w:rFonts w:cs="Arial"/>
              </w:rPr>
              <w:t>°</w:t>
            </w:r>
            <w:r>
              <w:t xml:space="preserve">C and 101.3 kPa: </w:t>
            </w:r>
          </w:p>
        </w:tc>
        <w:tc>
          <w:tcPr>
            <w:tcW w:w="5165" w:type="dxa"/>
            <w:vAlign w:val="center"/>
          </w:tcPr>
          <w:p w14:paraId="0E7A781E" w14:textId="77777777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  <w:showingPlcHdr/>
              </w:sdtPr>
              <w:sdtEndPr/>
              <w:sdtContent>
                <w:r w:rsidR="00A174CC">
                  <w:rPr>
                    <w:rStyle w:val="PlaceholderText"/>
                  </w:rPr>
                  <w:t>Number</w:t>
                </w:r>
              </w:sdtContent>
            </w:sdt>
            <w:r>
              <w:t xml:space="preserve"> mg/m</w:t>
            </w:r>
            <w:r w:rsidRPr="00D83761">
              <w:rPr>
                <w:vertAlign w:val="superscript"/>
              </w:rPr>
              <w:t>3</w:t>
            </w:r>
            <w:r>
              <w:t>; 1 mg/m</w:t>
            </w:r>
            <w:r w:rsidRPr="00D83761">
              <w:rPr>
                <w:vertAlign w:val="superscript"/>
              </w:rPr>
              <w:t>3</w:t>
            </w:r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EndPr/>
              <w:sdtContent>
                <w:r w:rsidR="00A174CC" w:rsidRPr="00A174CC">
                  <w:rPr>
                    <w:color w:val="808080"/>
                  </w:rPr>
                  <w:t>Number</w:t>
                </w:r>
              </w:sdtContent>
            </w:sdt>
            <w:r>
              <w:t xml:space="preserve"> ppm</w:t>
            </w:r>
          </w:p>
        </w:tc>
      </w:tr>
      <w:tr w:rsidR="00687890" w:rsidRPr="004C23F4" w14:paraId="44BA4D6E" w14:textId="77777777" w:rsidTr="00751D2F">
        <w:trPr>
          <w:cantSplit/>
        </w:trPr>
        <w:tc>
          <w:tcPr>
            <w:tcW w:w="4077" w:type="dxa"/>
            <w:vAlign w:val="center"/>
          </w:tcPr>
          <w:p w14:paraId="4D86C20E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45CF81FB" w14:textId="77777777" w:rsidR="00687890" w:rsidRPr="004C23F4" w:rsidRDefault="00E46BCB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262BFDE0" w14:textId="77777777" w:rsidTr="00751D2F">
        <w:trPr>
          <w:cantSplit/>
        </w:trPr>
        <w:tc>
          <w:tcPr>
            <w:tcW w:w="4077" w:type="dxa"/>
            <w:vAlign w:val="center"/>
          </w:tcPr>
          <w:p w14:paraId="3A39473C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426E8D35" w14:textId="77777777" w:rsidR="00687890" w:rsidRPr="004C23F4" w:rsidRDefault="00A20751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66460F3D" w14:textId="77777777" w:rsidTr="00751D2F">
        <w:trPr>
          <w:cantSplit/>
        </w:trPr>
        <w:tc>
          <w:tcPr>
            <w:tcW w:w="4077" w:type="dxa"/>
            <w:vAlign w:val="center"/>
          </w:tcPr>
          <w:p w14:paraId="00B74921" w14:textId="77777777" w:rsidR="00687890" w:rsidRPr="00263255" w:rsidRDefault="00687890" w:rsidP="00263255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127D26CC" w14:textId="77777777" w:rsidR="00687890" w:rsidRPr="004C23F4" w:rsidRDefault="00687890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E06F40" w:rsidRPr="004C23F4" w14:paraId="2167B00E" w14:textId="77777777" w:rsidTr="00751D2F">
        <w:trPr>
          <w:cantSplit/>
        </w:trPr>
        <w:tc>
          <w:tcPr>
            <w:tcW w:w="4077" w:type="dxa"/>
            <w:vAlign w:val="center"/>
          </w:tcPr>
          <w:p w14:paraId="28C3862B" w14:textId="77777777" w:rsidR="00E06F40" w:rsidRPr="00263255" w:rsidRDefault="00E06F40" w:rsidP="00084513">
            <w:pPr>
              <w:pStyle w:val="Tablefont"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6FFEEA19" w14:textId="77777777" w:rsidR="00E06F40" w:rsidRPr="00A006A0" w:rsidRDefault="001C6C0A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ACGIH</w:t>
            </w:r>
            <w:r w:rsidR="00E06F40">
              <w:tab/>
            </w:r>
            <w:sdt>
              <w:sdtPr>
                <w:id w:val="12936772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DFG</w:t>
            </w:r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SCOEL</w:t>
            </w:r>
            <w:r w:rsidR="00E06F40">
              <w:tab/>
            </w:r>
          </w:p>
        </w:tc>
      </w:tr>
    </w:tbl>
    <w:p w14:paraId="21D9BD03" w14:textId="77777777" w:rsidR="007F1005" w:rsidRPr="004C23F4" w:rsidRDefault="007F1005" w:rsidP="00EB3D1B">
      <w:pPr>
        <w:pStyle w:val="Heading2"/>
        <w:keepLines/>
      </w:pPr>
      <w:r w:rsidRPr="004C23F4"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59384BA1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3934F136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4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3F166548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7C97F33B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showingPlcHdr/>
            <w:text/>
          </w:sdtPr>
          <w:sdtEndPr/>
          <w:sdtContent>
            <w:tc>
              <w:tcPr>
                <w:tcW w:w="4077" w:type="dxa"/>
                <w:vAlign w:val="center"/>
              </w:tcPr>
              <w:p w14:paraId="5FBA3C79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06AED7C2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4"/>
    <w:p w14:paraId="6C5B22C1" w14:textId="77777777" w:rsidR="00F87D92" w:rsidRDefault="00F87D92" w:rsidP="00EF7F78">
      <w:pPr>
        <w:pStyle w:val="Heading2"/>
        <w:tabs>
          <w:tab w:val="right" w:pos="8505"/>
        </w:tabs>
      </w:pPr>
      <w:r>
        <w:t>References</w:t>
      </w:r>
      <w:r w:rsidR="00EF7F78">
        <w:tab/>
      </w:r>
    </w:p>
    <w:p w14:paraId="6AC171A8" w14:textId="76372C18" w:rsidR="008E4F1F" w:rsidRDefault="008E4F1F" w:rsidP="008E4F1F">
      <w:pPr>
        <w:rPr>
          <w:b/>
        </w:rPr>
      </w:pPr>
      <w:r w:rsidRPr="002022B6">
        <w:t xml:space="preserve">Deutsche </w:t>
      </w:r>
      <w:proofErr w:type="spellStart"/>
      <w:r w:rsidRPr="002022B6">
        <w:t>Forschungsgemeinschaft</w:t>
      </w:r>
      <w:proofErr w:type="spellEnd"/>
      <w:r w:rsidRPr="002022B6">
        <w:t xml:space="preserve"> (DFG)</w:t>
      </w:r>
      <w:r>
        <w:t xml:space="preserve"> (</w:t>
      </w:r>
      <w:r w:rsidR="005F5202">
        <w:t>1995</w:t>
      </w:r>
      <w:r>
        <w:t xml:space="preserve">) </w:t>
      </w:r>
      <w:r w:rsidR="0035560B" w:rsidRPr="0035560B">
        <w:t>Diethylene glycol</w:t>
      </w:r>
      <w:r>
        <w:t xml:space="preserve"> – MAK value documentation.</w:t>
      </w:r>
    </w:p>
    <w:p w14:paraId="5A48130C" w14:textId="2DC3A2F6" w:rsidR="00047414" w:rsidRDefault="00047414" w:rsidP="008E4F1F">
      <w:r>
        <w:t>European Chemicals Agency Regulation (ECHA) No 1907/2006 of the European Parliament and of the Council of 18 December 2006 concerning the Registration, Evaluation, Authorisation and Restriction of Chemicals (REACH).</w:t>
      </w:r>
    </w:p>
    <w:p w14:paraId="0F5C163D" w14:textId="109C6129" w:rsidR="008E4F1F" w:rsidRDefault="008E4F1F" w:rsidP="008E4F1F">
      <w:pPr>
        <w:rPr>
          <w:b/>
        </w:rPr>
      </w:pPr>
      <w:r w:rsidRPr="002022B6">
        <w:t>Health Council of the Netherlands</w:t>
      </w:r>
      <w:r>
        <w:t xml:space="preserve"> (HCOTN) (</w:t>
      </w:r>
      <w:r w:rsidR="0035560B">
        <w:t>2007</w:t>
      </w:r>
      <w:r>
        <w:t xml:space="preserve">) </w:t>
      </w:r>
      <w:r w:rsidR="0035560B" w:rsidRPr="0035560B">
        <w:t>Diethylene glycol</w:t>
      </w:r>
      <w:r w:rsidRPr="005F7416">
        <w:t xml:space="preserve">. </w:t>
      </w:r>
      <w:r w:rsidR="0035560B" w:rsidRPr="0035560B">
        <w:t>Health-based recommended occupational exposure limit</w:t>
      </w:r>
      <w:r w:rsidRPr="005F7416">
        <w:t xml:space="preserve">. The Hague: Health Council of the Netherlands; publication no. </w:t>
      </w:r>
      <w:r w:rsidR="0035560B">
        <w:t>2007/03OSH</w:t>
      </w:r>
      <w:r>
        <w:t>.</w:t>
      </w:r>
    </w:p>
    <w:p w14:paraId="5B1901E2" w14:textId="4F8402CC" w:rsidR="00397A04" w:rsidRDefault="00397A04" w:rsidP="00706A29">
      <w:r>
        <w:t xml:space="preserve">National Industrial Chemicals Notification and Assessment Scheme (NICNAS) (2013) Ethanol, 2,2-oxybis-: Human health </w:t>
      </w:r>
      <w:sdt>
        <w:sdtPr>
          <w:id w:val="-1295753243"/>
          <w:temporary/>
          <w:showingPlcHdr/>
        </w:sdtPr>
        <w:sdtEndPr/>
        <w:sdtContent>
          <w:r>
            <w:t>tier II</w:t>
          </w:r>
        </w:sdtContent>
      </w:sdt>
      <w:r>
        <w:t xml:space="preserve"> assessment – IMAP report.</w:t>
      </w:r>
    </w:p>
    <w:p w14:paraId="02087D91" w14:textId="7FC24689" w:rsidR="00706A29" w:rsidRDefault="00706A29" w:rsidP="00706A29">
      <w:pPr>
        <w:rPr>
          <w:b/>
        </w:rPr>
      </w:pPr>
      <w:r w:rsidRPr="00DA129F">
        <w:t>Occupational Alliance for Risk Science</w:t>
      </w:r>
      <w:r>
        <w:t xml:space="preserve"> (OARS) (2016) Workplace environmental exposure level – </w:t>
      </w:r>
      <w:r w:rsidRPr="00706A29">
        <w:t>Diethylene Glycol</w:t>
      </w:r>
      <w:r>
        <w:t>.</w:t>
      </w:r>
    </w:p>
    <w:p w14:paraId="6E6D4CB9" w14:textId="77777777" w:rsidR="008E4F1F" w:rsidRPr="00351FE0" w:rsidRDefault="008E4F1F" w:rsidP="00084859"/>
    <w:sectPr w:rsidR="008E4F1F" w:rsidRPr="00351FE0" w:rsidSect="00B87D4C">
      <w:headerReference w:type="default" r:id="rId13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88ABE1" w14:textId="77777777" w:rsidR="00524149" w:rsidRDefault="00524149" w:rsidP="00F43AD5">
      <w:pPr>
        <w:spacing w:after="0" w:line="240" w:lineRule="auto"/>
      </w:pPr>
      <w:r>
        <w:separator/>
      </w:r>
    </w:p>
  </w:endnote>
  <w:endnote w:type="continuationSeparator" w:id="0">
    <w:p w14:paraId="3BDB7029" w14:textId="77777777" w:rsidR="00524149" w:rsidRDefault="00524149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altName w:val="Arial"/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100BEF97" w14:textId="6AB76D11" w:rsidR="008A36CF" w:rsidRDefault="00433BC7" w:rsidP="0034744C">
        <w:pPr>
          <w:pStyle w:val="Footer"/>
          <w:rPr>
            <w:sz w:val="18"/>
            <w:szCs w:val="18"/>
          </w:rPr>
        </w:pPr>
        <w:r>
          <w:rPr>
            <w:b/>
            <w:sz w:val="18"/>
            <w:szCs w:val="18"/>
          </w:rPr>
          <w:t>2,2’-Oxybis[ethanol]</w:t>
        </w:r>
        <w:r w:rsidR="008A36CF">
          <w:rPr>
            <w:b/>
            <w:sz w:val="18"/>
            <w:szCs w:val="18"/>
          </w:rPr>
          <w:t xml:space="preserve"> (</w:t>
        </w:r>
        <w:r>
          <w:rPr>
            <w:b/>
            <w:sz w:val="18"/>
            <w:szCs w:val="18"/>
          </w:rPr>
          <w:t>111-46-6</w:t>
        </w:r>
        <w:r w:rsidR="008A36CF">
          <w:rPr>
            <w:b/>
            <w:sz w:val="18"/>
            <w:szCs w:val="18"/>
          </w:rPr>
          <w:t>)</w:t>
        </w:r>
        <w:r w:rsidR="008A36CF" w:rsidRPr="00F43AD5">
          <w:rPr>
            <w:sz w:val="18"/>
            <w:szCs w:val="18"/>
          </w:rPr>
          <w:br/>
          <w:t xml:space="preserve">Safe Work Australia </w:t>
        </w:r>
        <w:r w:rsidR="008A36CF" w:rsidRPr="00F43AD5">
          <w:rPr>
            <w:rFonts w:ascii="Courier New" w:hAnsi="Courier New" w:cs="Courier New"/>
            <w:sz w:val="18"/>
            <w:szCs w:val="18"/>
          </w:rPr>
          <w:t>—</w:t>
        </w:r>
        <w:r w:rsidR="005F5202">
          <w:rPr>
            <w:sz w:val="18"/>
            <w:szCs w:val="18"/>
          </w:rPr>
          <w:t xml:space="preserve"> 2020</w:t>
        </w:r>
      </w:p>
      <w:p w14:paraId="34F33C03" w14:textId="425916EC" w:rsidR="008A36CF" w:rsidRPr="00F43AD5" w:rsidRDefault="008A36CF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6D2CA2">
          <w:rPr>
            <w:noProof/>
            <w:sz w:val="18"/>
            <w:szCs w:val="18"/>
          </w:rPr>
          <w:t>6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F608CA" w14:textId="77777777" w:rsidR="00524149" w:rsidRDefault="00524149" w:rsidP="00F43AD5">
      <w:pPr>
        <w:spacing w:after="0" w:line="240" w:lineRule="auto"/>
      </w:pPr>
      <w:r>
        <w:separator/>
      </w:r>
    </w:p>
  </w:footnote>
  <w:footnote w:type="continuationSeparator" w:id="0">
    <w:p w14:paraId="7E6D905B" w14:textId="77777777" w:rsidR="00524149" w:rsidRDefault="00524149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C76519" w14:textId="7358C1B5" w:rsidR="00FA48BB" w:rsidRDefault="00FA48BB" w:rsidP="00FA48BB">
    <w:pPr>
      <w:pStyle w:val="Header"/>
      <w:jc w:val="right"/>
    </w:pPr>
    <w:r>
      <w:rPr>
        <w:noProof/>
        <w:lang w:eastAsia="en-AU"/>
      </w:rPr>
      <w:drawing>
        <wp:inline distT="0" distB="0" distL="0" distR="0" wp14:anchorId="36A92399" wp14:editId="34E4FA26">
          <wp:extent cx="2943225" cy="590550"/>
          <wp:effectExtent l="0" t="0" r="0" b="0"/>
          <wp:docPr id="1" name="Picture 1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145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97E329F" w14:textId="77777777" w:rsidR="00FA48BB" w:rsidRDefault="00FA48BB" w:rsidP="00FA48BB">
    <w:pPr>
      <w:pStyle w:val="Header"/>
    </w:pPr>
  </w:p>
  <w:p w14:paraId="23449A16" w14:textId="16C8A7E6" w:rsidR="008A36CF" w:rsidRDefault="008A36CF" w:rsidP="00F43AD5">
    <w:pPr>
      <w:pStyle w:val="Header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D24673" w14:textId="53B7CBDD" w:rsidR="00FA48BB" w:rsidRDefault="00FA48BB" w:rsidP="00FA48BB">
    <w:pPr>
      <w:pStyle w:val="Header"/>
      <w:jc w:val="right"/>
    </w:pPr>
    <w:r>
      <w:rPr>
        <w:noProof/>
        <w:lang w:eastAsia="en-AU"/>
      </w:rPr>
      <w:drawing>
        <wp:inline distT="0" distB="0" distL="0" distR="0" wp14:anchorId="45646061" wp14:editId="1D39D9A1">
          <wp:extent cx="2943225" cy="590550"/>
          <wp:effectExtent l="0" t="0" r="0" b="0"/>
          <wp:docPr id="3" name="Picture 3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145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BE5821E" w14:textId="77777777" w:rsidR="00FA48BB" w:rsidRDefault="00FA48BB" w:rsidP="00FA48BB">
    <w:pPr>
      <w:pStyle w:val="Header"/>
    </w:pPr>
  </w:p>
  <w:p w14:paraId="521D596F" w14:textId="77777777" w:rsidR="008A36CF" w:rsidRDefault="008A36CF" w:rsidP="00F43AD5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3"/>
    <w:multiLevelType w:val="singleLevel"/>
    <w:tmpl w:val="0C090003"/>
    <w:lvl w:ilvl="0">
      <w:start w:val="1"/>
      <w:numFmt w:val="bullet"/>
      <w:lvlText w:val="o"/>
      <w:lvlJc w:val="left"/>
      <w:pPr>
        <w:ind w:left="643" w:hanging="360"/>
      </w:pPr>
      <w:rPr>
        <w:rFonts w:ascii="Courier New" w:hAnsi="Courier New" w:cs="Courier New" w:hint="default"/>
      </w:rPr>
    </w:lvl>
  </w:abstractNum>
  <w:abstractNum w:abstractNumId="1" w15:restartNumberingAfterBreak="0">
    <w:nsid w:val="FFFFFF89"/>
    <w:multiLevelType w:val="singleLevel"/>
    <w:tmpl w:val="FD6471A4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5D6F3872"/>
    <w:multiLevelType w:val="hybridMultilevel"/>
    <w:tmpl w:val="441C74C4"/>
    <w:lvl w:ilvl="0" w:tplc="0C090003">
      <w:start w:val="1"/>
      <w:numFmt w:val="bullet"/>
      <w:lvlText w:val="o"/>
      <w:lvlJc w:val="left"/>
      <w:pPr>
        <w:ind w:left="1077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" w15:restartNumberingAfterBreak="0">
    <w:nsid w:val="67AB6A3A"/>
    <w:multiLevelType w:val="hybridMultilevel"/>
    <w:tmpl w:val="F0A80056"/>
    <w:lvl w:ilvl="0" w:tplc="0C090003">
      <w:start w:val="1"/>
      <w:numFmt w:val="bullet"/>
      <w:lvlText w:val="o"/>
      <w:lvlJc w:val="left"/>
      <w:pPr>
        <w:ind w:left="1077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" w15:restartNumberingAfterBreak="0">
    <w:nsid w:val="78565168"/>
    <w:multiLevelType w:val="hybridMultilevel"/>
    <w:tmpl w:val="6CCEAFB6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058020391">
    <w:abstractNumId w:val="1"/>
  </w:num>
  <w:num w:numId="2" w16cid:durableId="1513185276">
    <w:abstractNumId w:val="4"/>
  </w:num>
  <w:num w:numId="3" w16cid:durableId="825515810">
    <w:abstractNumId w:val="0"/>
  </w:num>
  <w:num w:numId="4" w16cid:durableId="1773820154">
    <w:abstractNumId w:val="2"/>
  </w:num>
  <w:num w:numId="5" w16cid:durableId="52436830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614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7B80"/>
    <w:rsid w:val="00013272"/>
    <w:rsid w:val="00013A22"/>
    <w:rsid w:val="00014C3F"/>
    <w:rsid w:val="00017C82"/>
    <w:rsid w:val="00032B88"/>
    <w:rsid w:val="00037E52"/>
    <w:rsid w:val="00046DF5"/>
    <w:rsid w:val="00047414"/>
    <w:rsid w:val="00052060"/>
    <w:rsid w:val="0005574A"/>
    <w:rsid w:val="00055FE1"/>
    <w:rsid w:val="00056EC2"/>
    <w:rsid w:val="00060B48"/>
    <w:rsid w:val="00067F32"/>
    <w:rsid w:val="00071807"/>
    <w:rsid w:val="000803E1"/>
    <w:rsid w:val="00084513"/>
    <w:rsid w:val="000847C7"/>
    <w:rsid w:val="00084859"/>
    <w:rsid w:val="00092D94"/>
    <w:rsid w:val="000A6E2E"/>
    <w:rsid w:val="000B0868"/>
    <w:rsid w:val="000B3E12"/>
    <w:rsid w:val="000B3E78"/>
    <w:rsid w:val="000B7B48"/>
    <w:rsid w:val="000C096D"/>
    <w:rsid w:val="000C139A"/>
    <w:rsid w:val="000C2053"/>
    <w:rsid w:val="000C248C"/>
    <w:rsid w:val="000D291C"/>
    <w:rsid w:val="000E5A54"/>
    <w:rsid w:val="000E63D3"/>
    <w:rsid w:val="000E67CF"/>
    <w:rsid w:val="00102223"/>
    <w:rsid w:val="0010461E"/>
    <w:rsid w:val="00106FAA"/>
    <w:rsid w:val="00113443"/>
    <w:rsid w:val="001269A7"/>
    <w:rsid w:val="00131092"/>
    <w:rsid w:val="00140E6A"/>
    <w:rsid w:val="0014321D"/>
    <w:rsid w:val="00146545"/>
    <w:rsid w:val="00146B75"/>
    <w:rsid w:val="0015155B"/>
    <w:rsid w:val="0015266D"/>
    <w:rsid w:val="0015288A"/>
    <w:rsid w:val="00160F47"/>
    <w:rsid w:val="00161E07"/>
    <w:rsid w:val="001745EA"/>
    <w:rsid w:val="00174C28"/>
    <w:rsid w:val="00177CA1"/>
    <w:rsid w:val="00183823"/>
    <w:rsid w:val="00183942"/>
    <w:rsid w:val="001915F6"/>
    <w:rsid w:val="00192A0E"/>
    <w:rsid w:val="001A009E"/>
    <w:rsid w:val="001A1287"/>
    <w:rsid w:val="001A3859"/>
    <w:rsid w:val="001A3C9D"/>
    <w:rsid w:val="001A43F8"/>
    <w:rsid w:val="001B0802"/>
    <w:rsid w:val="001B79E5"/>
    <w:rsid w:val="001C6C0A"/>
    <w:rsid w:val="001D0780"/>
    <w:rsid w:val="001D56F0"/>
    <w:rsid w:val="001D663B"/>
    <w:rsid w:val="001D7B41"/>
    <w:rsid w:val="001E46DA"/>
    <w:rsid w:val="001E7D80"/>
    <w:rsid w:val="001F4B6C"/>
    <w:rsid w:val="001F62CB"/>
    <w:rsid w:val="001F6ED0"/>
    <w:rsid w:val="001F72E6"/>
    <w:rsid w:val="001F73C5"/>
    <w:rsid w:val="00200456"/>
    <w:rsid w:val="002046A6"/>
    <w:rsid w:val="00204956"/>
    <w:rsid w:val="00213640"/>
    <w:rsid w:val="00221547"/>
    <w:rsid w:val="002216FC"/>
    <w:rsid w:val="00222533"/>
    <w:rsid w:val="00222F30"/>
    <w:rsid w:val="00224EE2"/>
    <w:rsid w:val="00227EC7"/>
    <w:rsid w:val="00237E26"/>
    <w:rsid w:val="00242982"/>
    <w:rsid w:val="00242AEB"/>
    <w:rsid w:val="00244AD1"/>
    <w:rsid w:val="002463BC"/>
    <w:rsid w:val="002465CE"/>
    <w:rsid w:val="0025734A"/>
    <w:rsid w:val="00263255"/>
    <w:rsid w:val="00276494"/>
    <w:rsid w:val="00277B0C"/>
    <w:rsid w:val="002A17BC"/>
    <w:rsid w:val="002A4F42"/>
    <w:rsid w:val="002B1A2C"/>
    <w:rsid w:val="002C34F2"/>
    <w:rsid w:val="002C58FF"/>
    <w:rsid w:val="002C7AFE"/>
    <w:rsid w:val="002D05D2"/>
    <w:rsid w:val="002E0D61"/>
    <w:rsid w:val="002E4C7B"/>
    <w:rsid w:val="0030740C"/>
    <w:rsid w:val="003123E5"/>
    <w:rsid w:val="00315833"/>
    <w:rsid w:val="003215EE"/>
    <w:rsid w:val="003224BF"/>
    <w:rsid w:val="003241A8"/>
    <w:rsid w:val="003253F0"/>
    <w:rsid w:val="00331EFA"/>
    <w:rsid w:val="003337DA"/>
    <w:rsid w:val="00334EFB"/>
    <w:rsid w:val="00335CDE"/>
    <w:rsid w:val="003365A5"/>
    <w:rsid w:val="00347192"/>
    <w:rsid w:val="0034744C"/>
    <w:rsid w:val="00351FE0"/>
    <w:rsid w:val="00352615"/>
    <w:rsid w:val="0035412B"/>
    <w:rsid w:val="0035560B"/>
    <w:rsid w:val="003567A8"/>
    <w:rsid w:val="00362895"/>
    <w:rsid w:val="00370DBF"/>
    <w:rsid w:val="00386093"/>
    <w:rsid w:val="003904A4"/>
    <w:rsid w:val="00391841"/>
    <w:rsid w:val="00391B6D"/>
    <w:rsid w:val="00394922"/>
    <w:rsid w:val="00397A04"/>
    <w:rsid w:val="003A0E32"/>
    <w:rsid w:val="003A2B94"/>
    <w:rsid w:val="003B387D"/>
    <w:rsid w:val="003C0D58"/>
    <w:rsid w:val="003D293C"/>
    <w:rsid w:val="003D4FA3"/>
    <w:rsid w:val="003E0807"/>
    <w:rsid w:val="003E51FB"/>
    <w:rsid w:val="003E6B39"/>
    <w:rsid w:val="003E7CE1"/>
    <w:rsid w:val="003F07E1"/>
    <w:rsid w:val="004030BC"/>
    <w:rsid w:val="00403F7D"/>
    <w:rsid w:val="00406785"/>
    <w:rsid w:val="004079B4"/>
    <w:rsid w:val="00417A56"/>
    <w:rsid w:val="00420957"/>
    <w:rsid w:val="00422A10"/>
    <w:rsid w:val="00430179"/>
    <w:rsid w:val="00433BC7"/>
    <w:rsid w:val="004414B5"/>
    <w:rsid w:val="00444482"/>
    <w:rsid w:val="00444B42"/>
    <w:rsid w:val="00445E44"/>
    <w:rsid w:val="004509E2"/>
    <w:rsid w:val="004515EE"/>
    <w:rsid w:val="004529F0"/>
    <w:rsid w:val="0045319A"/>
    <w:rsid w:val="00460A03"/>
    <w:rsid w:val="00462747"/>
    <w:rsid w:val="00463951"/>
    <w:rsid w:val="00472A11"/>
    <w:rsid w:val="00472AAD"/>
    <w:rsid w:val="00474E33"/>
    <w:rsid w:val="00476803"/>
    <w:rsid w:val="00485BFD"/>
    <w:rsid w:val="004867A2"/>
    <w:rsid w:val="004873F2"/>
    <w:rsid w:val="00490D4C"/>
    <w:rsid w:val="00493A35"/>
    <w:rsid w:val="0049527A"/>
    <w:rsid w:val="004966BF"/>
    <w:rsid w:val="00497984"/>
    <w:rsid w:val="004A5088"/>
    <w:rsid w:val="004C1E3F"/>
    <w:rsid w:val="004C23F4"/>
    <w:rsid w:val="004C3475"/>
    <w:rsid w:val="004C58B6"/>
    <w:rsid w:val="004D16A3"/>
    <w:rsid w:val="004D4AA1"/>
    <w:rsid w:val="004D6D68"/>
    <w:rsid w:val="004E5EDD"/>
    <w:rsid w:val="004F1CC2"/>
    <w:rsid w:val="004F448A"/>
    <w:rsid w:val="004F493D"/>
    <w:rsid w:val="004F584A"/>
    <w:rsid w:val="004F65E8"/>
    <w:rsid w:val="0050005E"/>
    <w:rsid w:val="00502B88"/>
    <w:rsid w:val="005142C4"/>
    <w:rsid w:val="0051509C"/>
    <w:rsid w:val="00524149"/>
    <w:rsid w:val="005272E2"/>
    <w:rsid w:val="0053108F"/>
    <w:rsid w:val="00532ADB"/>
    <w:rsid w:val="00532B56"/>
    <w:rsid w:val="00533E80"/>
    <w:rsid w:val="00534B10"/>
    <w:rsid w:val="00536AA4"/>
    <w:rsid w:val="005446A2"/>
    <w:rsid w:val="00544D2F"/>
    <w:rsid w:val="00551BD8"/>
    <w:rsid w:val="005523E1"/>
    <w:rsid w:val="00556490"/>
    <w:rsid w:val="00581055"/>
    <w:rsid w:val="00584356"/>
    <w:rsid w:val="00584575"/>
    <w:rsid w:val="00591E38"/>
    <w:rsid w:val="005A19C5"/>
    <w:rsid w:val="005A2DB3"/>
    <w:rsid w:val="005A3034"/>
    <w:rsid w:val="005A462D"/>
    <w:rsid w:val="005B253B"/>
    <w:rsid w:val="005B771D"/>
    <w:rsid w:val="005C5D16"/>
    <w:rsid w:val="005D3193"/>
    <w:rsid w:val="005D4A6E"/>
    <w:rsid w:val="005E6979"/>
    <w:rsid w:val="005E75CB"/>
    <w:rsid w:val="005F1E6C"/>
    <w:rsid w:val="005F1EA6"/>
    <w:rsid w:val="005F3880"/>
    <w:rsid w:val="005F5202"/>
    <w:rsid w:val="005F62BD"/>
    <w:rsid w:val="005F6D20"/>
    <w:rsid w:val="006013C1"/>
    <w:rsid w:val="0060669E"/>
    <w:rsid w:val="00610F2E"/>
    <w:rsid w:val="00611399"/>
    <w:rsid w:val="00624C4E"/>
    <w:rsid w:val="00625200"/>
    <w:rsid w:val="00630F32"/>
    <w:rsid w:val="006363A8"/>
    <w:rsid w:val="00636DB7"/>
    <w:rsid w:val="00643D5E"/>
    <w:rsid w:val="00650905"/>
    <w:rsid w:val="006532ED"/>
    <w:rsid w:val="006549F2"/>
    <w:rsid w:val="00655857"/>
    <w:rsid w:val="006567B7"/>
    <w:rsid w:val="00657BFB"/>
    <w:rsid w:val="0066333C"/>
    <w:rsid w:val="006638B0"/>
    <w:rsid w:val="006639B4"/>
    <w:rsid w:val="006650FE"/>
    <w:rsid w:val="00666A90"/>
    <w:rsid w:val="00672D58"/>
    <w:rsid w:val="0067305D"/>
    <w:rsid w:val="00674727"/>
    <w:rsid w:val="00677412"/>
    <w:rsid w:val="00677D9B"/>
    <w:rsid w:val="006867F3"/>
    <w:rsid w:val="00687890"/>
    <w:rsid w:val="00687C5A"/>
    <w:rsid w:val="006901A2"/>
    <w:rsid w:val="00690368"/>
    <w:rsid w:val="0069079C"/>
    <w:rsid w:val="00690B53"/>
    <w:rsid w:val="00695B72"/>
    <w:rsid w:val="006B160A"/>
    <w:rsid w:val="006B48C0"/>
    <w:rsid w:val="006B4E6C"/>
    <w:rsid w:val="006B50B6"/>
    <w:rsid w:val="006D2CA2"/>
    <w:rsid w:val="006D79EA"/>
    <w:rsid w:val="006E5D05"/>
    <w:rsid w:val="006E73F1"/>
    <w:rsid w:val="00701053"/>
    <w:rsid w:val="00701507"/>
    <w:rsid w:val="0070165D"/>
    <w:rsid w:val="007036D6"/>
    <w:rsid w:val="00703C4A"/>
    <w:rsid w:val="00706A29"/>
    <w:rsid w:val="00714021"/>
    <w:rsid w:val="00716A0F"/>
    <w:rsid w:val="00717D45"/>
    <w:rsid w:val="007208F7"/>
    <w:rsid w:val="007218AF"/>
    <w:rsid w:val="007365D1"/>
    <w:rsid w:val="00740E0E"/>
    <w:rsid w:val="00750212"/>
    <w:rsid w:val="00751D2F"/>
    <w:rsid w:val="00754779"/>
    <w:rsid w:val="00754C24"/>
    <w:rsid w:val="0075716D"/>
    <w:rsid w:val="00765F14"/>
    <w:rsid w:val="00770E31"/>
    <w:rsid w:val="00774C39"/>
    <w:rsid w:val="007770F1"/>
    <w:rsid w:val="00777B62"/>
    <w:rsid w:val="007825BE"/>
    <w:rsid w:val="00783FB1"/>
    <w:rsid w:val="00785CDD"/>
    <w:rsid w:val="00791847"/>
    <w:rsid w:val="007925F0"/>
    <w:rsid w:val="007939B3"/>
    <w:rsid w:val="007949E6"/>
    <w:rsid w:val="0079509C"/>
    <w:rsid w:val="00796708"/>
    <w:rsid w:val="007B1B42"/>
    <w:rsid w:val="007C30EB"/>
    <w:rsid w:val="007E063C"/>
    <w:rsid w:val="007E2A4B"/>
    <w:rsid w:val="007E307D"/>
    <w:rsid w:val="007E6A4E"/>
    <w:rsid w:val="007E6C94"/>
    <w:rsid w:val="007F1005"/>
    <w:rsid w:val="007F25E0"/>
    <w:rsid w:val="007F5328"/>
    <w:rsid w:val="00804F5A"/>
    <w:rsid w:val="00810C6D"/>
    <w:rsid w:val="00812887"/>
    <w:rsid w:val="0081517D"/>
    <w:rsid w:val="00826F21"/>
    <w:rsid w:val="00833EB7"/>
    <w:rsid w:val="00834CC8"/>
    <w:rsid w:val="00835E00"/>
    <w:rsid w:val="00837113"/>
    <w:rsid w:val="008414E4"/>
    <w:rsid w:val="008439F4"/>
    <w:rsid w:val="00843E21"/>
    <w:rsid w:val="0084508E"/>
    <w:rsid w:val="00857A8A"/>
    <w:rsid w:val="008630EE"/>
    <w:rsid w:val="00864D13"/>
    <w:rsid w:val="00871CD5"/>
    <w:rsid w:val="008745A2"/>
    <w:rsid w:val="008768A8"/>
    <w:rsid w:val="00877B08"/>
    <w:rsid w:val="0088798F"/>
    <w:rsid w:val="00887E4B"/>
    <w:rsid w:val="008915C8"/>
    <w:rsid w:val="008A36CF"/>
    <w:rsid w:val="008A3BC4"/>
    <w:rsid w:val="008A7013"/>
    <w:rsid w:val="008B403C"/>
    <w:rsid w:val="008B7983"/>
    <w:rsid w:val="008C2511"/>
    <w:rsid w:val="008D026D"/>
    <w:rsid w:val="008D23AB"/>
    <w:rsid w:val="008D4B8B"/>
    <w:rsid w:val="008D5A78"/>
    <w:rsid w:val="008E4F1F"/>
    <w:rsid w:val="008E7B64"/>
    <w:rsid w:val="008F5DCD"/>
    <w:rsid w:val="008F5F7E"/>
    <w:rsid w:val="00900951"/>
    <w:rsid w:val="00902F14"/>
    <w:rsid w:val="009118A6"/>
    <w:rsid w:val="009120DC"/>
    <w:rsid w:val="00915EE0"/>
    <w:rsid w:val="00916909"/>
    <w:rsid w:val="00916EC0"/>
    <w:rsid w:val="00920467"/>
    <w:rsid w:val="00921DE7"/>
    <w:rsid w:val="0093041A"/>
    <w:rsid w:val="00930714"/>
    <w:rsid w:val="00931B03"/>
    <w:rsid w:val="009323B9"/>
    <w:rsid w:val="00932DCE"/>
    <w:rsid w:val="0093327E"/>
    <w:rsid w:val="00934028"/>
    <w:rsid w:val="0093760E"/>
    <w:rsid w:val="00946044"/>
    <w:rsid w:val="0094660B"/>
    <w:rsid w:val="00946A33"/>
    <w:rsid w:val="0095260E"/>
    <w:rsid w:val="009578DD"/>
    <w:rsid w:val="00961124"/>
    <w:rsid w:val="009621B6"/>
    <w:rsid w:val="00974F2D"/>
    <w:rsid w:val="00977524"/>
    <w:rsid w:val="00977E88"/>
    <w:rsid w:val="00984920"/>
    <w:rsid w:val="0099303A"/>
    <w:rsid w:val="009971C2"/>
    <w:rsid w:val="009A1254"/>
    <w:rsid w:val="009A346D"/>
    <w:rsid w:val="009B2FF2"/>
    <w:rsid w:val="009B380C"/>
    <w:rsid w:val="009B4843"/>
    <w:rsid w:val="009B486F"/>
    <w:rsid w:val="009B6543"/>
    <w:rsid w:val="009C199D"/>
    <w:rsid w:val="009C278F"/>
    <w:rsid w:val="009C2B94"/>
    <w:rsid w:val="009C5874"/>
    <w:rsid w:val="009D3B5A"/>
    <w:rsid w:val="009E0C05"/>
    <w:rsid w:val="009E0D1C"/>
    <w:rsid w:val="009E2214"/>
    <w:rsid w:val="009E355A"/>
    <w:rsid w:val="009E48B3"/>
    <w:rsid w:val="009E63E2"/>
    <w:rsid w:val="009F04D2"/>
    <w:rsid w:val="009F05CF"/>
    <w:rsid w:val="009F0F3A"/>
    <w:rsid w:val="009F4FE1"/>
    <w:rsid w:val="00A01D0C"/>
    <w:rsid w:val="00A02A51"/>
    <w:rsid w:val="00A06092"/>
    <w:rsid w:val="00A0643F"/>
    <w:rsid w:val="00A067EE"/>
    <w:rsid w:val="00A10FCE"/>
    <w:rsid w:val="00A16D91"/>
    <w:rsid w:val="00A174CC"/>
    <w:rsid w:val="00A2073D"/>
    <w:rsid w:val="00A20751"/>
    <w:rsid w:val="00A20A0E"/>
    <w:rsid w:val="00A27D22"/>
    <w:rsid w:val="00A27E2D"/>
    <w:rsid w:val="00A31D99"/>
    <w:rsid w:val="00A357BA"/>
    <w:rsid w:val="00A35ADC"/>
    <w:rsid w:val="00A402A3"/>
    <w:rsid w:val="00A53681"/>
    <w:rsid w:val="00A633D4"/>
    <w:rsid w:val="00A6461A"/>
    <w:rsid w:val="00A74B63"/>
    <w:rsid w:val="00A84504"/>
    <w:rsid w:val="00A8672F"/>
    <w:rsid w:val="00A93057"/>
    <w:rsid w:val="00A968B0"/>
    <w:rsid w:val="00AB2672"/>
    <w:rsid w:val="00AB2817"/>
    <w:rsid w:val="00AB43C4"/>
    <w:rsid w:val="00AC32E7"/>
    <w:rsid w:val="00AC3A9F"/>
    <w:rsid w:val="00AC6D2F"/>
    <w:rsid w:val="00AE2745"/>
    <w:rsid w:val="00AE2F64"/>
    <w:rsid w:val="00AF42CB"/>
    <w:rsid w:val="00AF483F"/>
    <w:rsid w:val="00AF5E07"/>
    <w:rsid w:val="00AF5F06"/>
    <w:rsid w:val="00B00A25"/>
    <w:rsid w:val="00B1422A"/>
    <w:rsid w:val="00B1765C"/>
    <w:rsid w:val="00B213C4"/>
    <w:rsid w:val="00B25564"/>
    <w:rsid w:val="00B40C60"/>
    <w:rsid w:val="00B479A9"/>
    <w:rsid w:val="00B52EDF"/>
    <w:rsid w:val="00B71188"/>
    <w:rsid w:val="00B76A41"/>
    <w:rsid w:val="00B81FC8"/>
    <w:rsid w:val="00B87D4C"/>
    <w:rsid w:val="00B93646"/>
    <w:rsid w:val="00BA0B38"/>
    <w:rsid w:val="00BA1DBB"/>
    <w:rsid w:val="00BA44F4"/>
    <w:rsid w:val="00BA4510"/>
    <w:rsid w:val="00BA529A"/>
    <w:rsid w:val="00BB612A"/>
    <w:rsid w:val="00BD499F"/>
    <w:rsid w:val="00BD56DE"/>
    <w:rsid w:val="00BD71CF"/>
    <w:rsid w:val="00BE702F"/>
    <w:rsid w:val="00BF2406"/>
    <w:rsid w:val="00C06E43"/>
    <w:rsid w:val="00C16315"/>
    <w:rsid w:val="00C3091E"/>
    <w:rsid w:val="00C40FF1"/>
    <w:rsid w:val="00C419E2"/>
    <w:rsid w:val="00C5020E"/>
    <w:rsid w:val="00C57452"/>
    <w:rsid w:val="00C61EDF"/>
    <w:rsid w:val="00C6239D"/>
    <w:rsid w:val="00C6594B"/>
    <w:rsid w:val="00C67FFB"/>
    <w:rsid w:val="00C7155E"/>
    <w:rsid w:val="00C71D1E"/>
    <w:rsid w:val="00C71D7D"/>
    <w:rsid w:val="00C74833"/>
    <w:rsid w:val="00C850A0"/>
    <w:rsid w:val="00C85A86"/>
    <w:rsid w:val="00C978F0"/>
    <w:rsid w:val="00CA3339"/>
    <w:rsid w:val="00CA58FE"/>
    <w:rsid w:val="00CB1CB1"/>
    <w:rsid w:val="00CB6BC1"/>
    <w:rsid w:val="00CB6CB8"/>
    <w:rsid w:val="00CC1A68"/>
    <w:rsid w:val="00CC2123"/>
    <w:rsid w:val="00CC524B"/>
    <w:rsid w:val="00CD2BFD"/>
    <w:rsid w:val="00CE5AD6"/>
    <w:rsid w:val="00CE617F"/>
    <w:rsid w:val="00CE78EF"/>
    <w:rsid w:val="00D048F7"/>
    <w:rsid w:val="00D0517E"/>
    <w:rsid w:val="00D140FC"/>
    <w:rsid w:val="00D21D8C"/>
    <w:rsid w:val="00D31357"/>
    <w:rsid w:val="00D33220"/>
    <w:rsid w:val="00D334D1"/>
    <w:rsid w:val="00D408D0"/>
    <w:rsid w:val="00D44C89"/>
    <w:rsid w:val="00D516CD"/>
    <w:rsid w:val="00D65C81"/>
    <w:rsid w:val="00D668E6"/>
    <w:rsid w:val="00D70670"/>
    <w:rsid w:val="00D74D80"/>
    <w:rsid w:val="00D76624"/>
    <w:rsid w:val="00D76AF5"/>
    <w:rsid w:val="00D87570"/>
    <w:rsid w:val="00D904FA"/>
    <w:rsid w:val="00D91CB9"/>
    <w:rsid w:val="00D94015"/>
    <w:rsid w:val="00D97989"/>
    <w:rsid w:val="00D97D8D"/>
    <w:rsid w:val="00DA352E"/>
    <w:rsid w:val="00DC7694"/>
    <w:rsid w:val="00DD1BF6"/>
    <w:rsid w:val="00DD2F9B"/>
    <w:rsid w:val="00DD756D"/>
    <w:rsid w:val="00DE2513"/>
    <w:rsid w:val="00DE26E8"/>
    <w:rsid w:val="00DF6F36"/>
    <w:rsid w:val="00E0084C"/>
    <w:rsid w:val="00E025AB"/>
    <w:rsid w:val="00E02B23"/>
    <w:rsid w:val="00E06F40"/>
    <w:rsid w:val="00E07CE8"/>
    <w:rsid w:val="00E26A07"/>
    <w:rsid w:val="00E32595"/>
    <w:rsid w:val="00E37CFD"/>
    <w:rsid w:val="00E41A26"/>
    <w:rsid w:val="00E46BCB"/>
    <w:rsid w:val="00E51CAF"/>
    <w:rsid w:val="00E57464"/>
    <w:rsid w:val="00E60F04"/>
    <w:rsid w:val="00E62AAC"/>
    <w:rsid w:val="00E67C2F"/>
    <w:rsid w:val="00E67EF5"/>
    <w:rsid w:val="00E804EA"/>
    <w:rsid w:val="00E80A71"/>
    <w:rsid w:val="00E82337"/>
    <w:rsid w:val="00E92499"/>
    <w:rsid w:val="00E949AF"/>
    <w:rsid w:val="00E96077"/>
    <w:rsid w:val="00EA0A06"/>
    <w:rsid w:val="00EA6243"/>
    <w:rsid w:val="00EA74AB"/>
    <w:rsid w:val="00EB13C5"/>
    <w:rsid w:val="00EB3D1B"/>
    <w:rsid w:val="00EC5D59"/>
    <w:rsid w:val="00ED1D89"/>
    <w:rsid w:val="00ED66BC"/>
    <w:rsid w:val="00EF233A"/>
    <w:rsid w:val="00EF303E"/>
    <w:rsid w:val="00EF3629"/>
    <w:rsid w:val="00EF3A40"/>
    <w:rsid w:val="00EF7F78"/>
    <w:rsid w:val="00F01B08"/>
    <w:rsid w:val="00F01C01"/>
    <w:rsid w:val="00F01C4D"/>
    <w:rsid w:val="00F02CB5"/>
    <w:rsid w:val="00F053FA"/>
    <w:rsid w:val="00F10C97"/>
    <w:rsid w:val="00F11C71"/>
    <w:rsid w:val="00F16019"/>
    <w:rsid w:val="00F20D57"/>
    <w:rsid w:val="00F20E68"/>
    <w:rsid w:val="00F22093"/>
    <w:rsid w:val="00F236DF"/>
    <w:rsid w:val="00F34B5E"/>
    <w:rsid w:val="00F43AD5"/>
    <w:rsid w:val="00F4402E"/>
    <w:rsid w:val="00F56DD0"/>
    <w:rsid w:val="00F56FA2"/>
    <w:rsid w:val="00F6491C"/>
    <w:rsid w:val="00F67BBB"/>
    <w:rsid w:val="00F87D92"/>
    <w:rsid w:val="00F90AA7"/>
    <w:rsid w:val="00F92498"/>
    <w:rsid w:val="00F9496B"/>
    <w:rsid w:val="00F970C9"/>
    <w:rsid w:val="00FA06A8"/>
    <w:rsid w:val="00FA3DF5"/>
    <w:rsid w:val="00FA48BB"/>
    <w:rsid w:val="00FA741F"/>
    <w:rsid w:val="00FB4A96"/>
    <w:rsid w:val="00FB4E07"/>
    <w:rsid w:val="00FB755A"/>
    <w:rsid w:val="00FC60A2"/>
    <w:rsid w:val="00FD1871"/>
    <w:rsid w:val="00FD3110"/>
    <w:rsid w:val="00FF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7"/>
    <o:shapelayout v:ext="edit">
      <o:idmap v:ext="edit" data="1"/>
    </o:shapelayout>
  </w:shapeDefaults>
  <w:decimalSymbol w:val="."/>
  <w:listSeparator w:val=","/>
  <w14:docId w14:val="68413B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table" w:styleId="LightShading-Accent2">
    <w:name w:val="Light Shading Accent 2"/>
    <w:aliases w:val="SWA Table Style"/>
    <w:basedOn w:val="TableNormal"/>
    <w:uiPriority w:val="60"/>
    <w:rsid w:val="008E4F1F"/>
    <w:pPr>
      <w:spacing w:before="120" w:after="120" w:line="240" w:lineRule="auto"/>
    </w:pPr>
    <w:rPr>
      <w:sz w:val="22"/>
    </w:rPr>
    <w:tblPr>
      <w:tblStyleRowBandSize w:val="1"/>
      <w:tblStyleColBandSize w:val="1"/>
      <w:tblBorders>
        <w:top w:val="dotted" w:sz="4" w:space="0" w:color="FFFFFF" w:themeColor="background1"/>
        <w:left w:val="dotted" w:sz="4" w:space="0" w:color="FFFFFF" w:themeColor="background1"/>
        <w:bottom w:val="dotted" w:sz="4" w:space="0" w:color="FFFFFF" w:themeColor="background1"/>
        <w:right w:val="dotted" w:sz="4" w:space="0" w:color="FFFFFF" w:themeColor="background1"/>
        <w:insideH w:val="dotted" w:sz="4" w:space="0" w:color="FFFFFF" w:themeColor="background1"/>
        <w:insideV w:val="dotted" w:sz="4" w:space="0" w:color="FFFFFF" w:themeColor="background1"/>
      </w:tblBorders>
    </w:tblPr>
    <w:tcPr>
      <w:shd w:val="clear" w:color="auto" w:fill="FFFFFF" w:themeFill="background1"/>
    </w:tcPr>
    <w:tblStylePr w:type="firstRow">
      <w:pPr>
        <w:wordWrap/>
        <w:spacing w:beforeLines="0" w:before="120" w:beforeAutospacing="0" w:afterLines="0" w:after="120" w:afterAutospacing="0" w:line="240" w:lineRule="auto"/>
      </w:pPr>
      <w:rPr>
        <w:rFonts w:ascii="Arial" w:hAnsi="Arial"/>
        <w:b/>
        <w:bCs/>
        <w:color w:val="FFFFFF" w:themeColor="background1"/>
        <w:sz w:val="22"/>
      </w:rPr>
      <w:tblPr/>
      <w:tcPr>
        <w:shd w:val="clear" w:color="auto" w:fill="AF1E2D"/>
      </w:tcPr>
    </w:tblStylePr>
    <w:tblStylePr w:type="lastRow">
      <w:pPr>
        <w:wordWrap/>
        <w:spacing w:beforeLines="0" w:before="120" w:beforeAutospacing="0" w:afterLines="0" w:after="120" w:afterAutospacing="0" w:line="240" w:lineRule="auto"/>
      </w:pPr>
      <w:rPr>
        <w:rFonts w:ascii="Arial Bold" w:hAnsi="Arial Bold"/>
        <w:b/>
        <w:bCs/>
        <w:color w:val="F8F8F8"/>
        <w:sz w:val="20"/>
      </w:rPr>
      <w:tblPr/>
      <w:tcPr>
        <w:shd w:val="clear" w:color="auto" w:fill="808080" w:themeFill="background1" w:themeFillShade="80"/>
      </w:tcPr>
    </w:tblStylePr>
    <w:tblStylePr w:type="firstCol">
      <w:rPr>
        <w:rFonts w:ascii="Arial" w:hAnsi="Arial"/>
        <w:b/>
        <w:bCs/>
        <w:sz w:val="20"/>
      </w:rPr>
    </w:tblStylePr>
    <w:tblStylePr w:type="lastCol">
      <w:rPr>
        <w:rFonts w:ascii="Arial" w:hAnsi="Arial"/>
        <w:b/>
        <w:bCs/>
        <w:sz w:val="20"/>
      </w:rPr>
      <w:tblPr/>
      <w:tcPr>
        <w:shd w:val="clear" w:color="auto" w:fill="D9D9D9" w:themeFill="background1" w:themeFillShade="D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dashSmallGap" w:sz="4" w:space="0" w:color="FFFFFF" w:themeColor="background1"/>
          <w:left w:val="dashSmallGap" w:sz="4" w:space="0" w:color="FFFFFF" w:themeColor="background1"/>
          <w:bottom w:val="dashSmallGap" w:sz="4" w:space="0" w:color="FFFFFF" w:themeColor="background1"/>
          <w:right w:val="dashSmallGap" w:sz="4" w:space="0" w:color="FFFFFF" w:themeColor="background1"/>
          <w:insideH w:val="dashSmallGap" w:sz="4" w:space="0" w:color="FFFFFF" w:themeColor="background1"/>
          <w:insideV w:val="dashSmallGap" w:sz="4" w:space="0" w:color="FFFFFF" w:themeColor="background1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dashSmallGap" w:sz="4" w:space="0" w:color="FFFFFF" w:themeColor="background1"/>
          <w:left w:val="dashSmallGap" w:sz="4" w:space="0" w:color="FFFFFF" w:themeColor="background1"/>
          <w:bottom w:val="dashSmallGap" w:sz="4" w:space="0" w:color="FFFFFF" w:themeColor="background1"/>
          <w:right w:val="dashSmallGap" w:sz="4" w:space="0" w:color="FFFFFF" w:themeColor="background1"/>
          <w:insideH w:val="dashSmallGap" w:sz="4" w:space="0" w:color="FFFFFF" w:themeColor="background1"/>
          <w:insideV w:val="dashSmallGap" w:sz="4" w:space="0" w:color="FFFFFF" w:themeColor="background1"/>
        </w:tcBorders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777B6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77B62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77B62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77B6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77B62"/>
    <w:rPr>
      <w:b/>
      <w:bCs/>
      <w:szCs w:val="20"/>
    </w:rPr>
  </w:style>
  <w:style w:type="paragraph" w:styleId="ListBullet">
    <w:name w:val="List Bullet"/>
    <w:basedOn w:val="Normal"/>
    <w:uiPriority w:val="99"/>
    <w:unhideWhenUsed/>
    <w:rsid w:val="00462747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703C4A"/>
    <w:pPr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5F520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162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5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07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3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66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2B44F29000D47BD8588D2D5E8DFA6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2592D5-75B8-4D64-A901-EB344ED20046}"/>
      </w:docPartPr>
      <w:docPartBody>
        <w:p w:rsidR="00D21A9F" w:rsidRDefault="00D21A9F">
          <w:pPr>
            <w:pStyle w:val="C2B44F29000D47BD8588D2D5E8DFA6C8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EA32968BF93744FAABC5FC124DBE04B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3D2459-1556-46A4-AC27-2E79E2305DAC}"/>
      </w:docPartPr>
      <w:docPartBody>
        <w:p w:rsidR="00D21A9F" w:rsidRDefault="00D21A9F">
          <w:pPr>
            <w:pStyle w:val="EA32968BF93744FAABC5FC124DBE04BD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CAD2D506A5824AB88D896BC2795BCE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99D28C-1B09-4DD0-B83A-09A1AFF622AA}"/>
      </w:docPartPr>
      <w:docPartBody>
        <w:p w:rsidR="00D21A9F" w:rsidRDefault="00D21A9F">
          <w:pPr>
            <w:pStyle w:val="CAD2D506A5824AB88D896BC2795BCEDE"/>
          </w:pPr>
          <w:r w:rsidRPr="001D56F0">
            <w:rPr>
              <w:rStyle w:val="PlaceholderText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  <w:docPart>
      <w:docPartPr>
        <w:name w:val="7B3EF96622DF4C398122843D1857D7A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CCA9208-152A-48A4-9692-A7C9CA7406F2}"/>
      </w:docPartPr>
      <w:docPartBody>
        <w:p w:rsidR="009F2EBC" w:rsidRDefault="006F0B40" w:rsidP="006F0B40">
          <w:pPr>
            <w:pStyle w:val="7B3EF96622DF4C398122843D1857D7A6"/>
          </w:pPr>
          <w:r>
            <w:rPr>
              <w:rStyle w:val="PlaceholderText"/>
            </w:rPr>
            <w:t>Has this value changed?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altName w:val="Arial"/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2A77CA"/>
    <w:rsid w:val="0034008D"/>
    <w:rsid w:val="00347D16"/>
    <w:rsid w:val="003E0149"/>
    <w:rsid w:val="00630F32"/>
    <w:rsid w:val="006F0B40"/>
    <w:rsid w:val="009F2EBC"/>
    <w:rsid w:val="00B44BEC"/>
    <w:rsid w:val="00C62A31"/>
    <w:rsid w:val="00D21A9F"/>
    <w:rsid w:val="00FB4A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F0B40"/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C2B44F29000D47BD8588D2D5E8DFA6C8">
    <w:name w:val="C2B44F29000D47BD8588D2D5E8DFA6C8"/>
  </w:style>
  <w:style w:type="paragraph" w:customStyle="1" w:styleId="EA32968BF93744FAABC5FC124DBE04BD">
    <w:name w:val="EA32968BF93744FAABC5FC124DBE04BD"/>
  </w:style>
  <w:style w:type="paragraph" w:customStyle="1" w:styleId="0168237C60E6479CAFA3D9A1A8409B78">
    <w:name w:val="0168237C60E6479CAFA3D9A1A8409B78"/>
  </w:style>
  <w:style w:type="paragraph" w:customStyle="1" w:styleId="CAD2D506A5824AB88D896BC2795BCEDE">
    <w:name w:val="CAD2D506A5824AB88D896BC2795BCEDE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2BF891C0AB704CDAB9BC6E80D556473F">
    <w:name w:val="2BF891C0AB704CDAB9BC6E80D556473F"/>
  </w:style>
  <w:style w:type="paragraph" w:customStyle="1" w:styleId="7B3EF96622DF4C398122843D1857D7A6">
    <w:name w:val="7B3EF96622DF4C398122843D1857D7A6"/>
    <w:rsid w:val="006F0B4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EDF4CCE-DC09-4CAF-BE75-28F4CF57B18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509f21-ed56-4150-9955-96be669e5f2d"/>
    <ds:schemaRef ds:uri="1c567317-0c4d-4a62-8516-c22afd1b53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D31850A-C8E9-48BF-8B69-64516BEEF98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5A53A0B-0362-4DB2-ADAF-6EB9C21ADBF9}">
  <ds:schemaRefs>
    <ds:schemaRef ds:uri="http://purl.org/dc/elements/1.1/"/>
    <ds:schemaRef ds:uri="http://schemas.microsoft.com/office/2006/metadata/properties"/>
    <ds:schemaRef ds:uri="http://www.w3.org/XML/1998/namespace"/>
    <ds:schemaRef ds:uri="http://schemas.microsoft.com/office/2006/documentManagement/types"/>
    <ds:schemaRef ds:uri="http://purl.org/dc/dcmitype/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1c567317-0c4d-4a62-8516-c22afd1b5354"/>
    <ds:schemaRef ds:uri="a0509f21-ed56-4150-9955-96be669e5f2d"/>
  </ds:schemaRefs>
</ds:datastoreItem>
</file>

<file path=customXml/itemProps4.xml><?xml version="1.0" encoding="utf-8"?>
<ds:datastoreItem xmlns:ds="http://schemas.openxmlformats.org/officeDocument/2006/customXml" ds:itemID="{37825F3E-1359-4752-A4E9-608557A63CF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1266</Words>
  <Characters>7221</Characters>
  <Application>Microsoft Office Word</Application>
  <DocSecurity>0</DocSecurity>
  <Lines>60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2020-03-13T04:06:00Z</dcterms:created>
  <dcterms:modified xsi:type="dcterms:W3CDTF">2026-01-09T01:44:00Z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2026-01-07T01:07:40Z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5df073a5-6a40-4667-842a-4bd5fad75037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  <property fmtid="{D5CDD505-2E9C-101B-9397-08002B2CF9AE}" pid="11" name="MediaServiceImageTags">
    <vt:lpwstr/>
  </property>
</Properties>
</file>