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77617F6" w14:textId="23662814" w:rsidR="00BD499F" w:rsidRPr="004C23F4" w:rsidRDefault="00BB46EF" w:rsidP="00BB46EF">
          <w:pPr>
            <w:pStyle w:val="Heading1"/>
            <w:jc w:val="center"/>
            <w:rPr>
              <w:rFonts w:ascii="Arial" w:hAnsi="Arial" w:cs="Arial"/>
            </w:rPr>
          </w:pPr>
          <w:r w:rsidRPr="00BB46EF">
            <w:rPr>
              <w:rFonts w:ascii="Arial" w:hAnsi="Arial" w:cs="Arial"/>
            </w:rPr>
            <w:t>N-Methyl aniline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3"/>
        <w:gridCol w:w="5053"/>
      </w:tblGrid>
      <w:tr w:rsidR="00F43AD5" w:rsidRPr="004C23F4" w14:paraId="14F44087" w14:textId="77777777" w:rsidTr="00B76A41">
        <w:trPr>
          <w:cantSplit/>
          <w:tblHeader/>
        </w:trPr>
        <w:tc>
          <w:tcPr>
            <w:tcW w:w="4077" w:type="dxa"/>
          </w:tcPr>
          <w:p w14:paraId="1882010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E6F0A8A" w14:textId="1C894D2A" w:rsidR="00F43AD5" w:rsidRPr="00717D45" w:rsidRDefault="00FB4A12" w:rsidP="00B76A41">
            <w:pPr>
              <w:pStyle w:val="Tablefont"/>
            </w:pPr>
            <w:r w:rsidRPr="00FB4A12">
              <w:t>100-61-8</w:t>
            </w:r>
          </w:p>
        </w:tc>
      </w:tr>
      <w:tr w:rsidR="00F43AD5" w:rsidRPr="004C23F4" w14:paraId="24B1E2A6" w14:textId="77777777" w:rsidTr="00B76A41">
        <w:trPr>
          <w:cantSplit/>
        </w:trPr>
        <w:tc>
          <w:tcPr>
            <w:tcW w:w="4077" w:type="dxa"/>
          </w:tcPr>
          <w:p w14:paraId="795C403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317D777" w14:textId="3EC9721A" w:rsidR="00F43AD5" w:rsidRPr="00717D45" w:rsidRDefault="00FB4A12" w:rsidP="00B76A41">
            <w:pPr>
              <w:pStyle w:val="Tablefont"/>
            </w:pPr>
            <w:r>
              <w:t>N-methylaminobenzene, monomethyl aniline</w:t>
            </w:r>
          </w:p>
        </w:tc>
      </w:tr>
      <w:tr w:rsidR="00F43AD5" w:rsidRPr="004C23F4" w14:paraId="12210076" w14:textId="77777777" w:rsidTr="00B76A41">
        <w:trPr>
          <w:cantSplit/>
        </w:trPr>
        <w:tc>
          <w:tcPr>
            <w:tcW w:w="4077" w:type="dxa"/>
          </w:tcPr>
          <w:p w14:paraId="5750BBC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F412B25" w14:textId="69A3608F" w:rsidR="00F43AD5" w:rsidRPr="00717D45" w:rsidRDefault="00FB4A12" w:rsidP="00B76A41">
            <w:pPr>
              <w:pStyle w:val="Tablefont"/>
            </w:pPr>
            <w:r>
              <w:t>C</w:t>
            </w:r>
            <w:r w:rsidRPr="00FB4A12">
              <w:rPr>
                <w:vertAlign w:val="subscript"/>
              </w:rPr>
              <w:t>7</w:t>
            </w:r>
            <w:r>
              <w:t>H</w:t>
            </w:r>
            <w:r w:rsidRPr="00FB4A12">
              <w:rPr>
                <w:vertAlign w:val="subscript"/>
              </w:rPr>
              <w:t>9</w:t>
            </w:r>
            <w:r>
              <w:t>N</w:t>
            </w:r>
          </w:p>
        </w:tc>
      </w:tr>
      <w:tr w:rsidR="00F43AD5" w:rsidRPr="004C23F4" w14:paraId="3B4E96AA" w14:textId="77777777" w:rsidTr="00B76A41">
        <w:trPr>
          <w:cantSplit/>
        </w:trPr>
        <w:tc>
          <w:tcPr>
            <w:tcW w:w="4077" w:type="dxa"/>
          </w:tcPr>
          <w:p w14:paraId="171B766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39AF8FC" w14:textId="0D3239BE" w:rsidR="00F43AD5" w:rsidRPr="00B40C60" w:rsidRDefault="00FB4A12" w:rsidP="00B76A41">
            <w:pPr>
              <w:pStyle w:val="Tablerowheading"/>
              <w:rPr>
                <w:b w:val="0"/>
              </w:rPr>
            </w:pPr>
            <w:r w:rsidRPr="00FB4A12">
              <w:rPr>
                <w:b w:val="0"/>
              </w:rPr>
              <w:t>—</w:t>
            </w:r>
          </w:p>
        </w:tc>
      </w:tr>
    </w:tbl>
    <w:p w14:paraId="50F6DDA9" w14:textId="4E6F6EC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66605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ED84C3C" w14:textId="77777777" w:rsidTr="00475EB9">
        <w:trPr>
          <w:cantSplit/>
          <w:tblHeader/>
        </w:trPr>
        <w:tc>
          <w:tcPr>
            <w:tcW w:w="4005" w:type="dxa"/>
            <w:vAlign w:val="center"/>
          </w:tcPr>
          <w:p w14:paraId="29A2776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8CCAB66" w14:textId="2B1E0CC8" w:rsidR="002C7AFE" w:rsidRPr="00E36252" w:rsidRDefault="00E362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</w:t>
            </w:r>
            <w:r w:rsidR="00266605">
              <w:rPr>
                <w:b/>
              </w:rPr>
              <w:t>5</w:t>
            </w:r>
            <w:r>
              <w:rPr>
                <w:b/>
              </w:rPr>
              <w:t xml:space="preserve"> ppm (</w:t>
            </w:r>
            <w:r w:rsidR="00266605">
              <w:rPr>
                <w:b/>
              </w:rPr>
              <w:t>2.2</w:t>
            </w:r>
            <w:r>
              <w:rPr>
                <w:b/>
              </w:rPr>
              <w:t xml:space="preserve">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6C3A90E" w14:textId="77777777" w:rsidTr="00475EB9">
        <w:trPr>
          <w:cantSplit/>
        </w:trPr>
        <w:tc>
          <w:tcPr>
            <w:tcW w:w="4005" w:type="dxa"/>
            <w:vAlign w:val="center"/>
          </w:tcPr>
          <w:p w14:paraId="0AF16E0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B166F95" w14:textId="037F5FCF" w:rsidR="002C7AFE" w:rsidRPr="00EB3D1B" w:rsidRDefault="00E36252" w:rsidP="00017C82">
            <w:pPr>
              <w:pStyle w:val="Tablefont"/>
              <w:rPr>
                <w:b/>
              </w:rPr>
            </w:pPr>
            <w:r w:rsidRPr="00FB4A12">
              <w:t>—</w:t>
            </w:r>
          </w:p>
        </w:tc>
      </w:tr>
      <w:tr w:rsidR="002C7AFE" w:rsidRPr="004C23F4" w14:paraId="7230F0B4" w14:textId="77777777" w:rsidTr="00475EB9">
        <w:trPr>
          <w:cantSplit/>
        </w:trPr>
        <w:tc>
          <w:tcPr>
            <w:tcW w:w="4005" w:type="dxa"/>
            <w:vAlign w:val="center"/>
          </w:tcPr>
          <w:p w14:paraId="2B3956B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1C0F2D7" w14:textId="5FC8B5FA" w:rsidR="002C7AFE" w:rsidRPr="00EB3D1B" w:rsidRDefault="00E36252" w:rsidP="00017C82">
            <w:pPr>
              <w:pStyle w:val="Tablefont"/>
              <w:rPr>
                <w:b/>
              </w:rPr>
            </w:pPr>
            <w:r w:rsidRPr="00FB4A12">
              <w:t>—</w:t>
            </w:r>
          </w:p>
        </w:tc>
      </w:tr>
      <w:tr w:rsidR="002C7AFE" w:rsidRPr="004C23F4" w14:paraId="67B638E9" w14:textId="77777777" w:rsidTr="00475EB9">
        <w:trPr>
          <w:cantSplit/>
        </w:trPr>
        <w:tc>
          <w:tcPr>
            <w:tcW w:w="4005" w:type="dxa"/>
          </w:tcPr>
          <w:p w14:paraId="5A8F17F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E97FC48" w14:textId="38964460" w:rsidR="002C7AFE" w:rsidRPr="00EB3D1B" w:rsidRDefault="00E3625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3DE1ABB6" w14:textId="77777777" w:rsidTr="00475EB9">
        <w:trPr>
          <w:cantSplit/>
        </w:trPr>
        <w:tc>
          <w:tcPr>
            <w:tcW w:w="4005" w:type="dxa"/>
            <w:vAlign w:val="center"/>
          </w:tcPr>
          <w:p w14:paraId="54B22BE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24BB814" w14:textId="0FB6256A" w:rsidR="002C7AFE" w:rsidRPr="00EB3D1B" w:rsidRDefault="00FB4A1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</w:p>
        </w:tc>
      </w:tr>
      <w:tr w:rsidR="00475EB9" w:rsidRPr="004C23F4" w14:paraId="2DBD3A88" w14:textId="77777777" w:rsidTr="00D221F3">
        <w:trPr>
          <w:cantSplit/>
        </w:trPr>
        <w:tc>
          <w:tcPr>
            <w:tcW w:w="9026" w:type="dxa"/>
            <w:gridSpan w:val="2"/>
            <w:vAlign w:val="center"/>
          </w:tcPr>
          <w:p w14:paraId="3220C1F2" w14:textId="7CAEEAFA" w:rsidR="00475EB9" w:rsidRPr="00EB3D1B" w:rsidRDefault="00475EB9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9DC6940153D45F99A78B7E3E5D4332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  <w:r w:rsidDel="00475EB9">
              <w:t xml:space="preserve"> </w:t>
            </w:r>
          </w:p>
        </w:tc>
      </w:tr>
    </w:tbl>
    <w:p w14:paraId="4F7B302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3F3EDBD" w14:textId="4E6AFC8E" w:rsidR="006639B4" w:rsidRDefault="007A28DA" w:rsidP="000C139A">
      <w:r>
        <w:rPr>
          <w:rFonts w:cs="Arial"/>
        </w:rPr>
        <w:t>A TWA of 0.</w:t>
      </w:r>
      <w:r w:rsidR="00266605">
        <w:rPr>
          <w:rFonts w:cs="Arial"/>
        </w:rPr>
        <w:t>5</w:t>
      </w:r>
      <w:r>
        <w:rPr>
          <w:rFonts w:cs="Arial"/>
        </w:rPr>
        <w:t xml:space="preserve"> ppm (</w:t>
      </w:r>
      <w:r w:rsidR="00266605">
        <w:rPr>
          <w:rFonts w:cs="Arial"/>
        </w:rPr>
        <w:t>2.2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6C0B1D">
        <w:t xml:space="preserve">methaemoglobin formation and related effects in exposed workers. </w:t>
      </w:r>
    </w:p>
    <w:p w14:paraId="03C50820" w14:textId="77777777" w:rsidR="00042F9E" w:rsidRDefault="00042F9E" w:rsidP="00042F9E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7FF438C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B2E62AD" w14:textId="4659798A" w:rsidR="000B1E7C" w:rsidRDefault="006C0B1D" w:rsidP="006639B4">
      <w:r>
        <w:t>N-</w:t>
      </w:r>
      <w:r w:rsidR="000B1E7C">
        <w:t>m</w:t>
      </w:r>
      <w:r>
        <w:t xml:space="preserve">ethylaniline is used as an acid acceptor, a solvent, and in organic syntheses. </w:t>
      </w:r>
    </w:p>
    <w:p w14:paraId="57326728" w14:textId="418C81CB" w:rsidR="006639B4" w:rsidRDefault="006C0B1D" w:rsidP="006639B4">
      <w:r>
        <w:t>The critical effect</w:t>
      </w:r>
      <w:r w:rsidR="000B1E7C">
        <w:t xml:space="preserve"> of exposure</w:t>
      </w:r>
      <w:r>
        <w:t xml:space="preserve"> is methaemoglobin formation. Very limited data exists in humans and animals. The toxicology </w:t>
      </w:r>
      <w:r w:rsidR="000B1E7C">
        <w:t xml:space="preserve">profile </w:t>
      </w:r>
      <w:r>
        <w:t>is likely</w:t>
      </w:r>
      <w:r w:rsidR="00C760DA">
        <w:t xml:space="preserve"> to be</w:t>
      </w:r>
      <w:r>
        <w:t xml:space="preserve"> closely related to that of aniline (ACGIH, 2018; SCOEL, 2012).</w:t>
      </w:r>
    </w:p>
    <w:p w14:paraId="62FB1024" w14:textId="1C20257A" w:rsidR="006C0B1D" w:rsidRDefault="00C760DA" w:rsidP="006639B4">
      <w:r>
        <w:t>ACGIH, (2018) report</w:t>
      </w:r>
      <w:r w:rsidR="006C0B1D">
        <w:t xml:space="preserve"> a safety limit of 2 ppm based on a study in</w:t>
      </w:r>
      <w:r w:rsidR="007C7872">
        <w:t xml:space="preserve"> animals. A LOAEC of 2.9 </w:t>
      </w:r>
      <w:r w:rsidR="006C0B1D">
        <w:t xml:space="preserve">ppm </w:t>
      </w:r>
      <w:r w:rsidR="000B1E7C">
        <w:t>i</w:t>
      </w:r>
      <w:r w:rsidR="006C0B1D">
        <w:t xml:space="preserve">s reported in rats for reduced haemoglobin values, increased reticulocyte counts and the increased accumulation of brown pigment in the spleen (DFG, </w:t>
      </w:r>
      <w:r w:rsidR="00682605">
        <w:t>2017</w:t>
      </w:r>
      <w:r w:rsidR="006C0B1D">
        <w:t>). Animal data indicate that N</w:t>
      </w:r>
      <w:r w:rsidR="00F20BD6">
        <w:noBreakHyphen/>
      </w:r>
      <w:r w:rsidR="006C0B1D">
        <w:t>methylaniline is at least twice more potent at inducing methaemoglobin than aniline (DFG, 1987; SCOEL, 2014). Both DFG (</w:t>
      </w:r>
      <w:r w:rsidR="00682605">
        <w:t>2017</w:t>
      </w:r>
      <w:r w:rsidR="006C0B1D">
        <w:t xml:space="preserve">) and SCOEL (2014) </w:t>
      </w:r>
      <w:r>
        <w:t>base</w:t>
      </w:r>
      <w:r w:rsidR="006C0B1D">
        <w:t xml:space="preserve"> </w:t>
      </w:r>
      <w:r w:rsidR="00475EB9">
        <w:t>OELs</w:t>
      </w:r>
      <w:r w:rsidR="00535A2A">
        <w:t xml:space="preserve"> on </w:t>
      </w:r>
      <w:r w:rsidR="006C0B1D">
        <w:t>aniline</w:t>
      </w:r>
      <w:r w:rsidR="00D453F8">
        <w:t xml:space="preserve"> but derive different values</w:t>
      </w:r>
      <w:r w:rsidR="005401A1">
        <w:t xml:space="preserve">. </w:t>
      </w:r>
      <w:r w:rsidR="006C0B1D">
        <w:t xml:space="preserve">Animal studies clearly indicate that </w:t>
      </w:r>
      <w:r w:rsidR="000B1E7C">
        <w:t>N-methylaniline</w:t>
      </w:r>
      <w:r w:rsidR="006C0B1D">
        <w:t xml:space="preserve"> is well absorbed through intact skin (ACGIH, 2018, DFG, </w:t>
      </w:r>
      <w:r w:rsidR="00682605">
        <w:t>2017</w:t>
      </w:r>
      <w:r w:rsidR="006C0B1D">
        <w:t>; SCOEL, 2014).</w:t>
      </w:r>
    </w:p>
    <w:p w14:paraId="3CBBECC3" w14:textId="6E7D1BDD" w:rsidR="00DC16B4" w:rsidRDefault="00D453F8" w:rsidP="006639B4">
      <w:r>
        <w:t>Given</w:t>
      </w:r>
      <w:r w:rsidR="00C760DA">
        <w:t xml:space="preserve"> the</w:t>
      </w:r>
      <w:r>
        <w:t xml:space="preserve"> limited data and uncertainties </w:t>
      </w:r>
      <w:r w:rsidR="00432BBC">
        <w:t xml:space="preserve">that </w:t>
      </w:r>
      <w:r>
        <w:t>surround analogy with aniline, the</w:t>
      </w:r>
      <w:r w:rsidRPr="00E36252">
        <w:t xml:space="preserve"> </w:t>
      </w:r>
      <w:r w:rsidR="005401A1">
        <w:t xml:space="preserve">SWA </w:t>
      </w:r>
      <w:r w:rsidR="00E36252" w:rsidRPr="00E36252">
        <w:t xml:space="preserve">TWA of </w:t>
      </w:r>
      <w:r w:rsidR="00E36252">
        <w:t>0.</w:t>
      </w:r>
      <w:r>
        <w:t>5</w:t>
      </w:r>
      <w:r w:rsidR="00E36252" w:rsidRPr="00E36252">
        <w:t xml:space="preserve"> </w:t>
      </w:r>
      <w:r w:rsidR="00E36252" w:rsidRPr="007C7872">
        <w:t>ppm</w:t>
      </w:r>
      <w:r w:rsidR="007C7872" w:rsidRPr="007C7872">
        <w:t xml:space="preserve"> (</w:t>
      </w:r>
      <w:r>
        <w:t>2.2</w:t>
      </w:r>
      <w:r w:rsidR="001C4061">
        <w:t> </w:t>
      </w:r>
      <w:r w:rsidR="007C7872" w:rsidRPr="007C7872">
        <w:t>mg/m</w:t>
      </w:r>
      <w:r w:rsidR="007C7872" w:rsidRPr="007C7872">
        <w:rPr>
          <w:vertAlign w:val="superscript"/>
        </w:rPr>
        <w:t>3</w:t>
      </w:r>
      <w:r w:rsidR="007C7872" w:rsidRPr="007C7872">
        <w:t>)</w:t>
      </w:r>
      <w:r w:rsidR="00E36252" w:rsidRPr="00E36252">
        <w:t xml:space="preserve"> is recommended </w:t>
      </w:r>
      <w:r>
        <w:t>to be retained</w:t>
      </w:r>
      <w:r w:rsidR="00DC16B4">
        <w:t xml:space="preserve">. </w:t>
      </w:r>
      <w:r w:rsidR="00E36252" w:rsidRPr="00E36252">
        <w:t xml:space="preserve">This TWA is cited to be protective of </w:t>
      </w:r>
      <w:r w:rsidR="00E36252">
        <w:t>methaemoglobin formation in exposed workers.</w:t>
      </w:r>
      <w:r w:rsidR="00DC16B4">
        <w:t xml:space="preserve"> </w:t>
      </w:r>
      <w:r w:rsidR="00E36252">
        <w:t>Insufficient data exists regarding short-term exposures to support the recommendation of a STEL</w:t>
      </w:r>
      <w:r>
        <w:t xml:space="preserve"> as recommended by SCOEL</w:t>
      </w:r>
      <w:r w:rsidR="00DC16B4">
        <w:t xml:space="preserve">. </w:t>
      </w:r>
    </w:p>
    <w:p w14:paraId="0F88D2B9" w14:textId="1C878FB1" w:rsidR="00DC16B4" w:rsidRPr="00DC16B4" w:rsidRDefault="00D453F8" w:rsidP="00DC16B4">
      <w:pPr>
        <w:rPr>
          <w:lang w:eastAsia="en-AU"/>
        </w:rPr>
      </w:pPr>
      <w:r>
        <w:t xml:space="preserve">Noting the uncertainties in the data it is recommended that an investigation of additional data sources is undertaken at the next scheduled review. </w:t>
      </w:r>
    </w:p>
    <w:p w14:paraId="43AC4CF6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1E0F17C6" w14:textId="240C9BA6" w:rsidR="00FB4A12" w:rsidRPr="00FB4A12" w:rsidRDefault="00FB4A12" w:rsidP="00FB4A12">
      <w:pPr>
        <w:rPr>
          <w:rFonts w:cs="Arial"/>
        </w:rPr>
      </w:pPr>
      <w:r w:rsidRPr="00FB4A12">
        <w:rPr>
          <w:rFonts w:cs="Arial"/>
        </w:rPr>
        <w:t xml:space="preserve">Not classified as a carcinogen according to the Globally Harmonized System of Classification and Labelling </w:t>
      </w:r>
      <w:r w:rsidR="00475EB9" w:rsidRPr="00FB4A12">
        <w:rPr>
          <w:rFonts w:cs="Arial"/>
        </w:rPr>
        <w:t>o</w:t>
      </w:r>
      <w:r w:rsidR="00475EB9">
        <w:rPr>
          <w:rFonts w:cs="Arial"/>
        </w:rPr>
        <w:t>f</w:t>
      </w:r>
      <w:r w:rsidR="00475EB9" w:rsidRPr="00FB4A12">
        <w:rPr>
          <w:rFonts w:cs="Arial"/>
        </w:rPr>
        <w:t xml:space="preserve"> </w:t>
      </w:r>
      <w:r w:rsidRPr="00FB4A12">
        <w:rPr>
          <w:rFonts w:cs="Arial"/>
        </w:rPr>
        <w:t xml:space="preserve">Chemicals (GHS). </w:t>
      </w:r>
    </w:p>
    <w:p w14:paraId="440FD5E7" w14:textId="6F1521E7" w:rsidR="00FB4A12" w:rsidRPr="00FB4A12" w:rsidRDefault="00FB4A12" w:rsidP="00FB4A12">
      <w:pPr>
        <w:rPr>
          <w:rFonts w:cs="Arial"/>
        </w:rPr>
      </w:pPr>
      <w:r w:rsidRPr="00FB4A12">
        <w:rPr>
          <w:rFonts w:cs="Arial"/>
        </w:rPr>
        <w:t xml:space="preserve">Not classified as a skin </w:t>
      </w:r>
      <w:r w:rsidR="00475EB9" w:rsidRPr="00FB4A12">
        <w:rPr>
          <w:rFonts w:cs="Arial"/>
        </w:rPr>
        <w:t xml:space="preserve">sensitiser </w:t>
      </w:r>
      <w:r w:rsidRPr="00FB4A12">
        <w:rPr>
          <w:rFonts w:cs="Arial"/>
        </w:rPr>
        <w:t>or respiratory sensitiser according to the GHS.</w:t>
      </w:r>
    </w:p>
    <w:p w14:paraId="7525A9A9" w14:textId="1F840B37" w:rsidR="005E6979" w:rsidRPr="004C23F4" w:rsidRDefault="007A28DA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A skin notation is recommended based on evidence of dermal absorption in animals and the potential to contribute to the systemic effects</w:t>
      </w:r>
      <w:r w:rsidR="00535A2A">
        <w:rPr>
          <w:rFonts w:cs="Arial"/>
        </w:rPr>
        <w:t>.</w:t>
      </w:r>
    </w:p>
    <w:p w14:paraId="40EABB4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82012A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2170FC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17935F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C3976A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9C52C18" w14:textId="11C81A8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B4A1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B4A12">
                  <w:t>TWA: 0.5 ppm (2.2 mg/m</w:t>
                </w:r>
                <w:r w:rsidR="00FB4A12" w:rsidRPr="00F878C4">
                  <w:rPr>
                    <w:vertAlign w:val="superscript"/>
                  </w:rPr>
                  <w:t>3</w:t>
                </w:r>
                <w:r w:rsidR="00FB4A12">
                  <w:t>)</w:t>
                </w:r>
              </w:sdtContent>
            </w:sdt>
          </w:p>
        </w:tc>
      </w:tr>
      <w:tr w:rsidR="00C978F0" w:rsidRPr="00DA352E" w14:paraId="72F19A5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89A7A8" w14:textId="41127B8B" w:rsidR="00C978F0" w:rsidRPr="00DA352E" w:rsidRDefault="007A28DA" w:rsidP="003365A5">
            <w:pPr>
              <w:pStyle w:val="Tabletextprimarysource"/>
            </w:pPr>
            <w:r w:rsidRPr="007A28DA">
              <w:t>Absorption through the skin may be a significant source of exposure</w:t>
            </w:r>
            <w:r w:rsidR="00535A2A">
              <w:t>.</w:t>
            </w:r>
          </w:p>
        </w:tc>
      </w:tr>
      <w:tr w:rsidR="00C978F0" w:rsidRPr="00DA352E" w14:paraId="53EDF64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BAF24B" w14:textId="2801966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B4A1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B4A12">
                  <w:t xml:space="preserve">TLV-TWA: </w:t>
                </w:r>
                <w:r w:rsidR="00F878C4">
                  <w:t>0.5 ppm (2.2 mg/m</w:t>
                </w:r>
                <w:r w:rsidR="00F878C4" w:rsidRPr="00F878C4">
                  <w:rPr>
                    <w:vertAlign w:val="superscript"/>
                  </w:rPr>
                  <w:t>3</w:t>
                </w:r>
                <w:r w:rsidR="00F878C4">
                  <w:t>)</w:t>
                </w:r>
              </w:sdtContent>
            </w:sdt>
          </w:p>
        </w:tc>
      </w:tr>
      <w:tr w:rsidR="00C978F0" w:rsidRPr="00DA352E" w14:paraId="284F14E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064AE49" w14:textId="77777777" w:rsidR="00C978F0" w:rsidRDefault="00864E8D" w:rsidP="003365A5">
            <w:pPr>
              <w:pStyle w:val="Tabletextprimarysource"/>
            </w:pPr>
            <w:r>
              <w:t>TLV-TWA recommended to minimise the potential for the induction of anoxia and cyanosis due to the formation of methemoglobinemia.</w:t>
            </w:r>
          </w:p>
          <w:p w14:paraId="52685447" w14:textId="77777777" w:rsidR="00864E8D" w:rsidRDefault="00864E8D" w:rsidP="003365A5">
            <w:pPr>
              <w:pStyle w:val="Tabletextprimarysource"/>
            </w:pPr>
            <w:r>
              <w:t>Summary of data:</w:t>
            </w:r>
          </w:p>
          <w:p w14:paraId="49DDF321" w14:textId="2FD8E8A1" w:rsidR="00864E8D" w:rsidRDefault="00864E8D" w:rsidP="000B1E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Clinical toxicology resembles aniline</w:t>
            </w:r>
            <w:r w:rsidR="00535A2A">
              <w:t>.</w:t>
            </w:r>
          </w:p>
          <w:p w14:paraId="65231C9F" w14:textId="77777777" w:rsidR="00864E8D" w:rsidRDefault="00864E8D" w:rsidP="00864E8D">
            <w:pPr>
              <w:pStyle w:val="Tabletextprimarysource"/>
            </w:pPr>
            <w:r>
              <w:t>Human data:</w:t>
            </w:r>
          </w:p>
          <w:p w14:paraId="3925E3F4" w14:textId="24E959CB" w:rsidR="00864E8D" w:rsidRDefault="00864E8D" w:rsidP="000B1E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toxicological data in humans available</w:t>
            </w:r>
          </w:p>
          <w:p w14:paraId="09DB7959" w14:textId="05C54FD1" w:rsidR="00864E8D" w:rsidRDefault="00864E8D" w:rsidP="000B1E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reports of human intoxication from exposure to N-methylaniline; based on similarity to aniline, overexposure expected to induce methemoglobinemia with signs of cyanosis in the lips, nose, and earlobes, weakness, dizziness and severe headache</w:t>
            </w:r>
            <w:r w:rsidR="00535A2A">
              <w:t>.</w:t>
            </w:r>
          </w:p>
          <w:p w14:paraId="28BC5DD7" w14:textId="77777777" w:rsidR="00864E8D" w:rsidRDefault="00864E8D" w:rsidP="00864E8D">
            <w:pPr>
              <w:pStyle w:val="Tabletextprimarysource"/>
            </w:pPr>
            <w:r>
              <w:t>Animal data:</w:t>
            </w:r>
          </w:p>
          <w:p w14:paraId="557E5523" w14:textId="38CCF6CB" w:rsidR="00864E8D" w:rsidRDefault="00864E8D" w:rsidP="000B1E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3,000 mg/kg on intact rabbit skin </w:t>
            </w:r>
            <w:r w:rsidR="000B1E7C">
              <w:t xml:space="preserve">resulted in </w:t>
            </w:r>
            <w:r>
              <w:t>death in 1 h or more; no further information</w:t>
            </w:r>
          </w:p>
          <w:p w14:paraId="2EAD1D63" w14:textId="77777777" w:rsidR="00611028" w:rsidRDefault="00611028" w:rsidP="000B1E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One study reported the following:</w:t>
            </w:r>
          </w:p>
          <w:p w14:paraId="6DF279DF" w14:textId="1C254188" w:rsidR="00611028" w:rsidRDefault="00611028" w:rsidP="000B1E7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</w:t>
            </w:r>
            <w:r w:rsidR="00864E8D">
              <w:t xml:space="preserve">eaths </w:t>
            </w:r>
            <w:r w:rsidR="000B1E7C">
              <w:t xml:space="preserve">in </w:t>
            </w:r>
            <w:r w:rsidR="00864E8D">
              <w:t xml:space="preserve">rabbits, guinea pigs and rats exposed </w:t>
            </w:r>
            <w:r w:rsidR="00864E8D">
              <w:rPr>
                <w:rFonts w:cs="Arial"/>
              </w:rPr>
              <w:t>≤</w:t>
            </w:r>
            <w:r w:rsidR="00864E8D">
              <w:t>130 times, 7 h inhalation exposures at 7.6 ppm</w:t>
            </w:r>
            <w:r>
              <w:t xml:space="preserve">; </w:t>
            </w:r>
          </w:p>
          <w:p w14:paraId="3DFB72ED" w14:textId="5C4FB9D3" w:rsidR="00864E8D" w:rsidRDefault="00611028" w:rsidP="000B1E7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deaths in cats exposed at 27 ppm exposures </w:t>
            </w:r>
            <w:r w:rsidR="000B1E7C">
              <w:rPr>
                <w:rFonts w:cs="Arial"/>
              </w:rPr>
              <w:t>≤</w:t>
            </w:r>
            <w:r>
              <w:t>58 times</w:t>
            </w:r>
          </w:p>
          <w:p w14:paraId="57B62B92" w14:textId="478ABD49" w:rsidR="00611028" w:rsidRDefault="00611028" w:rsidP="000B1E7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one dog survived 50 exposures at 86 ppm</w:t>
            </w:r>
          </w:p>
          <w:p w14:paraId="718A92BB" w14:textId="7998AF10" w:rsidR="00611028" w:rsidRDefault="00611028" w:rsidP="000B1E7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one monkey survived 130, 7</w:t>
            </w:r>
            <w:r w:rsidR="002D159A">
              <w:t xml:space="preserve"> </w:t>
            </w:r>
            <w:r>
              <w:t>h exposures at 2.3 ppm</w:t>
            </w:r>
          </w:p>
          <w:p w14:paraId="3C67BA2E" w14:textId="7180E9BA" w:rsidR="00611028" w:rsidRDefault="00611028" w:rsidP="000B1E7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safety limits reported as 2.4</w:t>
            </w:r>
            <w:r w:rsidR="002D159A">
              <w:t>–</w:t>
            </w:r>
            <w:r>
              <w:t>7.6 ppm</w:t>
            </w:r>
          </w:p>
          <w:p w14:paraId="72D82982" w14:textId="79937A94" w:rsidR="00611028" w:rsidRDefault="00611028" w:rsidP="000B1E7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methemoglobinemia (at 7.6 ppm) and the formation of Heinz bodies (at 2.4 ppm) in rats</w:t>
            </w:r>
          </w:p>
          <w:p w14:paraId="795BD1B7" w14:textId="55D936E0" w:rsidR="00611028" w:rsidRDefault="00611028" w:rsidP="000B1E7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pulmonary </w:t>
            </w:r>
            <w:r w:rsidR="0038242A">
              <w:t xml:space="preserve">effects </w:t>
            </w:r>
            <w:r>
              <w:t>ranging from oedema to interstitial pneumonia, as well as occasional centrilobular hepatic necrosis and moderate kidney damage</w:t>
            </w:r>
            <w:r w:rsidR="00535A2A">
              <w:t>.</w:t>
            </w:r>
          </w:p>
          <w:p w14:paraId="7F1E4F26" w14:textId="77777777" w:rsidR="002D159A" w:rsidRDefault="002D159A" w:rsidP="00611028">
            <w:pPr>
              <w:pStyle w:val="Tabletextprimarysource"/>
            </w:pPr>
          </w:p>
          <w:p w14:paraId="20703E3D" w14:textId="4349BE82" w:rsidR="00611028" w:rsidRDefault="00611028" w:rsidP="00611028">
            <w:pPr>
              <w:pStyle w:val="Tabletextprimarysource"/>
            </w:pPr>
            <w:r>
              <w:t>TLV-TWA is justified on the view that 2 ppm offers a small margin of safety; based on the functional anaemia found in animals exposed at 2.4 ppm</w:t>
            </w:r>
            <w:r w:rsidR="00535A2A">
              <w:t>.</w:t>
            </w:r>
          </w:p>
          <w:p w14:paraId="59116754" w14:textId="77777777" w:rsidR="00611028" w:rsidRDefault="00611028" w:rsidP="00611028">
            <w:pPr>
              <w:pStyle w:val="Tabletextprimarysource"/>
            </w:pPr>
            <w:r>
              <w:t>Skin notation warranted as it is readily absorbed through the skin in amounts that can contribute substantially to systemic poisoning; no further information.</w:t>
            </w:r>
          </w:p>
          <w:p w14:paraId="6B0E8D49" w14:textId="55D7F651" w:rsidR="002D159A" w:rsidRPr="00DA352E" w:rsidRDefault="002D159A" w:rsidP="00611028">
            <w:pPr>
              <w:pStyle w:val="Tabletextprimarysource"/>
            </w:pPr>
          </w:p>
        </w:tc>
      </w:tr>
      <w:tr w:rsidR="00C978F0" w:rsidRPr="00DA352E" w14:paraId="6B5CC66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CE153E7" w14:textId="1127E8F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C7872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878C4">
                  <w:t>MAK: 0.5 ppm (2.2 mg/m</w:t>
                </w:r>
                <w:r w:rsidR="00F878C4" w:rsidRPr="00F878C4">
                  <w:rPr>
                    <w:vertAlign w:val="superscript"/>
                  </w:rPr>
                  <w:t>3</w:t>
                </w:r>
                <w:r w:rsidR="00F878C4">
                  <w:t>)</w:t>
                </w:r>
              </w:sdtContent>
            </w:sdt>
          </w:p>
        </w:tc>
      </w:tr>
      <w:tr w:rsidR="00C978F0" w:rsidRPr="00DA352E" w14:paraId="1F013D6F" w14:textId="77777777" w:rsidTr="000B1E7C">
        <w:trPr>
          <w:gridAfter w:val="1"/>
          <w:wAfter w:w="8" w:type="pct"/>
        </w:trPr>
        <w:tc>
          <w:tcPr>
            <w:tcW w:w="4992" w:type="pct"/>
          </w:tcPr>
          <w:p w14:paraId="28811B81" w14:textId="77777777" w:rsidR="00C978F0" w:rsidRDefault="00611028" w:rsidP="003365A5">
            <w:pPr>
              <w:pStyle w:val="Tabletextprimarysource"/>
            </w:pPr>
            <w:r>
              <w:t>MAK based on the critical effect of methaemoglobin formation.</w:t>
            </w:r>
          </w:p>
          <w:p w14:paraId="6960D723" w14:textId="77777777" w:rsidR="00611028" w:rsidRDefault="00611028" w:rsidP="003365A5">
            <w:pPr>
              <w:pStyle w:val="Tabletextprimarysource"/>
            </w:pPr>
            <w:r>
              <w:t>Summary of addition data:</w:t>
            </w:r>
          </w:p>
          <w:p w14:paraId="311EF5AD" w14:textId="77777777" w:rsidR="00611028" w:rsidRDefault="00B66BD1" w:rsidP="000B1E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suitable human data to derive MAK</w:t>
            </w:r>
          </w:p>
          <w:p w14:paraId="369280E7" w14:textId="380419B4" w:rsidR="00B66BD1" w:rsidRDefault="00B66BD1" w:rsidP="000B1E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LOAEC </w:t>
            </w:r>
            <w:r w:rsidR="00F846C9">
              <w:t>of</w:t>
            </w:r>
            <w:r>
              <w:t xml:space="preserve"> 13 mg/m</w:t>
            </w:r>
            <w:r w:rsidRPr="00B66BD1">
              <w:rPr>
                <w:vertAlign w:val="superscript"/>
              </w:rPr>
              <w:t>3</w:t>
            </w:r>
            <w:r>
              <w:t xml:space="preserve"> (2.9 ppm);</w:t>
            </w:r>
            <w:r w:rsidR="00F846C9">
              <w:t xml:space="preserve"> 28</w:t>
            </w:r>
            <w:r w:rsidR="000B1E7C">
              <w:t xml:space="preserve"> </w:t>
            </w:r>
            <w:r w:rsidR="00F846C9">
              <w:t xml:space="preserve">d inhalation study in rats; reduced </w:t>
            </w:r>
            <w:r w:rsidR="000B1E7C">
              <w:t>Hb</w:t>
            </w:r>
            <w:r w:rsidR="00F846C9">
              <w:t xml:space="preserve"> values, increased reticulocyte counts and the increased accumulation of brown pigment in the spleen</w:t>
            </w:r>
          </w:p>
          <w:p w14:paraId="3628ECB6" w14:textId="105AEC6E" w:rsidR="00F846C9" w:rsidRDefault="00F846C9" w:rsidP="000B1E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TLV-TWA basis: considered 2.7 times more potent than aniline in forming methaemoglobin; aniline TLV-TWA 2 ppm; TLV-TWA of</w:t>
            </w:r>
            <w:r w:rsidR="007C7872">
              <w:t xml:space="preserve"> 0.5 </w:t>
            </w:r>
            <w:r>
              <w:t>ppm considered suitable</w:t>
            </w:r>
          </w:p>
          <w:p w14:paraId="47EC2DE9" w14:textId="0B2CE9DE" w:rsidR="00682605" w:rsidRDefault="00682605" w:rsidP="000B1E7C">
            <w:pPr>
              <w:pStyle w:val="ListBullet"/>
              <w:spacing w:before="60" w:after="60"/>
              <w:ind w:left="714" w:hanging="357"/>
              <w:contextualSpacing w:val="0"/>
            </w:pPr>
            <w:r w:rsidRPr="007C7872">
              <w:t xml:space="preserve">Absorption through </w:t>
            </w:r>
            <w:r>
              <w:t>intact</w:t>
            </w:r>
            <w:r w:rsidRPr="007C7872">
              <w:t xml:space="preserve"> skin may substantially contribute to toxicity</w:t>
            </w:r>
            <w:r w:rsidR="002D159A">
              <w:t>:</w:t>
            </w:r>
          </w:p>
          <w:p w14:paraId="3755F262" w14:textId="12B4681C" w:rsidR="007C7872" w:rsidRDefault="00682605" w:rsidP="000B1E7C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diluted aqueous solution; 2,000 cm</w:t>
            </w:r>
            <w:r>
              <w:rPr>
                <w:vertAlign w:val="superscript"/>
              </w:rPr>
              <w:t>2</w:t>
            </w:r>
            <w:r>
              <w:t xml:space="preserve"> skin/1 h results in </w:t>
            </w:r>
            <w:r w:rsidR="00F846C9">
              <w:t>68</w:t>
            </w:r>
            <w:r w:rsidR="002D159A">
              <w:t>–</w:t>
            </w:r>
            <w:r w:rsidR="00F846C9">
              <w:t xml:space="preserve">951 mg </w:t>
            </w:r>
            <w:r w:rsidR="007C7872">
              <w:t>absorption</w:t>
            </w:r>
            <w:r w:rsidR="00535A2A">
              <w:t>.</w:t>
            </w:r>
            <w:r w:rsidR="007C7872">
              <w:t xml:space="preserve"> </w:t>
            </w:r>
          </w:p>
          <w:p w14:paraId="6133E5BC" w14:textId="4960F17F" w:rsidR="00F846C9" w:rsidRPr="00DA352E" w:rsidRDefault="00F846C9" w:rsidP="00682605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14B56D2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9E8087" w14:textId="6F84867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878C4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878C4">
                  <w:t>TWA: 0.2 ppm (0.89 mg/m</w:t>
                </w:r>
                <w:r w:rsidR="00F878C4" w:rsidRPr="00F878C4">
                  <w:rPr>
                    <w:vertAlign w:val="superscript"/>
                  </w:rPr>
                  <w:t>3</w:t>
                </w:r>
                <w:r w:rsidR="00F878C4">
                  <w:t>); STEL: 0.5 ppm (2.2 mg/m</w:t>
                </w:r>
                <w:r w:rsidR="00F878C4" w:rsidRPr="00F878C4">
                  <w:rPr>
                    <w:vertAlign w:val="superscript"/>
                  </w:rPr>
                  <w:t>3</w:t>
                </w:r>
                <w:r w:rsidR="00F878C4">
                  <w:t>)</w:t>
                </w:r>
              </w:sdtContent>
            </w:sdt>
          </w:p>
        </w:tc>
      </w:tr>
      <w:tr w:rsidR="00C978F0" w:rsidRPr="00DA352E" w14:paraId="5828124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6232C93" w14:textId="00FD9E34" w:rsidR="00C978F0" w:rsidRDefault="00F846C9" w:rsidP="003365A5">
            <w:pPr>
              <w:pStyle w:val="Tabletextprimarysource"/>
            </w:pPr>
            <w:r>
              <w:t>TWA and STEL</w:t>
            </w:r>
            <w:r w:rsidR="007A28DA">
              <w:t xml:space="preserve"> recommended to protect for methaemoglobin formation and toxic effects on the haematopoietic system with erythrocytotoxicity and effects on the spleen</w:t>
            </w:r>
            <w:r w:rsidR="00535A2A">
              <w:t>.</w:t>
            </w:r>
          </w:p>
          <w:p w14:paraId="1F2055BF" w14:textId="77777777" w:rsidR="007A28DA" w:rsidRDefault="007A28DA" w:rsidP="003365A5">
            <w:pPr>
              <w:pStyle w:val="Tabletextprimarysource"/>
            </w:pPr>
            <w:r>
              <w:t>Summary of additional data:</w:t>
            </w:r>
          </w:p>
          <w:p w14:paraId="04E721D2" w14:textId="7D0343AD" w:rsidR="00266605" w:rsidRDefault="00266605" w:rsidP="007A28DA">
            <w:pPr>
              <w:pStyle w:val="ListBullet"/>
              <w:ind w:left="1080"/>
            </w:pPr>
            <w:r>
              <w:t>OELs based on analogy to aniline</w:t>
            </w:r>
          </w:p>
          <w:p w14:paraId="4AB869D4" w14:textId="3B99588E" w:rsidR="007A28DA" w:rsidRDefault="007A28DA" w:rsidP="007A28DA">
            <w:pPr>
              <w:pStyle w:val="ListBullet"/>
              <w:ind w:left="1080"/>
            </w:pPr>
            <w:r>
              <w:t>Animal data indicate that N-methylaniline is twice more potent at inducing methaemoglobin than aniline</w:t>
            </w:r>
          </w:p>
          <w:p w14:paraId="6E7C1AB5" w14:textId="2B2E1DF3" w:rsidR="007A28DA" w:rsidRDefault="007A28DA" w:rsidP="007A28DA">
            <w:pPr>
              <w:pStyle w:val="ListBullet"/>
              <w:ind w:left="1080"/>
            </w:pPr>
            <w:r>
              <w:t>Aniline TWA OEL 0.5 ppm and STEL 1 ppm</w:t>
            </w:r>
          </w:p>
          <w:p w14:paraId="555FECF0" w14:textId="77777777" w:rsidR="007A28DA" w:rsidRDefault="007A28DA" w:rsidP="00535A2A">
            <w:pPr>
              <w:pStyle w:val="ListBullet"/>
              <w:ind w:left="1080"/>
            </w:pPr>
            <w:r>
              <w:t>Animal studies clearly indicate that NMA is well absorbed through the intact skin.</w:t>
            </w:r>
          </w:p>
          <w:p w14:paraId="0F29F852" w14:textId="73A67EEB" w:rsidR="002D159A" w:rsidRPr="00DA352E" w:rsidRDefault="002D159A" w:rsidP="000B1E7C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1BBBE7A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51A88D" w14:textId="7051999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878C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878C4">
                  <w:t>NA</w:t>
                </w:r>
              </w:sdtContent>
            </w:sdt>
          </w:p>
        </w:tc>
      </w:tr>
      <w:tr w:rsidR="00DA352E" w:rsidRPr="00DA352E" w14:paraId="5AFA607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B23DD2" w14:textId="36729351" w:rsidR="00DA352E" w:rsidRPr="00DA352E" w:rsidRDefault="00F878C4" w:rsidP="003365A5">
            <w:pPr>
              <w:pStyle w:val="Tabletextprimarysource"/>
            </w:pPr>
            <w:r>
              <w:t>No report</w:t>
            </w:r>
            <w:r w:rsidR="00535A2A">
              <w:t>.</w:t>
            </w:r>
          </w:p>
        </w:tc>
      </w:tr>
      <w:tr w:rsidR="00DA352E" w:rsidRPr="00DA352E" w14:paraId="5A1A55B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5320B3" w14:textId="0CF2C05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878C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878C4">
                  <w:t>NA</w:t>
                </w:r>
              </w:sdtContent>
            </w:sdt>
          </w:p>
        </w:tc>
      </w:tr>
      <w:tr w:rsidR="00DA352E" w:rsidRPr="00DA352E" w14:paraId="03519C4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56E30F" w14:textId="0AE23CDA" w:rsidR="00DA352E" w:rsidRPr="00DA352E" w:rsidRDefault="00F878C4" w:rsidP="003365A5">
            <w:pPr>
              <w:pStyle w:val="Tabletextprimarysource"/>
            </w:pPr>
            <w:r>
              <w:t>No report</w:t>
            </w:r>
            <w:r w:rsidR="00535A2A">
              <w:t>.</w:t>
            </w:r>
          </w:p>
        </w:tc>
      </w:tr>
    </w:tbl>
    <w:p w14:paraId="6CE523D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3"/>
        <w:gridCol w:w="650"/>
        <w:gridCol w:w="6460"/>
      </w:tblGrid>
      <w:tr w:rsidR="004966BF" w:rsidRPr="00263255" w14:paraId="13F48683" w14:textId="77777777" w:rsidTr="007A28DA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2D9DA77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42F14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6D31F47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60" w:type="dxa"/>
            <w:shd w:val="clear" w:color="auto" w:fill="BFBFBF" w:themeFill="background1" w:themeFillShade="BF"/>
            <w:vAlign w:val="center"/>
          </w:tcPr>
          <w:p w14:paraId="307BAEF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41CBB30" w14:textId="77777777" w:rsidTr="007A28DA">
        <w:trPr>
          <w:cantSplit/>
        </w:trPr>
        <w:tc>
          <w:tcPr>
            <w:tcW w:w="1493" w:type="dxa"/>
          </w:tcPr>
          <w:p w14:paraId="13523BBC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54CA4508" w14:textId="1392544F" w:rsidR="004966BF" w:rsidRPr="00CE617F" w:rsidRDefault="00B500D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35A2A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50" w:type="dxa"/>
          </w:tcPr>
          <w:p w14:paraId="6EC72469" w14:textId="6C8AE531" w:rsidR="004966BF" w:rsidRPr="004C23F4" w:rsidRDefault="007A28D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ND</w:t>
            </w:r>
          </w:p>
        </w:tc>
        <w:tc>
          <w:tcPr>
            <w:tcW w:w="6460" w:type="dxa"/>
          </w:tcPr>
          <w:p w14:paraId="68CCCE8C" w14:textId="45DD1127" w:rsidR="004966BF" w:rsidRPr="004C23F4" w:rsidRDefault="007A28DA" w:rsidP="000B1E7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="00535A2A">
              <w:rPr>
                <w:rStyle w:val="checkbox"/>
                <w:rFonts w:ascii="Arial" w:hAnsi="Arial" w:cs="Arial"/>
              </w:rPr>
              <w:t>information</w:t>
            </w:r>
            <w:r w:rsidR="002D159A">
              <w:rPr>
                <w:rStyle w:val="checkbox"/>
                <w:rFonts w:ascii="Arial" w:hAnsi="Arial" w:cs="Arial"/>
              </w:rPr>
              <w:t>.</w:t>
            </w:r>
            <w:r w:rsidR="00535A2A"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</w:tbl>
    <w:bookmarkEnd w:id="0"/>
    <w:p w14:paraId="7F5491D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74594A6" w14:textId="77777777" w:rsidTr="007A28DA">
        <w:trPr>
          <w:trHeight w:val="454"/>
          <w:tblHeader/>
        </w:trPr>
        <w:tc>
          <w:tcPr>
            <w:tcW w:w="6603" w:type="dxa"/>
            <w:vAlign w:val="center"/>
          </w:tcPr>
          <w:p w14:paraId="6A6C9BA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39D5EAA" w14:textId="59BE5B69" w:rsidR="002E0D61" w:rsidRDefault="007A28D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D282FF3" w14:textId="77777777" w:rsidTr="007A28D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468D7D1" w14:textId="07CC6340" w:rsidR="008A36CF" w:rsidRPr="006901A2" w:rsidRDefault="007A28D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52C3CE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DBE6BC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67378C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D3A638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408F38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28D8549" w14:textId="77777777" w:rsidTr="00812887">
        <w:trPr>
          <w:cantSplit/>
        </w:trPr>
        <w:tc>
          <w:tcPr>
            <w:tcW w:w="3227" w:type="dxa"/>
          </w:tcPr>
          <w:p w14:paraId="46EE4CD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F07351E" w14:textId="75CBE228" w:rsidR="00687890" w:rsidRPr="00DD2F9B" w:rsidRDefault="00F878C4" w:rsidP="00DD2F9B">
            <w:pPr>
              <w:pStyle w:val="Tablefont"/>
            </w:pPr>
            <w:r w:rsidRPr="00F878C4">
              <w:t>Skin</w:t>
            </w:r>
          </w:p>
        </w:tc>
      </w:tr>
      <w:tr w:rsidR="007925F0" w:rsidRPr="004C23F4" w14:paraId="61725CEF" w14:textId="77777777" w:rsidTr="00812887">
        <w:trPr>
          <w:cantSplit/>
        </w:trPr>
        <w:tc>
          <w:tcPr>
            <w:tcW w:w="3227" w:type="dxa"/>
          </w:tcPr>
          <w:p w14:paraId="5A3EFCA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D6EDF1E" w14:textId="6E6F2A2E" w:rsidR="007925F0" w:rsidRPr="00DD2F9B" w:rsidRDefault="00F878C4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2A0B19C" w14:textId="77777777" w:rsidTr="00812887">
        <w:trPr>
          <w:cantSplit/>
        </w:trPr>
        <w:tc>
          <w:tcPr>
            <w:tcW w:w="3227" w:type="dxa"/>
          </w:tcPr>
          <w:p w14:paraId="7B64314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DC2BB85" w14:textId="2137FA1B" w:rsidR="00AF483F" w:rsidRPr="00DD2F9B" w:rsidRDefault="00F878C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450E061" w14:textId="77777777" w:rsidTr="00812887">
        <w:trPr>
          <w:cantSplit/>
        </w:trPr>
        <w:tc>
          <w:tcPr>
            <w:tcW w:w="3227" w:type="dxa"/>
          </w:tcPr>
          <w:p w14:paraId="29CA94C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BBA475F" w14:textId="1EE3751D" w:rsidR="00687890" w:rsidRPr="00DD2F9B" w:rsidRDefault="00F878C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61DDFB9" w14:textId="77777777" w:rsidTr="00812887">
        <w:trPr>
          <w:cantSplit/>
        </w:trPr>
        <w:tc>
          <w:tcPr>
            <w:tcW w:w="3227" w:type="dxa"/>
          </w:tcPr>
          <w:p w14:paraId="7DBCAD0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A478DF5" w14:textId="3AE72DCB" w:rsidR="00E41A26" w:rsidRPr="00DD2F9B" w:rsidRDefault="00F878C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A866806" w14:textId="77777777" w:rsidTr="00812887">
        <w:trPr>
          <w:cantSplit/>
        </w:trPr>
        <w:tc>
          <w:tcPr>
            <w:tcW w:w="3227" w:type="dxa"/>
          </w:tcPr>
          <w:p w14:paraId="331C8F6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9B5478A" w14:textId="30D3A919" w:rsidR="002E0D61" w:rsidRPr="00DD2F9B" w:rsidRDefault="00F878C4" w:rsidP="00DD2F9B">
            <w:pPr>
              <w:pStyle w:val="Tablefont"/>
            </w:pPr>
            <w:r w:rsidRPr="00F878C4">
              <w:t>Skin</w:t>
            </w:r>
          </w:p>
        </w:tc>
      </w:tr>
      <w:tr w:rsidR="002E0D61" w:rsidRPr="004C23F4" w14:paraId="099E6B72" w14:textId="77777777" w:rsidTr="00812887">
        <w:trPr>
          <w:cantSplit/>
        </w:trPr>
        <w:tc>
          <w:tcPr>
            <w:tcW w:w="3227" w:type="dxa"/>
          </w:tcPr>
          <w:p w14:paraId="4151A7C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49EC2A7" w14:textId="5A899B4D" w:rsidR="002E0D61" w:rsidRPr="00DD2F9B" w:rsidRDefault="00F878C4" w:rsidP="00DD2F9B">
            <w:pPr>
              <w:pStyle w:val="Tablefont"/>
            </w:pPr>
            <w:r w:rsidRPr="00F878C4">
              <w:t>Carcinogenicity – 3B</w:t>
            </w:r>
            <w:r>
              <w:t xml:space="preserve">, </w:t>
            </w:r>
            <w:r w:rsidRPr="00F878C4">
              <w:t>H (skin)</w:t>
            </w:r>
          </w:p>
        </w:tc>
      </w:tr>
      <w:tr w:rsidR="002E0D61" w:rsidRPr="004C23F4" w14:paraId="45C5C7DB" w14:textId="77777777" w:rsidTr="00812887">
        <w:trPr>
          <w:cantSplit/>
        </w:trPr>
        <w:tc>
          <w:tcPr>
            <w:tcW w:w="3227" w:type="dxa"/>
          </w:tcPr>
          <w:p w14:paraId="1D8CA1C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25F21B" w14:textId="4D20F077" w:rsidR="002E0D61" w:rsidRPr="00DD2F9B" w:rsidRDefault="00F878C4" w:rsidP="00DD2F9B">
            <w:pPr>
              <w:pStyle w:val="Tablefont"/>
            </w:pPr>
            <w:r w:rsidRPr="00F878C4">
              <w:t>Skin</w:t>
            </w:r>
          </w:p>
        </w:tc>
      </w:tr>
      <w:tr w:rsidR="002E0D61" w:rsidRPr="004C23F4" w14:paraId="541564C1" w14:textId="77777777" w:rsidTr="00812887">
        <w:trPr>
          <w:cantSplit/>
        </w:trPr>
        <w:tc>
          <w:tcPr>
            <w:tcW w:w="3227" w:type="dxa"/>
          </w:tcPr>
          <w:p w14:paraId="4F90F26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6B11F96" w14:textId="7E8B8539" w:rsidR="002E0D61" w:rsidRPr="00DD2F9B" w:rsidRDefault="00F878C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DAB1F64" w14:textId="77777777" w:rsidTr="00812887">
        <w:trPr>
          <w:cantSplit/>
        </w:trPr>
        <w:tc>
          <w:tcPr>
            <w:tcW w:w="3227" w:type="dxa"/>
          </w:tcPr>
          <w:p w14:paraId="53C720D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943EB6B" w14:textId="53479003" w:rsidR="00386093" w:rsidRPr="00DD2F9B" w:rsidRDefault="00F878C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056374A" w14:textId="77777777" w:rsidTr="00812887">
        <w:trPr>
          <w:cantSplit/>
        </w:trPr>
        <w:tc>
          <w:tcPr>
            <w:tcW w:w="3227" w:type="dxa"/>
          </w:tcPr>
          <w:p w14:paraId="08E03006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1B9F10DA" w14:textId="4914B454" w:rsidR="00386093" w:rsidRPr="00DD2F9B" w:rsidRDefault="00F878C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693DF4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1E9BF5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9385C8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F5E8C4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3DD688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330"/>
              <w:gridCol w:w="984"/>
              <w:gridCol w:w="984"/>
              <w:gridCol w:w="3512"/>
            </w:tblGrid>
            <w:tr w:rsidR="007A28DA" w:rsidRPr="007A28DA" w14:paraId="24594D3D" w14:textId="77777777" w:rsidTr="000B1E7C">
              <w:trPr>
                <w:trHeight w:val="342"/>
              </w:trPr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6FA0FC" w14:textId="77777777" w:rsidR="007A28DA" w:rsidRDefault="007A28DA" w:rsidP="007A28D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Methyl aniline</w:t>
                  </w:r>
                </w:p>
                <w:p w14:paraId="10693AE6" w14:textId="6EFA893B" w:rsidR="007A28DA" w:rsidRPr="007A28DA" w:rsidRDefault="007A28DA" w:rsidP="007A28D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0554DC" w14:textId="77777777" w:rsidR="007A28DA" w:rsidRPr="007A28DA" w:rsidRDefault="007A28DA" w:rsidP="007A28D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954474" w14:textId="77777777" w:rsidR="007A28DA" w:rsidRPr="007A28DA" w:rsidRDefault="007A28DA" w:rsidP="007A28D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6FE964" w14:textId="77777777" w:rsidR="007A28DA" w:rsidRPr="007A28DA" w:rsidRDefault="007A28DA" w:rsidP="007A28D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A28DA" w:rsidRPr="007A28DA" w14:paraId="00025A2B" w14:textId="77777777" w:rsidTr="000B1E7C">
              <w:trPr>
                <w:trHeight w:val="342"/>
              </w:trPr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F4E193" w14:textId="77777777" w:rsidR="007A28DA" w:rsidRPr="007A28DA" w:rsidRDefault="007A28DA" w:rsidP="007A28D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7E71A9" w14:textId="77777777" w:rsidR="007A28DA" w:rsidRPr="007A28DA" w:rsidRDefault="007A28DA" w:rsidP="007A28D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DB2F26" w14:textId="77777777" w:rsidR="007A28DA" w:rsidRPr="007A28DA" w:rsidRDefault="007A28DA" w:rsidP="007A28D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AC749B" w14:textId="77777777" w:rsidR="007A28DA" w:rsidRPr="007A28DA" w:rsidRDefault="007A28DA" w:rsidP="007A28D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A28DA" w:rsidRPr="007A28DA" w14:paraId="5B9E46BD" w14:textId="77777777" w:rsidTr="000B1E7C">
              <w:trPr>
                <w:trHeight w:val="342"/>
              </w:trPr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49E0D6" w14:textId="77777777" w:rsidR="007A28DA" w:rsidRPr="007A28DA" w:rsidRDefault="007A28DA" w:rsidP="007A28D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435AF2" w14:textId="77777777" w:rsidR="007A28DA" w:rsidRPr="007A28DA" w:rsidRDefault="007A28DA" w:rsidP="007A28D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04B839" w14:textId="77777777" w:rsidR="007A28DA" w:rsidRPr="007A28DA" w:rsidRDefault="007A28DA" w:rsidP="007A28D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1C5964" w14:textId="77777777" w:rsidR="007A28DA" w:rsidRPr="007A28DA" w:rsidRDefault="007A28DA" w:rsidP="007A28D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A28DA" w:rsidRPr="007A28DA" w14:paraId="325884C1" w14:textId="77777777" w:rsidTr="000B1E7C">
              <w:trPr>
                <w:trHeight w:val="342"/>
              </w:trPr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0CB2C6" w14:textId="77777777" w:rsidR="007A28DA" w:rsidRPr="007A28DA" w:rsidRDefault="007A28DA" w:rsidP="007A28D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334846" w14:textId="77777777" w:rsidR="007A28DA" w:rsidRPr="007A28DA" w:rsidRDefault="007A28DA" w:rsidP="007A28D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685FF2" w14:textId="77777777" w:rsidR="007A28DA" w:rsidRPr="007A28DA" w:rsidRDefault="007A28DA" w:rsidP="007A28D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35C1CD" w14:textId="77777777" w:rsidR="007A28DA" w:rsidRPr="007A28DA" w:rsidRDefault="007A28DA" w:rsidP="007A28D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A28DA" w:rsidRPr="007A28DA" w14:paraId="6FB08F35" w14:textId="77777777" w:rsidTr="000B1E7C">
              <w:trPr>
                <w:trHeight w:val="342"/>
              </w:trPr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E9AB32" w14:textId="77777777" w:rsidR="007A28DA" w:rsidRPr="007A28DA" w:rsidRDefault="007A28DA" w:rsidP="007A28D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5950CB" w14:textId="77777777" w:rsidR="007A28DA" w:rsidRPr="007A28DA" w:rsidRDefault="007A28DA" w:rsidP="007A28D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7D34FF" w14:textId="77777777" w:rsidR="007A28DA" w:rsidRPr="007A28DA" w:rsidRDefault="007A28DA" w:rsidP="007A28D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66C56C" w14:textId="77777777" w:rsidR="007A28DA" w:rsidRPr="007A28DA" w:rsidRDefault="007A28DA" w:rsidP="007A28D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A28DA" w:rsidRPr="007A28DA" w14:paraId="024AF75E" w14:textId="77777777" w:rsidTr="000B1E7C">
              <w:trPr>
                <w:trHeight w:val="342"/>
              </w:trPr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72CF53" w14:textId="77777777" w:rsidR="007A28DA" w:rsidRPr="007A28DA" w:rsidRDefault="007A28DA" w:rsidP="007A28D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68892B8" w14:textId="77777777" w:rsidR="007A28DA" w:rsidRPr="007A28DA" w:rsidRDefault="007A28DA" w:rsidP="007A28D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718872" w14:textId="77777777" w:rsidR="007A28DA" w:rsidRPr="007A28DA" w:rsidRDefault="007A28DA" w:rsidP="007A28D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8C2A99" w14:textId="77777777" w:rsidR="007A28DA" w:rsidRPr="007A28DA" w:rsidRDefault="007A28DA" w:rsidP="007A28D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1E7C" w:rsidRPr="007A28DA" w14:paraId="7AC2B12C" w14:textId="77777777" w:rsidTr="000B1E7C">
              <w:trPr>
                <w:trHeight w:val="342"/>
              </w:trPr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009094" w14:textId="77777777" w:rsidR="000B1E7C" w:rsidRPr="007A28DA" w:rsidRDefault="000B1E7C" w:rsidP="007A28D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B73B2C" w14:textId="77777777" w:rsidR="000B1E7C" w:rsidRPr="007A28DA" w:rsidRDefault="000B1E7C" w:rsidP="007A28D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4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2B4354" w14:textId="01886DF4" w:rsidR="000B1E7C" w:rsidRPr="007A28DA" w:rsidRDefault="000B1E7C" w:rsidP="000B1E7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A28D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224388A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00097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54734E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1BF19C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B4BC812" w14:textId="3CB4B3A9" w:rsidR="00EB3D1B" w:rsidRDefault="00F878C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7C55E0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88EFC7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9B42F4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0863AEA" w14:textId="1FD9E39D" w:rsidR="001B79E5" w:rsidRDefault="00F878C4" w:rsidP="001B79E5">
                <w:pPr>
                  <w:pStyle w:val="Tablefont"/>
                </w:pPr>
                <w:r w:rsidRPr="00F878C4">
                  <w:t>107.15</w:t>
                </w:r>
              </w:p>
            </w:tc>
          </w:sdtContent>
        </w:sdt>
      </w:tr>
      <w:tr w:rsidR="00A31D99" w:rsidRPr="004C23F4" w14:paraId="68E202B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078832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A4C36E0" w14:textId="228C2EA6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878C4">
                  <w:t>4.38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F878C4">
                  <w:t>0.229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730200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18E3FE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936679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AE8512D" w14:textId="77777777" w:rsidTr="00EA6243">
        <w:trPr>
          <w:cantSplit/>
        </w:trPr>
        <w:tc>
          <w:tcPr>
            <w:tcW w:w="4077" w:type="dxa"/>
            <w:vAlign w:val="center"/>
          </w:tcPr>
          <w:p w14:paraId="5C49C47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504241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7DFFF2B" w14:textId="77777777" w:rsidTr="00EA6243">
        <w:trPr>
          <w:cantSplit/>
        </w:trPr>
        <w:tc>
          <w:tcPr>
            <w:tcW w:w="4077" w:type="dxa"/>
            <w:vAlign w:val="center"/>
          </w:tcPr>
          <w:p w14:paraId="1D7F239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185DF9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C96DE32" w14:textId="77777777" w:rsidTr="00EA6243">
        <w:trPr>
          <w:cantSplit/>
        </w:trPr>
        <w:tc>
          <w:tcPr>
            <w:tcW w:w="4077" w:type="dxa"/>
            <w:vAlign w:val="center"/>
          </w:tcPr>
          <w:p w14:paraId="674D07D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1336ADA" w14:textId="77777777" w:rsidR="00E06F40" w:rsidRPr="00A006A0" w:rsidRDefault="00B500D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2D71C6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AF195D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16A499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596882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D4D11D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10DF49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F6DAB2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0B2A1A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FEF5144" w14:textId="1177363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5683BCB" w14:textId="207947A8" w:rsidR="00F878C4" w:rsidRDefault="00F878C4" w:rsidP="00084859">
      <w:r w:rsidRPr="002022B6">
        <w:t>Deutsche Forschungsgemeinschaft (DFG)</w:t>
      </w:r>
      <w:r>
        <w:t xml:space="preserve"> (</w:t>
      </w:r>
      <w:r w:rsidR="00DC3B90">
        <w:t>2017</w:t>
      </w:r>
      <w:r>
        <w:t xml:space="preserve">) </w:t>
      </w:r>
      <w:r w:rsidR="00DC3B90" w:rsidRPr="00DC3B90">
        <w:t>N-Methylaniline</w:t>
      </w:r>
      <w:r>
        <w:t xml:space="preserve"> – MAK value documentation.</w:t>
      </w:r>
    </w:p>
    <w:p w14:paraId="3A23BA4B" w14:textId="77777777" w:rsidR="00535A2A" w:rsidRDefault="00B765F9" w:rsidP="00084859">
      <w:r w:rsidRPr="00B765F9">
        <w:lastRenderedPageBreak/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5F54D184" w14:textId="2CBBE2B3" w:rsidR="00F878C4" w:rsidRDefault="00DC3B90" w:rsidP="00084859">
      <w:r w:rsidRPr="002022B6">
        <w:t>EU Scientific Committee on Occupational Exposure Limits (SCOEL)</w:t>
      </w:r>
      <w:r>
        <w:t xml:space="preserve"> (2012) Recommendation from the Scientific Committee on Occupational Exposure Limits for </w:t>
      </w:r>
      <w:r w:rsidRPr="00DC3B90">
        <w:t>N-Methylaniline</w:t>
      </w:r>
      <w:r>
        <w:t>. SCOEL/</w:t>
      </w:r>
      <w:r w:rsidRPr="00DC3B90">
        <w:t>SUM/178</w:t>
      </w:r>
      <w:r>
        <w:t>.</w:t>
      </w:r>
    </w:p>
    <w:p w14:paraId="089FCC8F" w14:textId="5E38DE64" w:rsidR="00DC3B90" w:rsidRPr="00351FE0" w:rsidRDefault="00DC3B90" w:rsidP="00084859">
      <w:r w:rsidRPr="00D86E03">
        <w:t>US National Institute for Occupational Safety and Health (NIOSH)</w:t>
      </w:r>
      <w:r>
        <w:t xml:space="preserve"> (</w:t>
      </w:r>
      <w:r w:rsidRPr="00DC3B90">
        <w:t>1994</w:t>
      </w:r>
      <w:r>
        <w:t xml:space="preserve">) Immediately dangerous to life or health concentrations – </w:t>
      </w:r>
      <w:r w:rsidRPr="00DC3B90">
        <w:t>Monomethyl aniline</w:t>
      </w:r>
      <w:r>
        <w:t>.</w:t>
      </w:r>
    </w:p>
    <w:sectPr w:rsidR="00DC3B90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0D68B" w14:textId="77777777" w:rsidR="00C1134C" w:rsidRDefault="00C1134C" w:rsidP="00F43AD5">
      <w:pPr>
        <w:spacing w:after="0" w:line="240" w:lineRule="auto"/>
      </w:pPr>
      <w:r>
        <w:separator/>
      </w:r>
    </w:p>
  </w:endnote>
  <w:endnote w:type="continuationSeparator" w:id="0">
    <w:p w14:paraId="0BC161CD" w14:textId="77777777" w:rsidR="00C1134C" w:rsidRDefault="00C1134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F272" w14:textId="77777777" w:rsidR="009824EA" w:rsidRDefault="009824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1001D8E" w14:textId="77777777" w:rsidR="00BB46EF" w:rsidRPr="00BB46EF" w:rsidRDefault="00BB46EF" w:rsidP="00BB46EF">
        <w:pPr>
          <w:pStyle w:val="Footer"/>
          <w:rPr>
            <w:b/>
            <w:sz w:val="18"/>
            <w:szCs w:val="18"/>
          </w:rPr>
        </w:pPr>
      </w:p>
      <w:p w14:paraId="7D1DE04B" w14:textId="78D4C62E" w:rsidR="008A36CF" w:rsidRDefault="00BB46EF" w:rsidP="00BB46EF">
        <w:pPr>
          <w:pStyle w:val="Footer"/>
          <w:rPr>
            <w:sz w:val="18"/>
            <w:szCs w:val="18"/>
          </w:rPr>
        </w:pPr>
        <w:r w:rsidRPr="00BB46EF">
          <w:rPr>
            <w:b/>
            <w:sz w:val="18"/>
            <w:szCs w:val="18"/>
          </w:rPr>
          <w:t>N-Methyl aniline</w:t>
        </w:r>
        <w:r w:rsidR="008A36CF">
          <w:rPr>
            <w:b/>
            <w:sz w:val="18"/>
            <w:szCs w:val="18"/>
          </w:rPr>
          <w:t xml:space="preserve"> (</w:t>
        </w:r>
        <w:r w:rsidR="00FB4A12" w:rsidRPr="00FB4A12">
          <w:rPr>
            <w:b/>
            <w:sz w:val="18"/>
            <w:szCs w:val="18"/>
          </w:rPr>
          <w:t>100-61-8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E32925B" w14:textId="1807BB8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824EA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D5481" w14:textId="77777777" w:rsidR="009824EA" w:rsidRDefault="00982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028E8" w14:textId="77777777" w:rsidR="00C1134C" w:rsidRDefault="00C1134C" w:rsidP="00F43AD5">
      <w:pPr>
        <w:spacing w:after="0" w:line="240" w:lineRule="auto"/>
      </w:pPr>
      <w:r>
        <w:separator/>
      </w:r>
    </w:p>
  </w:footnote>
  <w:footnote w:type="continuationSeparator" w:id="0">
    <w:p w14:paraId="26AE3BD5" w14:textId="77777777" w:rsidR="00C1134C" w:rsidRDefault="00C1134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B90CF" w14:textId="19F0A25C" w:rsidR="009824EA" w:rsidRDefault="009824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E377E" w14:textId="3F91722C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4725" w14:textId="149B03E2" w:rsidR="009824EA" w:rsidRDefault="009824E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8818C" w14:textId="2BD225AA" w:rsidR="009824EA" w:rsidRDefault="009824E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4215F" w14:textId="37FBA7E6" w:rsidR="008A36CF" w:rsidRDefault="009824EA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F2CCC58" wp14:editId="24A8401C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251D" w14:textId="49D5D827" w:rsidR="009824EA" w:rsidRDefault="00982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DF2FF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7725F"/>
    <w:multiLevelType w:val="hybridMultilevel"/>
    <w:tmpl w:val="D98447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5260B5"/>
    <w:multiLevelType w:val="hybridMultilevel"/>
    <w:tmpl w:val="AAEA7D5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625354841">
    <w:abstractNumId w:val="0"/>
  </w:num>
  <w:num w:numId="2" w16cid:durableId="1952937885">
    <w:abstractNumId w:val="1"/>
  </w:num>
  <w:num w:numId="3" w16cid:durableId="755324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2F9E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1E7C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521B"/>
    <w:rsid w:val="001A009E"/>
    <w:rsid w:val="001A1287"/>
    <w:rsid w:val="001A3859"/>
    <w:rsid w:val="001A3C9D"/>
    <w:rsid w:val="001A43F8"/>
    <w:rsid w:val="001B79E5"/>
    <w:rsid w:val="001C4061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6605"/>
    <w:rsid w:val="00276494"/>
    <w:rsid w:val="00277B0C"/>
    <w:rsid w:val="002B1A2C"/>
    <w:rsid w:val="002C34F2"/>
    <w:rsid w:val="002C58FF"/>
    <w:rsid w:val="002C7AFE"/>
    <w:rsid w:val="002D05D2"/>
    <w:rsid w:val="002D159A"/>
    <w:rsid w:val="002E0D61"/>
    <w:rsid w:val="002E4C7B"/>
    <w:rsid w:val="0030740C"/>
    <w:rsid w:val="00315833"/>
    <w:rsid w:val="003215EE"/>
    <w:rsid w:val="003224BF"/>
    <w:rsid w:val="003237A0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242A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4856"/>
    <w:rsid w:val="004030BC"/>
    <w:rsid w:val="00403F7D"/>
    <w:rsid w:val="00406785"/>
    <w:rsid w:val="004079B4"/>
    <w:rsid w:val="00417A56"/>
    <w:rsid w:val="00420957"/>
    <w:rsid w:val="00422A10"/>
    <w:rsid w:val="00430179"/>
    <w:rsid w:val="00432BBC"/>
    <w:rsid w:val="004414B5"/>
    <w:rsid w:val="00444482"/>
    <w:rsid w:val="00444B42"/>
    <w:rsid w:val="00445E44"/>
    <w:rsid w:val="0045078C"/>
    <w:rsid w:val="004509E2"/>
    <w:rsid w:val="004515EE"/>
    <w:rsid w:val="004529F0"/>
    <w:rsid w:val="00460A03"/>
    <w:rsid w:val="00472A11"/>
    <w:rsid w:val="00472AAD"/>
    <w:rsid w:val="00474E33"/>
    <w:rsid w:val="00475EB9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D771F"/>
    <w:rsid w:val="004E5EDD"/>
    <w:rsid w:val="004F448A"/>
    <w:rsid w:val="004F493D"/>
    <w:rsid w:val="004F65E8"/>
    <w:rsid w:val="0050005E"/>
    <w:rsid w:val="00502B88"/>
    <w:rsid w:val="005121AD"/>
    <w:rsid w:val="005142C4"/>
    <w:rsid w:val="0051509C"/>
    <w:rsid w:val="005272E2"/>
    <w:rsid w:val="0053108F"/>
    <w:rsid w:val="00532B56"/>
    <w:rsid w:val="00534B10"/>
    <w:rsid w:val="00535A2A"/>
    <w:rsid w:val="005401A1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028"/>
    <w:rsid w:val="00611399"/>
    <w:rsid w:val="00616407"/>
    <w:rsid w:val="00616760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2605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0B1D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87E"/>
    <w:rsid w:val="007A28DA"/>
    <w:rsid w:val="007B1B42"/>
    <w:rsid w:val="007C30EB"/>
    <w:rsid w:val="007C7872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74B4"/>
    <w:rsid w:val="00826F21"/>
    <w:rsid w:val="00834CC8"/>
    <w:rsid w:val="00835E00"/>
    <w:rsid w:val="00837113"/>
    <w:rsid w:val="008414E4"/>
    <w:rsid w:val="00843E21"/>
    <w:rsid w:val="0084508E"/>
    <w:rsid w:val="008557A7"/>
    <w:rsid w:val="00857A8A"/>
    <w:rsid w:val="008630EE"/>
    <w:rsid w:val="00864D13"/>
    <w:rsid w:val="00864E8D"/>
    <w:rsid w:val="00871CD5"/>
    <w:rsid w:val="008745A2"/>
    <w:rsid w:val="008768A8"/>
    <w:rsid w:val="0088798F"/>
    <w:rsid w:val="00887AAD"/>
    <w:rsid w:val="00887E4B"/>
    <w:rsid w:val="008915C8"/>
    <w:rsid w:val="008A36CF"/>
    <w:rsid w:val="008A3BC4"/>
    <w:rsid w:val="008B403C"/>
    <w:rsid w:val="008B7983"/>
    <w:rsid w:val="008C2511"/>
    <w:rsid w:val="008D026D"/>
    <w:rsid w:val="008D127B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24EA"/>
    <w:rsid w:val="00984920"/>
    <w:rsid w:val="0099303A"/>
    <w:rsid w:val="009971C2"/>
    <w:rsid w:val="009A1254"/>
    <w:rsid w:val="009B2FF2"/>
    <w:rsid w:val="009B380C"/>
    <w:rsid w:val="009B4843"/>
    <w:rsid w:val="009B6543"/>
    <w:rsid w:val="009B734E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5D5E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00D7"/>
    <w:rsid w:val="00B52EDF"/>
    <w:rsid w:val="00B66BD1"/>
    <w:rsid w:val="00B71188"/>
    <w:rsid w:val="00B765F9"/>
    <w:rsid w:val="00B76A41"/>
    <w:rsid w:val="00B87D4C"/>
    <w:rsid w:val="00B93646"/>
    <w:rsid w:val="00BA0B38"/>
    <w:rsid w:val="00BA1DBB"/>
    <w:rsid w:val="00BA4510"/>
    <w:rsid w:val="00BA529A"/>
    <w:rsid w:val="00BB46EF"/>
    <w:rsid w:val="00BB612A"/>
    <w:rsid w:val="00BD499F"/>
    <w:rsid w:val="00BD56DE"/>
    <w:rsid w:val="00BE719D"/>
    <w:rsid w:val="00BF2406"/>
    <w:rsid w:val="00C066BA"/>
    <w:rsid w:val="00C06E43"/>
    <w:rsid w:val="00C1134C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0DA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453F8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06B9"/>
    <w:rsid w:val="00DB3F77"/>
    <w:rsid w:val="00DC16B4"/>
    <w:rsid w:val="00DC3B90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2C1C"/>
    <w:rsid w:val="00E26A07"/>
    <w:rsid w:val="00E32595"/>
    <w:rsid w:val="00E33A5C"/>
    <w:rsid w:val="00E36252"/>
    <w:rsid w:val="00E37CFD"/>
    <w:rsid w:val="00E41A26"/>
    <w:rsid w:val="00E46BCB"/>
    <w:rsid w:val="00E51CAF"/>
    <w:rsid w:val="00E531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BD6"/>
    <w:rsid w:val="00F20E68"/>
    <w:rsid w:val="00F22093"/>
    <w:rsid w:val="00F236DF"/>
    <w:rsid w:val="00F43AD5"/>
    <w:rsid w:val="00F4402E"/>
    <w:rsid w:val="00F56DD0"/>
    <w:rsid w:val="00F6491C"/>
    <w:rsid w:val="00F67BBB"/>
    <w:rsid w:val="00F846C9"/>
    <w:rsid w:val="00F878C4"/>
    <w:rsid w:val="00F87D92"/>
    <w:rsid w:val="00F90AA7"/>
    <w:rsid w:val="00F92498"/>
    <w:rsid w:val="00F9496B"/>
    <w:rsid w:val="00F970C9"/>
    <w:rsid w:val="00FA06A8"/>
    <w:rsid w:val="00FA3DF5"/>
    <w:rsid w:val="00FA741F"/>
    <w:rsid w:val="00FB4A12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64E8D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535A2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66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6B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6B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6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6B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9DC6940153D45F99A78B7E3E5D433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39405-923E-4EA6-A977-4236071D783B}"/>
      </w:docPartPr>
      <w:docPartBody>
        <w:p w:rsidR="00C957BD" w:rsidRDefault="009172E0" w:rsidP="009172E0">
          <w:pPr>
            <w:pStyle w:val="A9DC6940153D45F99A78B7E3E5D4332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036D9"/>
    <w:rsid w:val="003B0055"/>
    <w:rsid w:val="009172E0"/>
    <w:rsid w:val="00BD2772"/>
    <w:rsid w:val="00C15D5D"/>
    <w:rsid w:val="00C957BD"/>
    <w:rsid w:val="00D14DB4"/>
    <w:rsid w:val="00D17CFD"/>
    <w:rsid w:val="00D21A9F"/>
    <w:rsid w:val="00E2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72E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9DC6940153D45F99A78B7E3E5D4332F">
    <w:name w:val="A9DC6940153D45F99A78B7E3E5D4332F"/>
    <w:rsid w:val="00917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17B84E-6924-430A-BA2A-446F81E232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4760FA-AA9E-40C6-85A4-F23827A36E86}"/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6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30</cp:revision>
  <cp:lastPrinted>2018-10-22T22:41:00Z</cp:lastPrinted>
  <dcterms:created xsi:type="dcterms:W3CDTF">2019-09-10T02:29:00Z</dcterms:created>
  <dcterms:modified xsi:type="dcterms:W3CDTF">2025-12-24T00:14:00Z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2025-12-24T00:13:55Z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f572acff-0a4f-4727-94fb-f7f51c76e9a3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