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8576466" w14:textId="056F2465" w:rsidR="00BD499F" w:rsidRPr="004C23F4" w:rsidRDefault="00FA0C18" w:rsidP="00FA0C18">
          <w:pPr>
            <w:pStyle w:val="Heading1"/>
            <w:jc w:val="center"/>
            <w:rPr>
              <w:rFonts w:ascii="Arial" w:hAnsi="Arial" w:cs="Arial"/>
            </w:rPr>
          </w:pPr>
          <w:r w:rsidRPr="00FA0C18">
            <w:rPr>
              <w:rFonts w:ascii="Arial" w:hAnsi="Arial" w:cs="Arial"/>
            </w:rPr>
            <w:t>Methylene 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035DDF26" w14:textId="77777777" w:rsidTr="00B76A41">
        <w:trPr>
          <w:cantSplit/>
          <w:tblHeader/>
        </w:trPr>
        <w:tc>
          <w:tcPr>
            <w:tcW w:w="4077" w:type="dxa"/>
          </w:tcPr>
          <w:p w14:paraId="4BB3940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3432E8E" w14:textId="3B8C51CC" w:rsidR="00F43AD5" w:rsidRPr="00717D45" w:rsidRDefault="00FA0C18" w:rsidP="00B76A41">
            <w:pPr>
              <w:pStyle w:val="Tablefont"/>
            </w:pPr>
            <w:r w:rsidRPr="00FA0C18">
              <w:t>75-09-2</w:t>
            </w:r>
          </w:p>
        </w:tc>
      </w:tr>
      <w:tr w:rsidR="00F43AD5" w:rsidRPr="004C23F4" w14:paraId="35DADD9D" w14:textId="77777777" w:rsidTr="00B76A41">
        <w:trPr>
          <w:cantSplit/>
        </w:trPr>
        <w:tc>
          <w:tcPr>
            <w:tcW w:w="4077" w:type="dxa"/>
          </w:tcPr>
          <w:p w14:paraId="434654F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C35C531" w14:textId="1D84ACAF" w:rsidR="00F43AD5" w:rsidRPr="00717D45" w:rsidRDefault="00D76A97" w:rsidP="00B76A41">
            <w:pPr>
              <w:pStyle w:val="Tablefont"/>
            </w:pPr>
            <w:r w:rsidRPr="00D76A97">
              <w:t>Dichloromethane</w:t>
            </w:r>
            <w:r w:rsidR="00FC0FE3">
              <w:t>, DCM, methane dichloride, methylene bichloride</w:t>
            </w:r>
          </w:p>
        </w:tc>
      </w:tr>
      <w:tr w:rsidR="00F43AD5" w:rsidRPr="004C23F4" w14:paraId="7A465BB0" w14:textId="77777777" w:rsidTr="00B76A41">
        <w:trPr>
          <w:cantSplit/>
        </w:trPr>
        <w:tc>
          <w:tcPr>
            <w:tcW w:w="4077" w:type="dxa"/>
          </w:tcPr>
          <w:p w14:paraId="2874B0C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FAE3C27" w14:textId="5ACD980C" w:rsidR="00F43AD5" w:rsidRPr="00717D45" w:rsidRDefault="00D76A97" w:rsidP="00B76A41">
            <w:pPr>
              <w:pStyle w:val="Tablefont"/>
            </w:pPr>
            <w:r>
              <w:t>CH</w:t>
            </w:r>
            <w:r w:rsidRPr="00D76A97">
              <w:rPr>
                <w:vertAlign w:val="subscript"/>
              </w:rPr>
              <w:t>2</w:t>
            </w:r>
            <w:r>
              <w:t>Cl</w:t>
            </w:r>
            <w:r w:rsidRPr="00D76A97">
              <w:rPr>
                <w:vertAlign w:val="subscript"/>
              </w:rPr>
              <w:t>2</w:t>
            </w:r>
          </w:p>
        </w:tc>
      </w:tr>
      <w:tr w:rsidR="00F43AD5" w:rsidRPr="004C23F4" w14:paraId="591DC4D9" w14:textId="77777777" w:rsidTr="00751130">
        <w:trPr>
          <w:cantSplit/>
          <w:trHeight w:val="283"/>
        </w:trPr>
        <w:tc>
          <w:tcPr>
            <w:tcW w:w="4077" w:type="dxa"/>
          </w:tcPr>
          <w:p w14:paraId="78385FA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5B98486" w14:textId="420BEB8B" w:rsidR="00F43AD5" w:rsidRPr="00B40C60" w:rsidRDefault="00D76A97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66158D33" w14:textId="7BB8EF5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5113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2309A29" w14:textId="77777777" w:rsidTr="00751130">
        <w:trPr>
          <w:cantSplit/>
          <w:tblHeader/>
        </w:trPr>
        <w:tc>
          <w:tcPr>
            <w:tcW w:w="4005" w:type="dxa"/>
            <w:vAlign w:val="center"/>
          </w:tcPr>
          <w:p w14:paraId="63D6CB9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24D7FE7" w14:textId="3EDD229F" w:rsidR="002C7AFE" w:rsidRPr="00F45FF2" w:rsidRDefault="00F45FF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 (174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751130" w:rsidRPr="004C23F4" w14:paraId="558B4FC4" w14:textId="77777777" w:rsidTr="00751130">
        <w:trPr>
          <w:cantSplit/>
        </w:trPr>
        <w:tc>
          <w:tcPr>
            <w:tcW w:w="4005" w:type="dxa"/>
            <w:vAlign w:val="center"/>
          </w:tcPr>
          <w:p w14:paraId="0D96D730" w14:textId="77777777" w:rsidR="00751130" w:rsidRPr="002C58FF" w:rsidRDefault="00751130" w:rsidP="00751130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6EC9FA11" w14:textId="4FFC3D51" w:rsidR="00751130" w:rsidRPr="00622F3D" w:rsidRDefault="00751130" w:rsidP="00751130">
            <w:pPr>
              <w:pStyle w:val="Tablefont"/>
              <w:rPr>
                <w:b/>
              </w:rPr>
            </w:pPr>
            <w:r w:rsidRPr="00B4434E">
              <w:rPr>
                <w:b/>
              </w:rPr>
              <w:t>—</w:t>
            </w:r>
          </w:p>
        </w:tc>
      </w:tr>
      <w:tr w:rsidR="00751130" w:rsidRPr="004C23F4" w14:paraId="3673C3F5" w14:textId="77777777" w:rsidTr="00751130">
        <w:trPr>
          <w:cantSplit/>
        </w:trPr>
        <w:tc>
          <w:tcPr>
            <w:tcW w:w="4005" w:type="dxa"/>
            <w:vAlign w:val="center"/>
          </w:tcPr>
          <w:p w14:paraId="5C7FFA21" w14:textId="77777777" w:rsidR="00751130" w:rsidRPr="002C58FF" w:rsidRDefault="00751130" w:rsidP="00751130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4AB9B5B" w14:textId="1AC91D0D" w:rsidR="00751130" w:rsidRPr="00622F3D" w:rsidRDefault="00751130" w:rsidP="00751130">
            <w:pPr>
              <w:pStyle w:val="Tablefont"/>
              <w:rPr>
                <w:b/>
              </w:rPr>
            </w:pPr>
            <w:r w:rsidRPr="00B4434E">
              <w:rPr>
                <w:b/>
              </w:rPr>
              <w:t>—</w:t>
            </w:r>
          </w:p>
        </w:tc>
      </w:tr>
      <w:tr w:rsidR="002C7AFE" w:rsidRPr="004C23F4" w14:paraId="56B4B199" w14:textId="77777777" w:rsidTr="00751130">
        <w:trPr>
          <w:cantSplit/>
        </w:trPr>
        <w:tc>
          <w:tcPr>
            <w:tcW w:w="4005" w:type="dxa"/>
          </w:tcPr>
          <w:p w14:paraId="123155F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9BA9A0E" w14:textId="62F41DF6" w:rsidR="002C7AFE" w:rsidRPr="00EB3D1B" w:rsidRDefault="00751130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2, Sk.</w:t>
            </w:r>
          </w:p>
        </w:tc>
      </w:tr>
      <w:tr w:rsidR="002C7AFE" w:rsidRPr="004C23F4" w14:paraId="52B34155" w14:textId="77777777" w:rsidTr="00751130">
        <w:trPr>
          <w:cantSplit/>
        </w:trPr>
        <w:tc>
          <w:tcPr>
            <w:tcW w:w="4005" w:type="dxa"/>
            <w:vAlign w:val="center"/>
          </w:tcPr>
          <w:p w14:paraId="6D0E225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248ECDA" w14:textId="330F4BC9" w:rsidR="002C7AFE" w:rsidRPr="00EB3D1B" w:rsidRDefault="00D76A9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751130">
              <w:rPr>
                <w:b/>
              </w:rPr>
              <w:t>,</w:t>
            </w:r>
            <w:r>
              <w:rPr>
                <w:b/>
              </w:rPr>
              <w:t>300 ppm</w:t>
            </w:r>
          </w:p>
        </w:tc>
      </w:tr>
      <w:tr w:rsidR="00622F3D" w:rsidRPr="004C23F4" w14:paraId="1218C997" w14:textId="77777777" w:rsidTr="00372498">
        <w:trPr>
          <w:cantSplit/>
        </w:trPr>
        <w:tc>
          <w:tcPr>
            <w:tcW w:w="9026" w:type="dxa"/>
            <w:gridSpan w:val="2"/>
            <w:vAlign w:val="center"/>
          </w:tcPr>
          <w:p w14:paraId="0766E982" w14:textId="4A2E5DF4" w:rsidR="00622F3D" w:rsidRPr="00EB3D1B" w:rsidRDefault="00622F3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</w:t>
            </w:r>
            <w:r w:rsidRPr="00622F3D">
              <w:rPr>
                <w:b/>
              </w:rPr>
              <w:t>is:</w:t>
            </w:r>
            <w:r w:rsidRPr="00622F3D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F74C757927A48C9B2CBCE489E8CDA5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B17C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BFA638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FC8D1F7" w14:textId="529CCA9D" w:rsidR="006639B4" w:rsidRPr="00CA196F" w:rsidRDefault="00CA196F" w:rsidP="000C139A">
      <w:pPr>
        <w:rPr>
          <w:rFonts w:cs="Arial"/>
        </w:rPr>
      </w:pPr>
      <w:r>
        <w:rPr>
          <w:rFonts w:cs="Arial"/>
        </w:rPr>
        <w:t>A TWA of 50 ppm (174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elevated </w:t>
      </w:r>
      <w:r>
        <w:t>carboxyh</w:t>
      </w:r>
      <w:r w:rsidR="00526284">
        <w:t>a</w:t>
      </w:r>
      <w:r>
        <w:t>emoglobin (</w:t>
      </w:r>
      <w:proofErr w:type="spellStart"/>
      <w:r>
        <w:t>COHb</w:t>
      </w:r>
      <w:proofErr w:type="spellEnd"/>
      <w:r>
        <w:t>) and central nervous system (CNS) effects in exposed workers.</w:t>
      </w:r>
    </w:p>
    <w:p w14:paraId="462BB2B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0211EC8" w14:textId="65B78802" w:rsidR="00E15099" w:rsidRPr="00C316B5" w:rsidRDefault="00F45FF2" w:rsidP="00CA196F">
      <w:pPr>
        <w:rPr>
          <w:szCs w:val="18"/>
        </w:rPr>
      </w:pPr>
      <w:r w:rsidRPr="00C316B5">
        <w:rPr>
          <w:szCs w:val="18"/>
        </w:rPr>
        <w:t>Methylene chloride is predominantly used as a solvent</w:t>
      </w:r>
      <w:r w:rsidR="00B4434E" w:rsidRPr="00C316B5">
        <w:rPr>
          <w:szCs w:val="18"/>
        </w:rPr>
        <w:t xml:space="preserve">, including in paint stripper and degreasers, </w:t>
      </w:r>
      <w:r w:rsidR="00B4434E" w:rsidRPr="00C316B5">
        <w:rPr>
          <w:rFonts w:cs="Arial"/>
          <w:szCs w:val="18"/>
          <w:shd w:val="clear" w:color="auto" w:fill="FFFFFF"/>
        </w:rPr>
        <w:t xml:space="preserve">flavour extraction </w:t>
      </w:r>
      <w:r w:rsidR="00526284" w:rsidRPr="00C316B5">
        <w:rPr>
          <w:rFonts w:cs="Arial"/>
          <w:szCs w:val="18"/>
          <w:shd w:val="clear" w:color="auto" w:fill="FFFFFF"/>
        </w:rPr>
        <w:t xml:space="preserve">and </w:t>
      </w:r>
      <w:r w:rsidR="00B4434E" w:rsidRPr="00C316B5">
        <w:rPr>
          <w:rFonts w:cs="Arial"/>
          <w:szCs w:val="18"/>
          <w:shd w:val="clear" w:color="auto" w:fill="FFFFFF"/>
        </w:rPr>
        <w:t xml:space="preserve">as a blowing agent for polyurethane foams. </w:t>
      </w:r>
      <w:r w:rsidRPr="00C316B5">
        <w:rPr>
          <w:szCs w:val="18"/>
        </w:rPr>
        <w:t xml:space="preserve">Critical effects </w:t>
      </w:r>
      <w:r w:rsidR="00526284" w:rsidRPr="00C316B5">
        <w:rPr>
          <w:szCs w:val="18"/>
        </w:rPr>
        <w:t>of</w:t>
      </w:r>
      <w:r w:rsidRPr="00C316B5">
        <w:rPr>
          <w:szCs w:val="18"/>
        </w:rPr>
        <w:t xml:space="preserve"> exposure include </w:t>
      </w:r>
      <w:r w:rsidR="00526284" w:rsidRPr="00C316B5">
        <w:rPr>
          <w:szCs w:val="18"/>
        </w:rPr>
        <w:t>elevated</w:t>
      </w:r>
      <w:r w:rsidRPr="00C316B5">
        <w:rPr>
          <w:szCs w:val="18"/>
        </w:rPr>
        <w:t xml:space="preserve"> </w:t>
      </w:r>
      <w:proofErr w:type="spellStart"/>
      <w:r w:rsidR="00CA196F" w:rsidRPr="00C316B5">
        <w:rPr>
          <w:szCs w:val="18"/>
        </w:rPr>
        <w:t>COHb</w:t>
      </w:r>
      <w:proofErr w:type="spellEnd"/>
      <w:r w:rsidR="00C146BD" w:rsidRPr="00C316B5">
        <w:rPr>
          <w:szCs w:val="18"/>
        </w:rPr>
        <w:t xml:space="preserve"> and </w:t>
      </w:r>
      <w:r w:rsidR="00CA196F" w:rsidRPr="00C316B5">
        <w:rPr>
          <w:szCs w:val="18"/>
        </w:rPr>
        <w:t>CNS</w:t>
      </w:r>
      <w:r w:rsidR="00B4434E" w:rsidRPr="00C316B5">
        <w:rPr>
          <w:szCs w:val="18"/>
        </w:rPr>
        <w:t xml:space="preserve"> </w:t>
      </w:r>
      <w:r w:rsidRPr="00C316B5">
        <w:rPr>
          <w:szCs w:val="18"/>
        </w:rPr>
        <w:t>effects.</w:t>
      </w:r>
      <w:r w:rsidR="006F6A4F" w:rsidRPr="00C316B5">
        <w:rPr>
          <w:szCs w:val="18"/>
        </w:rPr>
        <w:t xml:space="preserve"> </w:t>
      </w:r>
    </w:p>
    <w:p w14:paraId="542CCF90" w14:textId="59509C5F" w:rsidR="00CA196F" w:rsidRDefault="006F6A4F" w:rsidP="00CA196F">
      <w:r>
        <w:rPr>
          <w:szCs w:val="18"/>
        </w:rPr>
        <w:t xml:space="preserve">A LOAEC of 200 ppm </w:t>
      </w:r>
      <w:r w:rsidR="005A0C6D">
        <w:rPr>
          <w:szCs w:val="18"/>
        </w:rPr>
        <w:t xml:space="preserve">is reported </w:t>
      </w:r>
      <w:r>
        <w:rPr>
          <w:szCs w:val="18"/>
        </w:rPr>
        <w:t>for acute CNS effects in human volunteers. This LOAEC was derived from</w:t>
      </w:r>
      <w:r w:rsidR="00444522">
        <w:rPr>
          <w:szCs w:val="18"/>
        </w:rPr>
        <w:t xml:space="preserve"> </w:t>
      </w:r>
      <w:r w:rsidR="00444522">
        <w:t>three</w:t>
      </w:r>
      <w:r w:rsidRPr="006F6A4F">
        <w:t xml:space="preserve"> experimental studies </w:t>
      </w:r>
      <w:r>
        <w:t xml:space="preserve">involving exposure durations of </w:t>
      </w:r>
      <w:r w:rsidR="00107975">
        <w:t>three</w:t>
      </w:r>
      <w:r>
        <w:t xml:space="preserve"> hours or more. </w:t>
      </w:r>
      <w:r w:rsidR="00F45FF2">
        <w:t xml:space="preserve">No chronic CNS effects </w:t>
      </w:r>
      <w:r w:rsidR="00526284">
        <w:t>a</w:t>
      </w:r>
      <w:r w:rsidR="00F45FF2">
        <w:t xml:space="preserve">re identified in workers exposed at concentrations ranging </w:t>
      </w:r>
      <w:r w:rsidR="00526284">
        <w:t xml:space="preserve">from </w:t>
      </w:r>
      <w:r w:rsidR="00F45FF2">
        <w:t>100</w:t>
      </w:r>
      <w:r w:rsidR="00231183">
        <w:t xml:space="preserve"> to </w:t>
      </w:r>
      <w:r w:rsidR="00F45FF2">
        <w:t>225</w:t>
      </w:r>
      <w:r w:rsidR="00526284">
        <w:t> </w:t>
      </w:r>
      <w:r w:rsidR="00F45FF2">
        <w:t>ppm</w:t>
      </w:r>
      <w:r w:rsidR="00523A50">
        <w:t xml:space="preserve"> (ACGIH, 2018). Occupational medical field observations identified that exposure </w:t>
      </w:r>
      <w:r w:rsidR="004B5D12">
        <w:t xml:space="preserve">at </w:t>
      </w:r>
      <w:r w:rsidR="00523A50">
        <w:t xml:space="preserve">90 ppm produced </w:t>
      </w:r>
      <w:proofErr w:type="spellStart"/>
      <w:r w:rsidR="00523A50">
        <w:t>COHb</w:t>
      </w:r>
      <w:proofErr w:type="spellEnd"/>
      <w:r w:rsidR="00523A50">
        <w:t xml:space="preserve"> levels of </w:t>
      </w:r>
      <w:r w:rsidR="00231183">
        <w:t>four per cent</w:t>
      </w:r>
      <w:r w:rsidR="00523A50">
        <w:t xml:space="preserve">, which </w:t>
      </w:r>
      <w:proofErr w:type="gramStart"/>
      <w:r w:rsidR="00523A50">
        <w:t>are considered to be</w:t>
      </w:r>
      <w:proofErr w:type="gramEnd"/>
      <w:r w:rsidR="00523A50">
        <w:t xml:space="preserve"> </w:t>
      </w:r>
      <w:r w:rsidR="00E15099">
        <w:t>in</w:t>
      </w:r>
      <w:r w:rsidR="004B5D12">
        <w:t xml:space="preserve">significant </w:t>
      </w:r>
      <w:r w:rsidR="00523A50">
        <w:t xml:space="preserve">(DFG, 2014). </w:t>
      </w:r>
      <w:r w:rsidR="00231183">
        <w:t>There is n</w:t>
      </w:r>
      <w:r w:rsidR="00523A50">
        <w:t>o evidence of adverse effects on health following occupational exposure to approximately 100 ppm for several years</w:t>
      </w:r>
      <w:r w:rsidR="00931F23">
        <w:t>. Reversible CNS effects are reported in animals at concentration of 2,000 ppm</w:t>
      </w:r>
      <w:r w:rsidR="00D73E0F">
        <w:t xml:space="preserve"> </w:t>
      </w:r>
      <w:r w:rsidR="00523A50">
        <w:t xml:space="preserve">(SCOEL, 2009). </w:t>
      </w:r>
      <w:r w:rsidR="00231183">
        <w:t>Methylene chloride is c</w:t>
      </w:r>
      <w:r w:rsidR="00523A50">
        <w:t>onsidered a weak animal carcinogen</w:t>
      </w:r>
      <w:r w:rsidR="00C04652">
        <w:t xml:space="preserve"> but</w:t>
      </w:r>
      <w:r w:rsidR="00CA196F">
        <w:t xml:space="preserve"> there is no clear association between exposure and cancer in humans.</w:t>
      </w:r>
    </w:p>
    <w:p w14:paraId="3456E774" w14:textId="31215AB6" w:rsidR="00523A50" w:rsidRDefault="00CA196F" w:rsidP="00523A50">
      <w:r>
        <w:rPr>
          <w:rFonts w:cs="Arial"/>
        </w:rPr>
        <w:t xml:space="preserve">The TWA of 50 ppm </w:t>
      </w:r>
      <w:r w:rsidR="00424369">
        <w:rPr>
          <w:rFonts w:cs="Arial"/>
        </w:rPr>
        <w:t>(174 mg/m</w:t>
      </w:r>
      <w:r w:rsidR="00424369">
        <w:rPr>
          <w:rFonts w:cs="Arial"/>
          <w:vertAlign w:val="superscript"/>
        </w:rPr>
        <w:t>3</w:t>
      </w:r>
      <w:r w:rsidR="00424369">
        <w:rPr>
          <w:rFonts w:cs="Arial"/>
        </w:rPr>
        <w:t xml:space="preserve">) </w:t>
      </w:r>
      <w:r>
        <w:rPr>
          <w:rFonts w:cs="Arial"/>
        </w:rPr>
        <w:t xml:space="preserve">is </w:t>
      </w:r>
      <w:r w:rsidR="00ED48CC">
        <w:rPr>
          <w:rFonts w:cs="Arial"/>
        </w:rPr>
        <w:t xml:space="preserve">recommended be retained. It is </w:t>
      </w:r>
      <w:r>
        <w:rPr>
          <w:rFonts w:cs="Arial"/>
        </w:rPr>
        <w:t xml:space="preserve">consistent across most primary sources and on the weight of evidence presented is expected to be protective of effects on the CNS and </w:t>
      </w:r>
      <w:proofErr w:type="spellStart"/>
      <w:r>
        <w:rPr>
          <w:rFonts w:cs="Arial"/>
        </w:rPr>
        <w:t>COHb</w:t>
      </w:r>
      <w:proofErr w:type="spellEnd"/>
      <w:r>
        <w:rPr>
          <w:rFonts w:cs="Arial"/>
        </w:rPr>
        <w:t xml:space="preserve"> elevation. The </w:t>
      </w:r>
      <w:r w:rsidR="008C2483">
        <w:rPr>
          <w:rFonts w:cs="Arial"/>
        </w:rPr>
        <w:t>TWA of 50 ppm</w:t>
      </w:r>
      <w:r>
        <w:rPr>
          <w:rFonts w:cs="Arial"/>
        </w:rPr>
        <w:t xml:space="preserve"> is considered sufficiently low to protect for effects from transient</w:t>
      </w:r>
      <w:r w:rsidR="00931F23">
        <w:rPr>
          <w:rFonts w:cs="Arial"/>
        </w:rPr>
        <w:t>, acute</w:t>
      </w:r>
      <w:r>
        <w:rPr>
          <w:rFonts w:cs="Arial"/>
        </w:rPr>
        <w:t xml:space="preserve"> </w:t>
      </w:r>
      <w:r w:rsidR="00931F23">
        <w:rPr>
          <w:rFonts w:cs="Arial"/>
        </w:rPr>
        <w:t>airborne concentration</w:t>
      </w:r>
      <w:r>
        <w:rPr>
          <w:rFonts w:cs="Arial"/>
        </w:rPr>
        <w:t>.</w:t>
      </w:r>
      <w:r w:rsidR="00107975">
        <w:rPr>
          <w:rFonts w:cs="Arial"/>
        </w:rPr>
        <w:t xml:space="preserve"> </w:t>
      </w:r>
      <w:r w:rsidR="00931F23">
        <w:rPr>
          <w:rFonts w:cs="Arial"/>
        </w:rPr>
        <w:t xml:space="preserve">Additionally, </w:t>
      </w:r>
      <w:r w:rsidR="00D73E0F">
        <w:rPr>
          <w:rFonts w:cs="Arial"/>
        </w:rPr>
        <w:t xml:space="preserve">there is </w:t>
      </w:r>
      <w:r w:rsidR="00931F23">
        <w:rPr>
          <w:rFonts w:cs="Arial"/>
        </w:rPr>
        <w:t>insufficient evidence available to recommend a STEL.</w:t>
      </w:r>
    </w:p>
    <w:p w14:paraId="443ADA47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5E12DB95" w14:textId="733908A6" w:rsidR="00F94078" w:rsidRDefault="00751130" w:rsidP="00F94078">
      <w:pPr>
        <w:rPr>
          <w:rFonts w:cs="Arial"/>
        </w:rPr>
      </w:pPr>
      <w:r>
        <w:rPr>
          <w:rFonts w:cs="Arial"/>
        </w:rPr>
        <w:t>C</w:t>
      </w:r>
      <w:r w:rsidR="00F94078">
        <w:rPr>
          <w:rFonts w:cs="Arial"/>
        </w:rPr>
        <w:t xml:space="preserve">lassified as a </w:t>
      </w:r>
      <w:r w:rsidR="00424369">
        <w:rPr>
          <w:rFonts w:cs="Arial"/>
        </w:rPr>
        <w:t>category 2</w:t>
      </w:r>
      <w:r w:rsidR="00231183">
        <w:rPr>
          <w:rFonts w:cs="Arial"/>
        </w:rPr>
        <w:t xml:space="preserve"> </w:t>
      </w:r>
      <w:r w:rsidR="00F94078">
        <w:rPr>
          <w:rFonts w:cs="Arial"/>
        </w:rPr>
        <w:t>carcinogen</w:t>
      </w:r>
      <w:r>
        <w:rPr>
          <w:rFonts w:cs="Arial"/>
        </w:rPr>
        <w:t xml:space="preserve"> </w:t>
      </w:r>
      <w:r w:rsidR="00F94078">
        <w:rPr>
          <w:rFonts w:cs="Arial"/>
        </w:rPr>
        <w:t>according to the Globally Harmonized System of</w:t>
      </w:r>
      <w:r>
        <w:rPr>
          <w:rFonts w:cs="Arial"/>
        </w:rPr>
        <w:t xml:space="preserve"> Classification and Labelling of</w:t>
      </w:r>
      <w:r w:rsidR="00F94078">
        <w:rPr>
          <w:rFonts w:cs="Arial"/>
        </w:rPr>
        <w:t xml:space="preserve"> Chemicals (GHS). </w:t>
      </w:r>
    </w:p>
    <w:p w14:paraId="147EC6DD" w14:textId="3F4698F0" w:rsidR="00F94078" w:rsidRDefault="00F94078" w:rsidP="00F94078">
      <w:pPr>
        <w:rPr>
          <w:rFonts w:cs="Arial"/>
        </w:rPr>
      </w:pPr>
      <w:r>
        <w:rPr>
          <w:rFonts w:cs="Arial"/>
        </w:rPr>
        <w:t>Not classified as a skin</w:t>
      </w:r>
      <w:r w:rsidR="00751130">
        <w:rPr>
          <w:rFonts w:cs="Arial"/>
        </w:rPr>
        <w:t xml:space="preserve"> sensitiser</w:t>
      </w:r>
      <w:r>
        <w:rPr>
          <w:rFonts w:cs="Arial"/>
        </w:rPr>
        <w:t xml:space="preserve"> or respiratory sensitiser according to the GHS.</w:t>
      </w:r>
    </w:p>
    <w:p w14:paraId="1809E68E" w14:textId="6B09B2AC" w:rsidR="0025734A" w:rsidRPr="004C23F4" w:rsidRDefault="00751130">
      <w:pPr>
        <w:rPr>
          <w:rFonts w:cs="Arial"/>
        </w:rPr>
      </w:pPr>
      <w:r>
        <w:rPr>
          <w:rFonts w:cs="Arial"/>
        </w:rPr>
        <w:t xml:space="preserve">Skin notation </w:t>
      </w:r>
      <w:r w:rsidR="00D73E0F">
        <w:rPr>
          <w:rFonts w:cs="Arial"/>
        </w:rPr>
        <w:t xml:space="preserve">is </w:t>
      </w:r>
      <w:r>
        <w:rPr>
          <w:rFonts w:cs="Arial"/>
        </w:rPr>
        <w:t>recommended based on report of adverse effect</w:t>
      </w:r>
      <w:r w:rsidR="00D73E0F">
        <w:rPr>
          <w:rFonts w:cs="Arial"/>
        </w:rPr>
        <w:t>s</w:t>
      </w:r>
      <w:r>
        <w:rPr>
          <w:rFonts w:cs="Arial"/>
        </w:rPr>
        <w:t xml:space="preserve"> in human case study</w:t>
      </w:r>
      <w:r w:rsidR="00CA196F">
        <w:rPr>
          <w:rFonts w:cs="Arial"/>
        </w:rPr>
        <w:t>.</w:t>
      </w:r>
    </w:p>
    <w:p w14:paraId="28C966C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1784D8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F44576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9837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8919"/>
        <w:gridCol w:w="8799"/>
      </w:tblGrid>
      <w:tr w:rsidR="00C978F0" w:rsidRPr="00DA352E" w14:paraId="16077875" w14:textId="77777777" w:rsidTr="00B4434E">
        <w:trPr>
          <w:gridAfter w:val="1"/>
          <w:wAfter w:w="2483" w:type="pct"/>
          <w:trHeight w:val="393"/>
          <w:tblHeader/>
        </w:trPr>
        <w:tc>
          <w:tcPr>
            <w:tcW w:w="2517" w:type="pct"/>
            <w:shd w:val="clear" w:color="auto" w:fill="BFBFBF" w:themeFill="background1" w:themeFillShade="BF"/>
            <w:vAlign w:val="center"/>
          </w:tcPr>
          <w:p w14:paraId="4BDA6FFF" w14:textId="77777777" w:rsidR="00C978F0" w:rsidRPr="00DA352E" w:rsidRDefault="00C978F0" w:rsidP="00622F3D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D1C8B0C" w14:textId="77777777" w:rsidTr="00B4434E">
        <w:tc>
          <w:tcPr>
            <w:tcW w:w="0" w:type="pct"/>
            <w:gridSpan w:val="2"/>
            <w:shd w:val="clear" w:color="auto" w:fill="F2F2F2" w:themeFill="background1" w:themeFillShade="F2"/>
          </w:tcPr>
          <w:p w14:paraId="37A4ECC8" w14:textId="37F90717" w:rsidR="00DE26E8" w:rsidRPr="003365A5" w:rsidRDefault="00DE26E8" w:rsidP="00B4434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76A9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76A97">
                  <w:t>TWA: 50 ppm (174 mg/m</w:t>
                </w:r>
                <w:r w:rsidR="00D76A97" w:rsidRPr="00D76A97">
                  <w:rPr>
                    <w:vertAlign w:val="superscript"/>
                  </w:rPr>
                  <w:t>3</w:t>
                </w:r>
                <w:r w:rsidR="00D76A97">
                  <w:t>)</w:t>
                </w:r>
              </w:sdtContent>
            </w:sdt>
          </w:p>
        </w:tc>
      </w:tr>
      <w:tr w:rsidR="00C978F0" w:rsidRPr="00DA352E" w14:paraId="718E2A9E" w14:textId="77777777" w:rsidTr="00B4434E">
        <w:trPr>
          <w:gridAfter w:val="1"/>
          <w:wAfter w:w="2483" w:type="pct"/>
        </w:trPr>
        <w:tc>
          <w:tcPr>
            <w:tcW w:w="2517" w:type="pct"/>
          </w:tcPr>
          <w:p w14:paraId="5B0F35C2" w14:textId="77777777" w:rsidR="00C978F0" w:rsidRPr="00DA352E" w:rsidRDefault="00C978F0" w:rsidP="00622F3D">
            <w:pPr>
              <w:pStyle w:val="Tabletextprimarysource"/>
            </w:pPr>
          </w:p>
        </w:tc>
      </w:tr>
      <w:tr w:rsidR="00C978F0" w:rsidRPr="00DA352E" w14:paraId="58730A8E" w14:textId="77777777" w:rsidTr="00B4434E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7605D2C0" w14:textId="56045CD1" w:rsidR="00C978F0" w:rsidRPr="00DA352E" w:rsidRDefault="00DA352E" w:rsidP="00B4434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76A9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76A97">
                  <w:t>TLV-TWA: 50 ppm (174 mg/m</w:t>
                </w:r>
                <w:r w:rsidR="00D76A97" w:rsidRPr="00D76A97">
                  <w:rPr>
                    <w:vertAlign w:val="superscript"/>
                  </w:rPr>
                  <w:t>3</w:t>
                </w:r>
                <w:r w:rsidR="00D76A97">
                  <w:t>)</w:t>
                </w:r>
              </w:sdtContent>
            </w:sdt>
          </w:p>
        </w:tc>
      </w:tr>
      <w:tr w:rsidR="00C978F0" w:rsidRPr="00DA352E" w14:paraId="62344F31" w14:textId="77777777" w:rsidTr="00B4434E">
        <w:trPr>
          <w:gridAfter w:val="1"/>
          <w:wAfter w:w="2483" w:type="pct"/>
        </w:trPr>
        <w:tc>
          <w:tcPr>
            <w:tcW w:w="2517" w:type="pct"/>
          </w:tcPr>
          <w:p w14:paraId="501E968D" w14:textId="679AA90A" w:rsidR="00C978F0" w:rsidRDefault="00C146BD" w:rsidP="00622F3D">
            <w:pPr>
              <w:pStyle w:val="Tabletextprimarysource"/>
            </w:pPr>
            <w:r>
              <w:t xml:space="preserve">TLV-TWA recommended to minimise the potential for elevation of </w:t>
            </w:r>
            <w:proofErr w:type="spellStart"/>
            <w:r w:rsidR="009B15B3">
              <w:t>CO</w:t>
            </w:r>
            <w:r w:rsidR="00DB4ECA">
              <w:t>Hb</w:t>
            </w:r>
            <w:proofErr w:type="spellEnd"/>
            <w:r>
              <w:t xml:space="preserve"> and CNS depression.</w:t>
            </w:r>
          </w:p>
          <w:p w14:paraId="29BA2512" w14:textId="77777777" w:rsidR="00C146BD" w:rsidRDefault="00C146BD">
            <w:pPr>
              <w:pStyle w:val="Tabletextprimarysource"/>
            </w:pPr>
            <w:r>
              <w:t>Summary of data:</w:t>
            </w:r>
          </w:p>
          <w:p w14:paraId="11ABEBAF" w14:textId="77777777" w:rsidR="00C146BD" w:rsidRDefault="00C146BD">
            <w:pPr>
              <w:pStyle w:val="Tabletextprimarysource"/>
            </w:pPr>
            <w:r>
              <w:t>Human data:</w:t>
            </w:r>
          </w:p>
          <w:p w14:paraId="143984CA" w14:textId="17023114" w:rsidR="00C146BD" w:rsidRDefault="00AB73E4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</w:t>
            </w:r>
            <w:r w:rsidR="006F6A4F">
              <w:t>C</w:t>
            </w:r>
            <w:r>
              <w:t xml:space="preserve"> of 200 ppm for acute CNS effects; based on 3 experimental </w:t>
            </w:r>
            <w:r w:rsidR="00DB4ECA">
              <w:t xml:space="preserve">studies </w:t>
            </w:r>
            <w:r w:rsidR="00DB4ECA">
              <w:rPr>
                <w:rFonts w:cs="Arial"/>
              </w:rPr>
              <w:t>≥</w:t>
            </w:r>
            <w:r w:rsidR="00DB4ECA">
              <w:t>3</w:t>
            </w:r>
            <w:r w:rsidR="00107975">
              <w:t xml:space="preserve"> </w:t>
            </w:r>
            <w:r>
              <w:t>h exposures</w:t>
            </w:r>
          </w:p>
          <w:p w14:paraId="6E780B15" w14:textId="3D7A1E9C" w:rsidR="00AB73E4" w:rsidRDefault="00AB73E4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CNS effects attributable to chronic, low-level exposure within or above 100</w:t>
            </w:r>
            <w:r w:rsidR="00622F3D">
              <w:t>–</w:t>
            </w:r>
            <w:r>
              <w:t>225</w:t>
            </w:r>
            <w:r w:rsidR="00D73E0F">
              <w:t> </w:t>
            </w:r>
            <w:r>
              <w:t xml:space="preserve">ppm; possible NOAEL; </w:t>
            </w:r>
            <w:r w:rsidR="00AB2717">
              <w:t xml:space="preserve">based on study </w:t>
            </w:r>
            <w:r w:rsidR="00E00A04">
              <w:t>in</w:t>
            </w:r>
            <w:r w:rsidR="00AB2717">
              <w:t xml:space="preserve"> airline mechanics</w:t>
            </w:r>
            <w:r w:rsidR="00107975">
              <w:t>:</w:t>
            </w:r>
          </w:p>
          <w:p w14:paraId="51EE1797" w14:textId="64FEFC2B" w:rsidR="00AB2717" w:rsidRDefault="00231183" w:rsidP="001104C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AB2717">
              <w:t xml:space="preserve">onsistent with evidence </w:t>
            </w:r>
            <w:r w:rsidR="0043341C">
              <w:t xml:space="preserve">of an excess in self-reporting neurological effects </w:t>
            </w:r>
            <w:r w:rsidR="00AB2717">
              <w:t xml:space="preserve">from </w:t>
            </w:r>
            <w:r w:rsidR="0043341C">
              <w:t xml:space="preserve">a </w:t>
            </w:r>
            <w:r w:rsidR="00AB2717">
              <w:t xml:space="preserve">study in workers </w:t>
            </w:r>
            <w:r w:rsidR="00A608DC">
              <w:t>exposed to an estimated 75–100</w:t>
            </w:r>
            <w:r w:rsidR="00622F3D">
              <w:t> </w:t>
            </w:r>
            <w:r w:rsidR="00A608DC">
              <w:t xml:space="preserve">ppm </w:t>
            </w:r>
            <w:r w:rsidR="0043341C">
              <w:t xml:space="preserve">when compared </w:t>
            </w:r>
            <w:r w:rsidR="00A608DC">
              <w:t>to controls</w:t>
            </w:r>
          </w:p>
          <w:p w14:paraId="6BAB82DE" w14:textId="4E7FF967" w:rsidR="00AB2717" w:rsidRDefault="00E00A04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Epidemiological studies in workers exposed </w:t>
            </w:r>
            <w:r w:rsidR="00231183">
              <w:t>at</w:t>
            </w:r>
            <w:r>
              <w:t xml:space="preserve"> 140</w:t>
            </w:r>
            <w:r w:rsidR="00622F3D">
              <w:t>–</w:t>
            </w:r>
            <w:r>
              <w:t>475 ppm or a mean TWA of 26</w:t>
            </w:r>
            <w:r w:rsidR="00622F3D">
              <w:t> </w:t>
            </w:r>
            <w:r>
              <w:t>ppm; no increase in mortality due to ischemic heart disease or</w:t>
            </w:r>
            <w:r w:rsidR="0043341C">
              <w:t xml:space="preserve"> no increase</w:t>
            </w:r>
            <w:r>
              <w:t xml:space="preserve"> in electrocardiographic abnormalities </w:t>
            </w:r>
          </w:p>
          <w:p w14:paraId="4F54EE58" w14:textId="251CFA14" w:rsidR="00231183" w:rsidRDefault="00E00A04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Cohort study of 1,013 full-time male workers of same factory; at least 1 yr work in dichloromethane usage areas; </w:t>
            </w:r>
            <w:r w:rsidR="00171AA1">
              <w:t>m</w:t>
            </w:r>
            <w:r>
              <w:t>ean exposure</w:t>
            </w:r>
            <w:r w:rsidR="00171AA1">
              <w:t xml:space="preserve"> </w:t>
            </w:r>
            <w:r>
              <w:t xml:space="preserve">TWA 26 ppm; </w:t>
            </w:r>
            <w:r w:rsidR="00171AA1">
              <w:t>control group of 40,000</w:t>
            </w:r>
            <w:r w:rsidR="00107975">
              <w:t> </w:t>
            </w:r>
            <w:r w:rsidR="00171AA1">
              <w:t>males</w:t>
            </w:r>
            <w:r w:rsidR="00107975">
              <w:t>:</w:t>
            </w:r>
          </w:p>
          <w:p w14:paraId="0DC18D33" w14:textId="2D373204" w:rsidR="00231183" w:rsidRDefault="00171AA1" w:rsidP="001104C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less than the expected total numbers of deaths and deaths due to hypothesised lung and digestive system cancers were observed</w:t>
            </w:r>
          </w:p>
          <w:p w14:paraId="4A89572E" w14:textId="39867D4C" w:rsidR="00E00A04" w:rsidRDefault="00171AA1" w:rsidP="001104C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expected pancreatic cancers exceed expected numbers but likely due to other risk factors (diabetes, smoking, alcohol abuse) and effect was not dose-related</w:t>
            </w:r>
          </w:p>
          <w:p w14:paraId="35F38345" w14:textId="65777E1D" w:rsidR="00231183" w:rsidRDefault="00145369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Cohort of 1,271 workers employed for at least 3 </w:t>
            </w:r>
            <w:proofErr w:type="spellStart"/>
            <w:r>
              <w:t>mo</w:t>
            </w:r>
            <w:proofErr w:type="spellEnd"/>
            <w:r>
              <w:t>; exposure categories low (</w:t>
            </w:r>
            <w:r w:rsidR="00231183">
              <w:t>140 </w:t>
            </w:r>
            <w:r>
              <w:t>ppm); medium (280 ppm); high (475 ppm); co-exposures to methanol and acetone; reference population of 948 unexposed workers</w:t>
            </w:r>
            <w:r w:rsidR="00107975">
              <w:t>:</w:t>
            </w:r>
          </w:p>
          <w:p w14:paraId="2F44ABF8" w14:textId="4528CC73" w:rsidR="00231183" w:rsidRDefault="00145369" w:rsidP="001104C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no significant increase in overall mortality or in deaths due to ischemic heart disease or maligna</w:t>
            </w:r>
            <w:r w:rsidR="00B4434E">
              <w:t>nt neoplasms compared to US population</w:t>
            </w:r>
          </w:p>
          <w:p w14:paraId="06EA120D" w14:textId="0897B5ED" w:rsidR="00231183" w:rsidRDefault="00145369" w:rsidP="001104C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increase in mortality due to ischemic heart di</w:t>
            </w:r>
            <w:r w:rsidR="00B4434E">
              <w:t>sease compared to reference population</w:t>
            </w:r>
            <w:r>
              <w:t>, associated with relatively higher rate of cardiovascular disease in the geographic region</w:t>
            </w:r>
            <w:r w:rsidR="0009475D">
              <w:t xml:space="preserve"> of the exposed</w:t>
            </w:r>
          </w:p>
          <w:p w14:paraId="178DF0A7" w14:textId="0873E22C" w:rsidR="0009475D" w:rsidRDefault="0009475D" w:rsidP="001104CA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an increase in biliary tract cancer as</w:t>
            </w:r>
            <w:r w:rsidR="00B4434E">
              <w:t>sociated with estimated TWA 140</w:t>
            </w:r>
            <w:r>
              <w:t xml:space="preserve"> to 475</w:t>
            </w:r>
            <w:r w:rsidR="00231183">
              <w:t> </w:t>
            </w:r>
            <w:r>
              <w:t>ppm range diminish with longer follow-up</w:t>
            </w:r>
          </w:p>
          <w:p w14:paraId="19F53076" w14:textId="77777777" w:rsidR="0009475D" w:rsidRDefault="0009475D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Epidemiology studies failed to indicate an increase in these or other types of cancers.</w:t>
            </w:r>
          </w:p>
          <w:p w14:paraId="24D654B6" w14:textId="77777777" w:rsidR="0009475D" w:rsidRDefault="0009475D" w:rsidP="00622F3D">
            <w:pPr>
              <w:pStyle w:val="Tabletextprimarysource"/>
            </w:pPr>
            <w:r>
              <w:t>Animal data:</w:t>
            </w:r>
          </w:p>
          <w:p w14:paraId="1F3A7394" w14:textId="6D29C83C" w:rsidR="0009475D" w:rsidRPr="00ED48CC" w:rsidRDefault="00130955" w:rsidP="001104CA">
            <w:pPr>
              <w:pStyle w:val="ListBullet"/>
              <w:spacing w:before="60" w:after="60"/>
              <w:ind w:left="714" w:hanging="357"/>
              <w:contextualSpacing w:val="0"/>
            </w:pPr>
            <w:r w:rsidRPr="00ED48CC">
              <w:rPr>
                <w:lang w:val="it-IT"/>
              </w:rPr>
              <w:t>LC</w:t>
            </w:r>
            <w:r w:rsidRPr="00ED48CC">
              <w:rPr>
                <w:vertAlign w:val="subscript"/>
                <w:lang w:val="it-IT"/>
              </w:rPr>
              <w:t>50</w:t>
            </w:r>
            <w:r w:rsidR="00231183" w:rsidRPr="00ED48CC">
              <w:rPr>
                <w:lang w:val="it-IT"/>
              </w:rPr>
              <w:t>:</w:t>
            </w:r>
            <w:r w:rsidRPr="00ED48CC">
              <w:rPr>
                <w:lang w:val="it-IT"/>
              </w:rPr>
              <w:t xml:space="preserve"> 11,500 ppm </w:t>
            </w:r>
            <w:r w:rsidR="002B599B" w:rsidRPr="00ED48CC">
              <w:t>(</w:t>
            </w:r>
            <w:r w:rsidRPr="00ED48CC">
              <w:t>guinea pigs</w:t>
            </w:r>
            <w:r w:rsidR="002B599B" w:rsidRPr="00ED48CC">
              <w:t>, 6 h)</w:t>
            </w:r>
          </w:p>
          <w:p w14:paraId="3ED1E09C" w14:textId="0DC883EB" w:rsidR="00130955" w:rsidRDefault="00130955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exposure primarily depresses the CNS; deep narcosis in cats at 10,600 ppm for 293 min; narcosis in monkeys, rabbits and rats at 10,000 ppm for 1 h</w:t>
            </w:r>
          </w:p>
          <w:p w14:paraId="23A8544C" w14:textId="77777777" w:rsidR="00130955" w:rsidRDefault="00FE128E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Hepatotoxicity associated with acute exposure; disruption of rough endoplasmic reticulum membranes and coalescence of endoplasmic reticular membranes into large vacuoles in mice following continuous exposure at 5,000 ppm</w:t>
            </w:r>
          </w:p>
          <w:p w14:paraId="5E6E68EC" w14:textId="50335AEA" w:rsidR="00FE128E" w:rsidRDefault="00FE128E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adverse effects in dogs, rabbits or rats exposed 7 h/d, 5 d/</w:t>
            </w:r>
            <w:proofErr w:type="spellStart"/>
            <w:r>
              <w:t>wk</w:t>
            </w:r>
            <w:proofErr w:type="spellEnd"/>
            <w:r>
              <w:t xml:space="preserve"> for up to 6 </w:t>
            </w:r>
            <w:proofErr w:type="spellStart"/>
            <w:r>
              <w:t>mo</w:t>
            </w:r>
            <w:proofErr w:type="spellEnd"/>
            <w:r>
              <w:t xml:space="preserve"> at 5,000</w:t>
            </w:r>
            <w:r w:rsidR="00107975">
              <w:t> </w:t>
            </w:r>
            <w:r>
              <w:t>ppm</w:t>
            </w:r>
          </w:p>
          <w:p w14:paraId="3DBA7C80" w14:textId="06D1A262" w:rsidR="007A7C6A" w:rsidRDefault="00FE128E" w:rsidP="001104CA">
            <w:pPr>
              <w:pStyle w:val="ListBullet"/>
              <w:keepNext/>
              <w:spacing w:before="60" w:after="60"/>
              <w:ind w:left="714" w:hanging="357"/>
              <w:contextualSpacing w:val="0"/>
            </w:pPr>
            <w:r>
              <w:lastRenderedPageBreak/>
              <w:t>Rats exposed</w:t>
            </w:r>
            <w:r w:rsidR="00424369">
              <w:t xml:space="preserve"> 6 h/d, 5 d/</w:t>
            </w:r>
            <w:proofErr w:type="spellStart"/>
            <w:r w:rsidR="00424369">
              <w:t>wk</w:t>
            </w:r>
            <w:proofErr w:type="spellEnd"/>
            <w:r w:rsidR="00424369">
              <w:t xml:space="preserve"> for 2 yr at</w:t>
            </w:r>
            <w:r w:rsidR="00B4434E">
              <w:t xml:space="preserve"> </w:t>
            </w:r>
            <w:r w:rsidR="007A7C6A">
              <w:t>1,000, 2,000 or 4,000 ppm:</w:t>
            </w:r>
          </w:p>
          <w:p w14:paraId="144216D3" w14:textId="005CC63C" w:rsidR="00FE128E" w:rsidRDefault="007A7C6A" w:rsidP="001104CA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increased incidences of hepatic </w:t>
            </w:r>
            <w:proofErr w:type="spellStart"/>
            <w:r w:rsidR="00CB17C4">
              <w:t>haemosiderosis</w:t>
            </w:r>
            <w:proofErr w:type="spellEnd"/>
            <w:r>
              <w:t xml:space="preserve">, </w:t>
            </w:r>
            <w:r w:rsidR="00424369">
              <w:t>cytomegaly, cytoplasmic vacuolis</w:t>
            </w:r>
            <w:r>
              <w:t>ation, necrosis, granulomatous inflammation, and bile duct fibrosis</w:t>
            </w:r>
          </w:p>
          <w:p w14:paraId="27975CDC" w14:textId="79ED8B20" w:rsidR="007A7C6A" w:rsidRDefault="007A7C6A" w:rsidP="001104CA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increased incidences of benign mammary gland lesions (adenomas and fibroadenomas); no increase in malignant neoplasms</w:t>
            </w:r>
            <w:r w:rsidR="00622F3D">
              <w:t>.</w:t>
            </w:r>
          </w:p>
          <w:p w14:paraId="11E7B593" w14:textId="55AD2E4F" w:rsidR="00231183" w:rsidRDefault="007A7C6A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Mice exposed 6 h/d, 5 d/</w:t>
            </w:r>
            <w:proofErr w:type="spellStart"/>
            <w:r>
              <w:t>wk</w:t>
            </w:r>
            <w:proofErr w:type="spellEnd"/>
            <w:r>
              <w:t xml:space="preserve"> for 102 </w:t>
            </w:r>
            <w:proofErr w:type="spellStart"/>
            <w:r>
              <w:t>wk</w:t>
            </w:r>
            <w:proofErr w:type="spellEnd"/>
            <w:r>
              <w:t xml:space="preserve"> at 2,000 or 4,000 ppm</w:t>
            </w:r>
            <w:r w:rsidR="00107975">
              <w:t>:</w:t>
            </w:r>
          </w:p>
          <w:p w14:paraId="684B1724" w14:textId="160726AD" w:rsidR="007A7C6A" w:rsidRDefault="007A7C6A" w:rsidP="001104CA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significantly increased incidence of liver and lung tumours</w:t>
            </w:r>
          </w:p>
          <w:p w14:paraId="4B36C4A0" w14:textId="25508170" w:rsidR="007A7C6A" w:rsidRDefault="007A7C6A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Mouse cancer response species-specific </w:t>
            </w:r>
          </w:p>
          <w:p w14:paraId="6C436201" w14:textId="3667DD0F" w:rsidR="007A7C6A" w:rsidRDefault="007A7C6A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Considered weak animal carcinogen</w:t>
            </w:r>
          </w:p>
          <w:p w14:paraId="6D3E44BE" w14:textId="7679BC56" w:rsidR="00231183" w:rsidRDefault="00DB4ECA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Mutagenic, with and without metabolic activation, in most bacterial assays for point mutation</w:t>
            </w:r>
            <w:r w:rsidR="00622F3D">
              <w:t>.</w:t>
            </w:r>
          </w:p>
          <w:p w14:paraId="235789E2" w14:textId="77777777" w:rsidR="00107975" w:rsidRDefault="00107975" w:rsidP="00622F3D">
            <w:pPr>
              <w:pStyle w:val="Tabletextprimarysource"/>
            </w:pPr>
          </w:p>
          <w:p w14:paraId="7A1B8816" w14:textId="3FB1CECE" w:rsidR="00DB4ECA" w:rsidRDefault="00DB4ECA" w:rsidP="00622F3D">
            <w:pPr>
              <w:pStyle w:val="Tabletextprimarysource"/>
            </w:pPr>
            <w:r>
              <w:t>Insufficient data to recommend a Skin or sensitiser notation or a TLV-STEL.</w:t>
            </w:r>
          </w:p>
          <w:p w14:paraId="5068DEB3" w14:textId="1B2F2141" w:rsidR="00231183" w:rsidRPr="00DA352E" w:rsidRDefault="00231183" w:rsidP="00622F3D">
            <w:pPr>
              <w:pStyle w:val="Tabletextprimarysource"/>
            </w:pPr>
          </w:p>
        </w:tc>
      </w:tr>
      <w:tr w:rsidR="00C978F0" w:rsidRPr="00DA352E" w14:paraId="203F3E8A" w14:textId="77777777" w:rsidTr="00B4434E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0BCF06A9" w14:textId="271E3D90" w:rsidR="00C978F0" w:rsidRPr="00DA352E" w:rsidRDefault="00DA352E" w:rsidP="00B4434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76A97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76A97">
                  <w:t>MAK: 50 ppm (180 mg/m</w:t>
                </w:r>
                <w:r w:rsidR="00D76A97" w:rsidRPr="00D76A97">
                  <w:rPr>
                    <w:vertAlign w:val="superscript"/>
                  </w:rPr>
                  <w:t>3</w:t>
                </w:r>
                <w:r w:rsidR="00D76A97">
                  <w:t>)</w:t>
                </w:r>
              </w:sdtContent>
            </w:sdt>
          </w:p>
        </w:tc>
      </w:tr>
      <w:tr w:rsidR="00C978F0" w:rsidRPr="00DA352E" w14:paraId="305A0EDC" w14:textId="77777777" w:rsidTr="00B4434E">
        <w:trPr>
          <w:gridAfter w:val="1"/>
          <w:wAfter w:w="2483" w:type="pct"/>
        </w:trPr>
        <w:tc>
          <w:tcPr>
            <w:tcW w:w="2517" w:type="pct"/>
          </w:tcPr>
          <w:p w14:paraId="0B03D898" w14:textId="660023EB" w:rsidR="00C978F0" w:rsidRDefault="00DB4ECA" w:rsidP="00622F3D">
            <w:pPr>
              <w:pStyle w:val="Tabletextprimarysource"/>
            </w:pPr>
            <w:r>
              <w:t xml:space="preserve">MAK recommended to protect for </w:t>
            </w:r>
            <w:proofErr w:type="spellStart"/>
            <w:r w:rsidR="009B15B3">
              <w:t>CO</w:t>
            </w:r>
            <w:r>
              <w:t>Hb</w:t>
            </w:r>
            <w:proofErr w:type="spellEnd"/>
            <w:r>
              <w:t xml:space="preserve"> impacts and potential carcinogenicity.</w:t>
            </w:r>
          </w:p>
          <w:p w14:paraId="3A9DBC5F" w14:textId="77777777" w:rsidR="00DB4ECA" w:rsidRDefault="00DB4ECA">
            <w:pPr>
              <w:pStyle w:val="Tabletextprimarysource"/>
            </w:pPr>
            <w:r>
              <w:t>Summary of additional data:</w:t>
            </w:r>
          </w:p>
          <w:p w14:paraId="293774D4" w14:textId="5CC58724" w:rsidR="00F441D8" w:rsidRDefault="00F441D8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Previous MAK of 100 ppm based on </w:t>
            </w:r>
            <w:proofErr w:type="spellStart"/>
            <w:r w:rsidR="009B15B3">
              <w:t>CO</w:t>
            </w:r>
            <w:r>
              <w:t>Hb</w:t>
            </w:r>
            <w:proofErr w:type="spellEnd"/>
            <w:r>
              <w:t xml:space="preserve"> level in blood remaining below limit of 5%; occupational medical field observations, exposure </w:t>
            </w:r>
            <w:r w:rsidR="00424369">
              <w:t>at</w:t>
            </w:r>
            <w:r>
              <w:t xml:space="preserve"> 90 ppm</w:t>
            </w:r>
            <w:r w:rsidR="009B15B3">
              <w:t xml:space="preserve"> produced </w:t>
            </w:r>
            <w:proofErr w:type="spellStart"/>
            <w:r w:rsidR="009B15B3">
              <w:t>CO</w:t>
            </w:r>
            <w:r>
              <w:t>Hb</w:t>
            </w:r>
            <w:proofErr w:type="spellEnd"/>
            <w:r>
              <w:t xml:space="preserve"> levels of about 4%</w:t>
            </w:r>
          </w:p>
          <w:p w14:paraId="529A9051" w14:textId="021191FD" w:rsidR="004D2D1E" w:rsidRDefault="004D2D1E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424369">
              <w:t>at</w:t>
            </w:r>
            <w:r>
              <w:t xml:space="preserve"> 50 ppm under physical activity; 10 m</w:t>
            </w:r>
            <w:r w:rsidRPr="004D2D1E">
              <w:rPr>
                <w:vertAlign w:val="superscript"/>
              </w:rPr>
              <w:t>3</w:t>
            </w:r>
            <w:r>
              <w:t xml:space="preserve"> respiratory volume per 8</w:t>
            </w:r>
            <w:r w:rsidR="00622F3D">
              <w:t xml:space="preserve"> </w:t>
            </w:r>
            <w:r>
              <w:t xml:space="preserve">h; results in an estimated blood dichloromethane level of </w:t>
            </w:r>
            <w:r w:rsidR="00424369">
              <w:t>~0.51 mg/L</w:t>
            </w:r>
            <w:r>
              <w:t xml:space="preserve">; basis for MAK </w:t>
            </w:r>
            <w:r w:rsidR="00424369">
              <w:t>of 50 </w:t>
            </w:r>
            <w:r>
              <w:t>ppm</w:t>
            </w:r>
          </w:p>
          <w:p w14:paraId="5D5D9606" w14:textId="7BBBE99D" w:rsidR="00DB4ECA" w:rsidRDefault="00F441D8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Considered a genotoxic carcinogen; publication of a probabilistic PBPK model in the mouse and the risk estimate for humans allows for a risk-based MAK</w:t>
            </w:r>
            <w:r w:rsidR="00107975">
              <w:t>:</w:t>
            </w:r>
          </w:p>
          <w:p w14:paraId="5CE825A8" w14:textId="47A17E42" w:rsidR="00F441D8" w:rsidRDefault="00231183" w:rsidP="001104CA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t</w:t>
            </w:r>
            <w:r w:rsidR="00F441D8">
              <w:t>umour risk of 1.4</w:t>
            </w:r>
            <w:r w:rsidR="00107975">
              <w:t xml:space="preserve"> </w:t>
            </w:r>
            <w:r w:rsidR="00F441D8">
              <w:t>×</w:t>
            </w:r>
            <w:r w:rsidR="00107975">
              <w:t xml:space="preserve"> </w:t>
            </w:r>
            <w:r w:rsidR="00F441D8">
              <w:t>10</w:t>
            </w:r>
            <w:r w:rsidR="00F441D8" w:rsidRPr="00F441D8">
              <w:rPr>
                <w:vertAlign w:val="superscript"/>
              </w:rPr>
              <w:t>–10</w:t>
            </w:r>
            <w:r w:rsidR="00F441D8">
              <w:rPr>
                <w:vertAlign w:val="superscript"/>
              </w:rPr>
              <w:t xml:space="preserve"> </w:t>
            </w:r>
            <w:r w:rsidR="00F441D8">
              <w:t>corresponds to exposur</w:t>
            </w:r>
            <w:r w:rsidR="004D2D1E">
              <w:t xml:space="preserve">e to 1 </w:t>
            </w:r>
            <w:r w:rsidR="004D2D1E">
              <w:rPr>
                <w:rFonts w:cs="Arial"/>
              </w:rPr>
              <w:t>µ</w:t>
            </w:r>
            <w:r w:rsidR="00F441D8">
              <w:t>g/m</w:t>
            </w:r>
            <w:r w:rsidR="00F441D8" w:rsidRPr="004D2D1E">
              <w:rPr>
                <w:vertAlign w:val="superscript"/>
              </w:rPr>
              <w:t>3</w:t>
            </w:r>
            <w:r w:rsidR="00F441D8">
              <w:t xml:space="preserve"> during the working lifetime (14% of the lifetime) </w:t>
            </w:r>
          </w:p>
          <w:p w14:paraId="757E0910" w14:textId="2CEBDEB1" w:rsidR="004D2D1E" w:rsidRDefault="00231183" w:rsidP="001104CA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b</w:t>
            </w:r>
            <w:r w:rsidR="004D2D1E">
              <w:t>ased on above, calculated exposure to 50 ppm (180 mg/m</w:t>
            </w:r>
            <w:r w:rsidR="004D2D1E">
              <w:rPr>
                <w:vertAlign w:val="superscript"/>
              </w:rPr>
              <w:t>3</w:t>
            </w:r>
            <w:r w:rsidR="004D2D1E">
              <w:t>) over working lifetime a median tumour risk of 2.5 x 10</w:t>
            </w:r>
            <w:r w:rsidR="004D2D1E">
              <w:rPr>
                <w:vertAlign w:val="superscript"/>
              </w:rPr>
              <w:t>-5</w:t>
            </w:r>
            <w:r w:rsidR="004D2D1E">
              <w:t xml:space="preserve"> (2.5 in 1</w:t>
            </w:r>
            <w:r w:rsidR="00162AEC">
              <w:t>0</w:t>
            </w:r>
            <w:r w:rsidR="004D2D1E">
              <w:t>0,000) predict</w:t>
            </w:r>
            <w:r w:rsidR="009B15B3">
              <w:t>ed</w:t>
            </w:r>
            <w:r w:rsidR="004D2D1E">
              <w:t xml:space="preserve"> </w:t>
            </w:r>
            <w:r w:rsidR="004D2D1E" w:rsidRPr="002B599B">
              <w:rPr>
                <w:i/>
              </w:rPr>
              <w:t>via</w:t>
            </w:r>
            <w:r w:rsidR="004D2D1E">
              <w:t xml:space="preserve"> linear extrapolation</w:t>
            </w:r>
            <w:r w:rsidR="00622F3D">
              <w:t>.</w:t>
            </w:r>
          </w:p>
          <w:p w14:paraId="31F25306" w14:textId="77777777" w:rsidR="00367E87" w:rsidRDefault="00367E87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Study in volunteers confirms absorption through </w:t>
            </w:r>
            <w:proofErr w:type="gramStart"/>
            <w:r>
              <w:t>skin;</w:t>
            </w:r>
            <w:proofErr w:type="gramEnd"/>
            <w:r>
              <w:t xml:space="preserve"> no quantitative assessment possible</w:t>
            </w:r>
          </w:p>
          <w:p w14:paraId="466B438D" w14:textId="336AD739" w:rsidR="00B72B74" w:rsidRDefault="00B72B74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 of industrial accident</w:t>
            </w:r>
            <w:r w:rsidR="00751130">
              <w:t>; death</w:t>
            </w:r>
            <w:r>
              <w:t xml:space="preserve"> of male worker </w:t>
            </w:r>
            <w:r w:rsidR="00751130">
              <w:t xml:space="preserve">after </w:t>
            </w:r>
            <w:r>
              <w:t xml:space="preserve">falling into machine </w:t>
            </w:r>
            <w:r w:rsidR="00751130">
              <w:t>with liquid methylene chloride; extremely high concentrations of methyl chloride in tissues and organs; suspected dermal absorption of vapour contributed.</w:t>
            </w:r>
          </w:p>
          <w:p w14:paraId="354EF000" w14:textId="57111BFB" w:rsidR="00231183" w:rsidRPr="00DA352E" w:rsidRDefault="00231183" w:rsidP="0023118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2CA0B85C" w14:textId="77777777" w:rsidTr="00B4434E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09F8E61E" w14:textId="449BFAA4" w:rsidR="00C978F0" w:rsidRPr="00DA352E" w:rsidRDefault="00DA352E" w:rsidP="00B4434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2850" w:hanging="285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76A97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76A97" w:rsidRPr="00D76A97">
                  <w:t>TWA</w:t>
                </w:r>
                <w:r w:rsidR="00D76A97">
                  <w:t>: 100 ppm (353 mg/m</w:t>
                </w:r>
                <w:r w:rsidR="00D76A97" w:rsidRPr="00D76A97">
                  <w:rPr>
                    <w:vertAlign w:val="superscript"/>
                  </w:rPr>
                  <w:t>3</w:t>
                </w:r>
                <w:r w:rsidR="00D76A97">
                  <w:t xml:space="preserve">); </w:t>
                </w:r>
                <w:r w:rsidR="00B4434E">
                  <w:t>STEL</w:t>
                </w:r>
                <w:r w:rsidR="00D76A97" w:rsidRPr="00D76A97">
                  <w:t>:</w:t>
                </w:r>
                <w:r w:rsidR="00D76A97">
                  <w:t xml:space="preserve"> 200 ppm (706 mg/m</w:t>
                </w:r>
                <w:r w:rsidR="00D76A97" w:rsidRPr="00D76A97">
                  <w:rPr>
                    <w:vertAlign w:val="superscript"/>
                  </w:rPr>
                  <w:t>3</w:t>
                </w:r>
                <w:r w:rsidR="00D76A97">
                  <w:t>)</w:t>
                </w:r>
              </w:sdtContent>
            </w:sdt>
          </w:p>
        </w:tc>
      </w:tr>
      <w:tr w:rsidR="00C978F0" w:rsidRPr="00DA352E" w14:paraId="5E4435F2" w14:textId="77777777" w:rsidTr="00B4434E">
        <w:trPr>
          <w:gridAfter w:val="1"/>
          <w:wAfter w:w="2483" w:type="pct"/>
        </w:trPr>
        <w:tc>
          <w:tcPr>
            <w:tcW w:w="2517" w:type="pct"/>
          </w:tcPr>
          <w:p w14:paraId="3FF380A9" w14:textId="59919B20" w:rsidR="00C978F0" w:rsidRDefault="009B15B3" w:rsidP="00622F3D">
            <w:pPr>
              <w:pStyle w:val="Tabletextprimarysource"/>
            </w:pPr>
            <w:r>
              <w:t xml:space="preserve">TWA and STEL recommended to protect for </w:t>
            </w:r>
            <w:proofErr w:type="spellStart"/>
            <w:r>
              <w:t>COHb</w:t>
            </w:r>
            <w:proofErr w:type="spellEnd"/>
            <w:r>
              <w:t xml:space="preserve"> formation and reversible CNS effects.</w:t>
            </w:r>
          </w:p>
          <w:p w14:paraId="12EDD557" w14:textId="77777777" w:rsidR="009B15B3" w:rsidRDefault="009B15B3">
            <w:pPr>
              <w:pStyle w:val="Tabletextprimarysource"/>
            </w:pPr>
            <w:r>
              <w:t>Summary of additional data:</w:t>
            </w:r>
          </w:p>
          <w:p w14:paraId="0DF0D5D2" w14:textId="56C8F123" w:rsidR="009B15B3" w:rsidRDefault="009B15B3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Non-smoking workers exposed at </w:t>
            </w:r>
            <w:r w:rsidR="00424369">
              <w:t>~</w:t>
            </w:r>
            <w:r>
              <w:t>250 ppm (800 mg/m</w:t>
            </w:r>
            <w:r>
              <w:rPr>
                <w:vertAlign w:val="superscript"/>
              </w:rPr>
              <w:t>3</w:t>
            </w:r>
            <w:r>
              <w:t xml:space="preserve">) resulted in blood </w:t>
            </w:r>
            <w:proofErr w:type="spellStart"/>
            <w:r>
              <w:t>COHb</w:t>
            </w:r>
            <w:proofErr w:type="spellEnd"/>
            <w:r>
              <w:t xml:space="preserve"> levels of &gt;8%</w:t>
            </w:r>
          </w:p>
          <w:p w14:paraId="48B7736D" w14:textId="1E982EC4" w:rsidR="009B15B3" w:rsidRDefault="009B15B3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Experimental study in humans exposed at 100 ppm for 8</w:t>
            </w:r>
            <w:r w:rsidR="00622F3D">
              <w:t xml:space="preserve"> </w:t>
            </w:r>
            <w:r>
              <w:t xml:space="preserve">h resulted in 3% </w:t>
            </w:r>
            <w:proofErr w:type="spellStart"/>
            <w:r>
              <w:t>COHb</w:t>
            </w:r>
            <w:proofErr w:type="spellEnd"/>
          </w:p>
          <w:p w14:paraId="57402928" w14:textId="6AD25E44" w:rsidR="009B15B3" w:rsidRDefault="009B15B3" w:rsidP="001104CA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Neurobehavioural</w:t>
            </w:r>
            <w:proofErr w:type="spellEnd"/>
            <w:r>
              <w:t xml:space="preserve"> changes observed in volunteers exposed at 250 ppm for 1.5</w:t>
            </w:r>
            <w:r w:rsidR="00622F3D">
              <w:t>–</w:t>
            </w:r>
            <w:r>
              <w:t>3 h</w:t>
            </w:r>
          </w:p>
          <w:p w14:paraId="55F319C8" w14:textId="23775123" w:rsidR="009B15B3" w:rsidRDefault="009B15B3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 h exposure at 672 ppm resulted in light-headedness and visual function effects in volunteers</w:t>
            </w:r>
          </w:p>
          <w:p w14:paraId="286C9B0B" w14:textId="68D6E0E0" w:rsidR="009B15B3" w:rsidRDefault="00B72B74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evidence of adverse effects on health following occupational exposure to </w:t>
            </w:r>
            <w:r w:rsidR="00424369">
              <w:t>~100 </w:t>
            </w:r>
            <w:r>
              <w:t>ppm for several years; no further information</w:t>
            </w:r>
          </w:p>
          <w:p w14:paraId="4ACF517E" w14:textId="06B52FE8" w:rsidR="00B72B74" w:rsidRDefault="00B72B74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clear association between exposure and cancer in humans</w:t>
            </w:r>
          </w:p>
          <w:p w14:paraId="6FFB7A6C" w14:textId="167DDB1A" w:rsidR="008C2483" w:rsidRDefault="008C2483" w:rsidP="001104CA">
            <w:pPr>
              <w:pStyle w:val="ListBullet"/>
              <w:spacing w:before="60" w:after="60"/>
              <w:ind w:left="714" w:hanging="357"/>
            </w:pPr>
            <w:r>
              <w:lastRenderedPageBreak/>
              <w:t>In animals, repeated or long-term exposure to high concentrations associated with reversible CNS effects; the lowest exposure concentration</w:t>
            </w:r>
            <w:r w:rsidR="00D73E0F">
              <w:t xml:space="preserve"> </w:t>
            </w:r>
            <w:r>
              <w:t>associated with reversible CNS effects is 2,000 ppm, 6 h/d; no effects at 500 ppm</w:t>
            </w:r>
          </w:p>
          <w:p w14:paraId="5857243E" w14:textId="5B95FBEB" w:rsidR="00B72B74" w:rsidRDefault="00B72B74" w:rsidP="001104C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derivation of TWA and STEL</w:t>
            </w:r>
            <w:r w:rsidR="001104CA">
              <w:t xml:space="preserve"> provided</w:t>
            </w:r>
            <w:r>
              <w:t>.</w:t>
            </w:r>
          </w:p>
          <w:p w14:paraId="2CCD6263" w14:textId="5F6C49C6" w:rsidR="00231183" w:rsidRPr="00DA352E" w:rsidRDefault="00231183" w:rsidP="0023118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33BDF897" w14:textId="77777777" w:rsidTr="00B4434E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79D677C7" w14:textId="42009CD3" w:rsidR="00DA352E" w:rsidRPr="00DA352E" w:rsidRDefault="00DA352E" w:rsidP="00B4434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76A9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76A97">
                  <w:t>NA</w:t>
                </w:r>
                <w:proofErr w:type="spellEnd"/>
              </w:sdtContent>
            </w:sdt>
          </w:p>
        </w:tc>
      </w:tr>
      <w:tr w:rsidR="00DA352E" w:rsidRPr="00DA352E" w14:paraId="24078118" w14:textId="77777777" w:rsidTr="00B4434E">
        <w:trPr>
          <w:gridAfter w:val="1"/>
          <w:wAfter w:w="2483" w:type="pct"/>
        </w:trPr>
        <w:tc>
          <w:tcPr>
            <w:tcW w:w="2517" w:type="pct"/>
          </w:tcPr>
          <w:p w14:paraId="19F696E5" w14:textId="532E89D3" w:rsidR="00DA352E" w:rsidRPr="00DA352E" w:rsidRDefault="00D76A97" w:rsidP="00622F3D">
            <w:pPr>
              <w:pStyle w:val="Tabletextprimarysource"/>
            </w:pPr>
            <w:r>
              <w:t>No report</w:t>
            </w:r>
            <w:r w:rsidR="00622F3D">
              <w:t>.</w:t>
            </w:r>
          </w:p>
        </w:tc>
      </w:tr>
      <w:tr w:rsidR="00DA352E" w:rsidRPr="00DA352E" w14:paraId="7400B46E" w14:textId="77777777" w:rsidTr="00B4434E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4EF04E82" w14:textId="1E214B95" w:rsidR="00DA352E" w:rsidRPr="00DA352E" w:rsidRDefault="00DA352E" w:rsidP="00B4434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76A9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76A97">
                  <w:t>NA</w:t>
                </w:r>
                <w:proofErr w:type="spellEnd"/>
              </w:sdtContent>
            </w:sdt>
          </w:p>
        </w:tc>
      </w:tr>
      <w:tr w:rsidR="00DA352E" w:rsidRPr="00DA352E" w14:paraId="37B71EA1" w14:textId="77777777" w:rsidTr="00B4434E">
        <w:trPr>
          <w:gridAfter w:val="1"/>
          <w:wAfter w:w="2483" w:type="pct"/>
        </w:trPr>
        <w:tc>
          <w:tcPr>
            <w:tcW w:w="2517" w:type="pct"/>
          </w:tcPr>
          <w:p w14:paraId="5A16CCAE" w14:textId="3B6A49C8" w:rsidR="00DA352E" w:rsidRPr="00DA352E" w:rsidRDefault="00D76A97" w:rsidP="00622F3D">
            <w:pPr>
              <w:pStyle w:val="Tabletextprimarysource"/>
            </w:pPr>
            <w:r>
              <w:t>No report</w:t>
            </w:r>
            <w:r w:rsidR="00622F3D">
              <w:t>.</w:t>
            </w:r>
          </w:p>
        </w:tc>
      </w:tr>
    </w:tbl>
    <w:p w14:paraId="071EE42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783EDC86" w14:textId="572754AA" w:rsidR="007E2A4B" w:rsidRDefault="00622F3D">
      <w:r>
        <w:t>NIL</w:t>
      </w:r>
      <w:r w:rsidR="00231183">
        <w:t>.</w:t>
      </w:r>
    </w:p>
    <w:bookmarkEnd w:id="0"/>
    <w:p w14:paraId="1E9F094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9E8509D" w14:textId="77777777" w:rsidTr="00B72B74">
        <w:trPr>
          <w:trHeight w:val="454"/>
          <w:tblHeader/>
        </w:trPr>
        <w:tc>
          <w:tcPr>
            <w:tcW w:w="6597" w:type="dxa"/>
            <w:vAlign w:val="center"/>
          </w:tcPr>
          <w:p w14:paraId="5633A15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5C24BF2" w14:textId="2070A15B" w:rsidR="002E0D61" w:rsidRDefault="00B72B7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8F61286" w14:textId="77777777" w:rsidTr="00B72B74">
        <w:trPr>
          <w:trHeight w:val="454"/>
        </w:trPr>
        <w:tc>
          <w:tcPr>
            <w:tcW w:w="6597" w:type="dxa"/>
            <w:vAlign w:val="center"/>
          </w:tcPr>
          <w:p w14:paraId="40697EB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A2FDB20" w14:textId="28E91B7B" w:rsidR="008A36CF" w:rsidRDefault="00B72B7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231183" w14:paraId="58044E12" w14:textId="77777777" w:rsidTr="002C5AE2">
        <w:trPr>
          <w:trHeight w:val="454"/>
        </w:trPr>
        <w:sdt>
          <w:sdtPr>
            <w:rPr>
              <w:b/>
            </w:rPr>
            <w:id w:val="1830936485"/>
            <w:placeholder>
              <w:docPart w:val="68F0FAB999A84F5798BE6ABA79B3C81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90F38D5" w14:textId="39BD11E7" w:rsidR="00231183" w:rsidRDefault="0023118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9F1EB4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D0427A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0DC285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90341E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A7E267D" w14:textId="77777777" w:rsidTr="00812887">
        <w:trPr>
          <w:cantSplit/>
        </w:trPr>
        <w:tc>
          <w:tcPr>
            <w:tcW w:w="3227" w:type="dxa"/>
          </w:tcPr>
          <w:p w14:paraId="6371878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56A4FA5" w14:textId="748B5D1E" w:rsidR="00687890" w:rsidRPr="00DD2F9B" w:rsidRDefault="00D76A97" w:rsidP="00DD2F9B">
            <w:pPr>
              <w:pStyle w:val="Tablefont"/>
            </w:pPr>
            <w:proofErr w:type="spellStart"/>
            <w:r w:rsidRPr="00D76A97">
              <w:t>Carc</w:t>
            </w:r>
            <w:proofErr w:type="spellEnd"/>
            <w:r w:rsidRPr="00D76A97">
              <w:t>. 2</w:t>
            </w:r>
            <w:r>
              <w:t xml:space="preserve">, </w:t>
            </w:r>
            <w:r w:rsidRPr="00D76A97">
              <w:t>Skin</w:t>
            </w:r>
          </w:p>
        </w:tc>
      </w:tr>
      <w:tr w:rsidR="007925F0" w:rsidRPr="004C23F4" w14:paraId="7B4DD61C" w14:textId="77777777" w:rsidTr="00812887">
        <w:trPr>
          <w:cantSplit/>
        </w:trPr>
        <w:tc>
          <w:tcPr>
            <w:tcW w:w="3227" w:type="dxa"/>
          </w:tcPr>
          <w:p w14:paraId="4497501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BE78107" w14:textId="4129CFD9" w:rsidR="007925F0" w:rsidRPr="00DD2F9B" w:rsidRDefault="00D76A97" w:rsidP="00DD2F9B">
            <w:pPr>
              <w:pStyle w:val="Tablefont"/>
            </w:pPr>
            <w:r w:rsidRPr="00D76A97">
              <w:t>Carcinogenicity – category 2</w:t>
            </w:r>
          </w:p>
        </w:tc>
      </w:tr>
      <w:tr w:rsidR="00AF483F" w:rsidRPr="004C23F4" w14:paraId="47EC390B" w14:textId="77777777" w:rsidTr="00812887">
        <w:trPr>
          <w:cantSplit/>
        </w:trPr>
        <w:tc>
          <w:tcPr>
            <w:tcW w:w="3227" w:type="dxa"/>
          </w:tcPr>
          <w:p w14:paraId="741BF80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006976E" w14:textId="1EF50BCD" w:rsidR="00AF483F" w:rsidRPr="00DD2F9B" w:rsidRDefault="00FC0FE3" w:rsidP="00DD2F9B">
            <w:pPr>
              <w:pStyle w:val="Tablefont"/>
            </w:pPr>
            <w:proofErr w:type="spellStart"/>
            <w:r w:rsidRPr="00FC0FE3">
              <w:t>Carc</w:t>
            </w:r>
            <w:proofErr w:type="spellEnd"/>
            <w:r w:rsidRPr="00FC0FE3">
              <w:t>. Cat 3</w:t>
            </w:r>
          </w:p>
        </w:tc>
      </w:tr>
      <w:tr w:rsidR="00687890" w:rsidRPr="004C23F4" w14:paraId="71F237CC" w14:textId="77777777" w:rsidTr="00812887">
        <w:trPr>
          <w:cantSplit/>
        </w:trPr>
        <w:tc>
          <w:tcPr>
            <w:tcW w:w="3227" w:type="dxa"/>
          </w:tcPr>
          <w:p w14:paraId="4C552BF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A8596AC" w14:textId="50258E03" w:rsidR="00687890" w:rsidRPr="00DD2F9B" w:rsidRDefault="00FC0FE3" w:rsidP="00DD2F9B">
            <w:pPr>
              <w:pStyle w:val="Tablefont"/>
            </w:pPr>
            <w:r w:rsidRPr="00FC0FE3">
              <w:t>Carcinogenicity – category 2</w:t>
            </w:r>
          </w:p>
        </w:tc>
      </w:tr>
      <w:tr w:rsidR="00E41A26" w:rsidRPr="004C23F4" w14:paraId="69A579FF" w14:textId="77777777" w:rsidTr="00812887">
        <w:trPr>
          <w:cantSplit/>
        </w:trPr>
        <w:tc>
          <w:tcPr>
            <w:tcW w:w="3227" w:type="dxa"/>
          </w:tcPr>
          <w:p w14:paraId="74537BE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1C625D0" w14:textId="61392192" w:rsidR="00E41A26" w:rsidRPr="00DD2F9B" w:rsidRDefault="00FC0FE3" w:rsidP="00DD2F9B">
            <w:pPr>
              <w:pStyle w:val="Tablefont"/>
            </w:pPr>
            <w:proofErr w:type="spellStart"/>
            <w:r w:rsidRPr="00FC0FE3">
              <w:t>Carc</w:t>
            </w:r>
            <w:proofErr w:type="spellEnd"/>
            <w:r w:rsidRPr="00FC0FE3">
              <w:t>. 2</w:t>
            </w:r>
          </w:p>
        </w:tc>
      </w:tr>
      <w:tr w:rsidR="002E0D61" w:rsidRPr="004C23F4" w14:paraId="341D0D58" w14:textId="77777777" w:rsidTr="00812887">
        <w:trPr>
          <w:cantSplit/>
        </w:trPr>
        <w:tc>
          <w:tcPr>
            <w:tcW w:w="3227" w:type="dxa"/>
          </w:tcPr>
          <w:p w14:paraId="0C4618E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835697E" w14:textId="0042540A" w:rsidR="002E0D61" w:rsidRPr="00DD2F9B" w:rsidRDefault="00FC0FE3" w:rsidP="00DD2F9B">
            <w:pPr>
              <w:pStyle w:val="Tablefont"/>
            </w:pPr>
            <w:r w:rsidRPr="00FC0FE3">
              <w:t>Carcinogenicity – A3</w:t>
            </w:r>
          </w:p>
        </w:tc>
      </w:tr>
      <w:tr w:rsidR="002E0D61" w:rsidRPr="004C23F4" w14:paraId="18964FB9" w14:textId="77777777" w:rsidTr="00812887">
        <w:trPr>
          <w:cantSplit/>
        </w:trPr>
        <w:tc>
          <w:tcPr>
            <w:tcW w:w="3227" w:type="dxa"/>
          </w:tcPr>
          <w:p w14:paraId="5995CB8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2ACC1DE" w14:textId="1E05D57E" w:rsidR="002E0D61" w:rsidRPr="00DD2F9B" w:rsidRDefault="00FC0FE3" w:rsidP="00DD2F9B">
            <w:pPr>
              <w:pStyle w:val="Tablefont"/>
            </w:pPr>
            <w:r w:rsidRPr="00FC0FE3">
              <w:t>Carcinogenicity – 5</w:t>
            </w:r>
            <w:r>
              <w:t xml:space="preserve">, </w:t>
            </w:r>
            <w:r w:rsidRPr="00FC0FE3">
              <w:t>H (skin)</w:t>
            </w:r>
          </w:p>
        </w:tc>
      </w:tr>
      <w:tr w:rsidR="002E0D61" w:rsidRPr="004C23F4" w14:paraId="0E19A3CB" w14:textId="77777777" w:rsidTr="00812887">
        <w:trPr>
          <w:cantSplit/>
        </w:trPr>
        <w:tc>
          <w:tcPr>
            <w:tcW w:w="3227" w:type="dxa"/>
          </w:tcPr>
          <w:p w14:paraId="597D192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F3B3980" w14:textId="3C3AC872" w:rsidR="002E0D61" w:rsidRPr="00DD2F9B" w:rsidRDefault="00FC0FE3" w:rsidP="00DD2F9B">
            <w:pPr>
              <w:pStyle w:val="Tablefont"/>
            </w:pPr>
            <w:r w:rsidRPr="00FC0FE3">
              <w:t>Carcinogenicity – C</w:t>
            </w:r>
            <w:r>
              <w:t>, Skin</w:t>
            </w:r>
          </w:p>
        </w:tc>
      </w:tr>
      <w:tr w:rsidR="002E0D61" w:rsidRPr="004C23F4" w14:paraId="76A81127" w14:textId="77777777" w:rsidTr="00812887">
        <w:trPr>
          <w:cantSplit/>
        </w:trPr>
        <w:tc>
          <w:tcPr>
            <w:tcW w:w="3227" w:type="dxa"/>
          </w:tcPr>
          <w:p w14:paraId="08AD506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BF16477" w14:textId="6BA0E8B0" w:rsidR="002E0D61" w:rsidRPr="00DD2F9B" w:rsidRDefault="00FC0FE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4058AD6" w14:textId="77777777" w:rsidTr="00812887">
        <w:trPr>
          <w:cantSplit/>
        </w:trPr>
        <w:tc>
          <w:tcPr>
            <w:tcW w:w="3227" w:type="dxa"/>
          </w:tcPr>
          <w:p w14:paraId="28A702F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A29E366" w14:textId="57B94AF8" w:rsidR="00386093" w:rsidRPr="00DD2F9B" w:rsidRDefault="00FC0FE3" w:rsidP="00DD2F9B">
            <w:pPr>
              <w:pStyle w:val="Tablefont"/>
            </w:pPr>
            <w:r w:rsidRPr="00FC0FE3">
              <w:t>Carcinogenicity – Group 2A</w:t>
            </w:r>
          </w:p>
        </w:tc>
      </w:tr>
      <w:tr w:rsidR="00386093" w:rsidRPr="004C23F4" w14:paraId="67582C51" w14:textId="77777777" w:rsidTr="00812887">
        <w:trPr>
          <w:cantSplit/>
        </w:trPr>
        <w:tc>
          <w:tcPr>
            <w:tcW w:w="3227" w:type="dxa"/>
          </w:tcPr>
          <w:p w14:paraId="03ABF1D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66A4EA6" w14:textId="53AE07BA" w:rsidR="00386093" w:rsidRPr="00DD2F9B" w:rsidRDefault="00FC0FE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CA8FC9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9EDF1AF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C6102D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85DAA7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EA428D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12" w:type="dxa"/>
              <w:tblLook w:val="04A0" w:firstRow="1" w:lastRow="0" w:firstColumn="1" w:lastColumn="0" w:noHBand="0" w:noVBand="1"/>
            </w:tblPr>
            <w:tblGrid>
              <w:gridCol w:w="3823"/>
              <w:gridCol w:w="1131"/>
              <w:gridCol w:w="1131"/>
              <w:gridCol w:w="2725"/>
            </w:tblGrid>
            <w:tr w:rsidR="00751130" w:rsidRPr="00751130" w14:paraId="1419FB8A" w14:textId="77777777" w:rsidTr="00751130">
              <w:trPr>
                <w:trHeight w:val="346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36872B" w14:textId="77777777" w:rsidR="00751130" w:rsidRPr="00751130" w:rsidRDefault="00751130" w:rsidP="007511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8EC6227" w14:textId="77777777" w:rsidR="00751130" w:rsidRPr="00751130" w:rsidRDefault="00751130" w:rsidP="007511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7E2A5E" w14:textId="77777777" w:rsidR="00751130" w:rsidRPr="00751130" w:rsidRDefault="00751130" w:rsidP="007511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2C1476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1130" w:rsidRPr="00751130" w14:paraId="4542BD19" w14:textId="77777777" w:rsidTr="00751130">
              <w:trPr>
                <w:trHeight w:val="346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D39C99" w14:textId="77777777" w:rsidR="00751130" w:rsidRPr="00751130" w:rsidRDefault="00751130" w:rsidP="007511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2B6DA7" w14:textId="77777777" w:rsidR="00751130" w:rsidRPr="00751130" w:rsidRDefault="00751130" w:rsidP="007511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1A71DE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8F0F18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1130" w:rsidRPr="00751130" w14:paraId="2FE08B50" w14:textId="77777777" w:rsidTr="00751130">
              <w:trPr>
                <w:trHeight w:val="346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5D3676" w14:textId="32BD4CB5" w:rsidR="00751130" w:rsidRPr="00751130" w:rsidRDefault="00751130" w:rsidP="007511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</w:t>
                  </w:r>
                  <w:r w:rsidR="00BB015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/d</w:t>
                  </w: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FF1733" w14:textId="77777777" w:rsidR="00751130" w:rsidRPr="00751130" w:rsidRDefault="00751130" w:rsidP="007511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29BA32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D8F29F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1130" w:rsidRPr="00751130" w14:paraId="62C689EB" w14:textId="77777777" w:rsidTr="00751130">
              <w:trPr>
                <w:trHeight w:val="346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4D55D3" w14:textId="77777777" w:rsidR="00751130" w:rsidRPr="00751130" w:rsidRDefault="00751130" w:rsidP="007511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E270B8" w14:textId="77777777" w:rsidR="00751130" w:rsidRPr="00751130" w:rsidRDefault="00751130" w:rsidP="007511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0B205B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510EA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1130" w:rsidRPr="00751130" w14:paraId="2C3681DE" w14:textId="77777777" w:rsidTr="00751130">
              <w:trPr>
                <w:trHeight w:val="346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A5DCF3" w14:textId="77777777" w:rsidR="00751130" w:rsidRPr="00751130" w:rsidRDefault="00751130" w:rsidP="007511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1A5BA6" w14:textId="77777777" w:rsidR="00751130" w:rsidRPr="00751130" w:rsidRDefault="00751130" w:rsidP="007511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3AD56F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1ACCFA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1130" w:rsidRPr="00751130" w14:paraId="1DB665BA" w14:textId="77777777" w:rsidTr="00751130">
              <w:trPr>
                <w:trHeight w:val="346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20DC9E" w14:textId="77777777" w:rsidR="00751130" w:rsidRPr="00751130" w:rsidRDefault="00751130" w:rsidP="007511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BC715E" w14:textId="77777777" w:rsidR="00751130" w:rsidRPr="00751130" w:rsidRDefault="00751130" w:rsidP="007511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55E011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81B981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1130" w:rsidRPr="00751130" w14:paraId="6B8F811E" w14:textId="77777777" w:rsidTr="00751130">
              <w:trPr>
                <w:trHeight w:val="346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695E91" w14:textId="77777777" w:rsidR="00751130" w:rsidRPr="00751130" w:rsidRDefault="00751130" w:rsidP="007511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5DE440" w14:textId="77777777" w:rsidR="00751130" w:rsidRPr="00751130" w:rsidRDefault="00751130" w:rsidP="007511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0A4397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CFD79E" w14:textId="77777777" w:rsidR="00751130" w:rsidRPr="00751130" w:rsidRDefault="00751130" w:rsidP="0075113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113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A2A544A" w14:textId="3EFB016B" w:rsidR="00932DCE" w:rsidRPr="00D76A97" w:rsidRDefault="00932DCE" w:rsidP="00D76A97"/>
        </w:tc>
      </w:tr>
    </w:tbl>
    <w:bookmarkEnd w:id="3"/>
    <w:p w14:paraId="3ABFA6D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DEC303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44F4FD5" w14:textId="213A9009" w:rsidR="00EB3D1B" w:rsidRPr="00D76A97" w:rsidRDefault="00EB3D1B" w:rsidP="00FC0FE3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7C93B14" w14:textId="53F9796C" w:rsidR="00EB3D1B" w:rsidRDefault="00FC0FE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020EB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5B1AB0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FC25F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A48CB73" w14:textId="5A7BCC28" w:rsidR="001B79E5" w:rsidRDefault="004F6ACF" w:rsidP="001B79E5">
                <w:pPr>
                  <w:pStyle w:val="Tablefont"/>
                </w:pPr>
                <w:r w:rsidRPr="004F6ACF">
                  <w:t>84.93</w:t>
                </w:r>
              </w:p>
            </w:tc>
          </w:sdtContent>
        </w:sdt>
      </w:tr>
      <w:tr w:rsidR="00A31D99" w:rsidRPr="004C23F4" w14:paraId="108CD20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FB2AD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DA791B0" w14:textId="121CE2D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F6ACF">
                  <w:t>3.53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F6ACF">
                  <w:t>0.29</w:t>
                </w:r>
              </w:sdtContent>
            </w:sdt>
            <w:r w:rsidRPr="004F6ACF">
              <w:t xml:space="preserve"> </w:t>
            </w:r>
            <w:r>
              <w:t>ppm</w:t>
            </w:r>
          </w:p>
        </w:tc>
      </w:tr>
      <w:tr w:rsidR="00687890" w:rsidRPr="004C23F4" w14:paraId="35AB6D5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61F5C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1F166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10656E6" w14:textId="77777777" w:rsidTr="00EA6243">
        <w:trPr>
          <w:cantSplit/>
        </w:trPr>
        <w:tc>
          <w:tcPr>
            <w:tcW w:w="4077" w:type="dxa"/>
            <w:vAlign w:val="center"/>
          </w:tcPr>
          <w:p w14:paraId="0C8DBEF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E35A2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DE9EC27" w14:textId="77777777" w:rsidTr="00EA6243">
        <w:trPr>
          <w:cantSplit/>
        </w:trPr>
        <w:tc>
          <w:tcPr>
            <w:tcW w:w="4077" w:type="dxa"/>
            <w:vAlign w:val="center"/>
          </w:tcPr>
          <w:p w14:paraId="3B40690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0A299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08F1169" w14:textId="77777777" w:rsidTr="00EA6243">
        <w:trPr>
          <w:cantSplit/>
        </w:trPr>
        <w:tc>
          <w:tcPr>
            <w:tcW w:w="4077" w:type="dxa"/>
            <w:vAlign w:val="center"/>
          </w:tcPr>
          <w:p w14:paraId="421588C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F2C463A" w14:textId="30F08DF3" w:rsidR="00E06F40" w:rsidRPr="00A006A0" w:rsidRDefault="00D939A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B17C4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B17C4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B17C4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B9BCA0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A8CC77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2A2432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5F672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366A44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5CD475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F35F0E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3B92F0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24D12D3" w14:textId="7DF39F5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63605B6" w14:textId="162AFF4B" w:rsidR="004F6ACF" w:rsidRDefault="004F6ACF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(2015) </w:t>
      </w:r>
      <w:r w:rsidRPr="004F6ACF">
        <w:t>Dichloromethane</w:t>
      </w:r>
      <w:r>
        <w:t xml:space="preserve"> – MAK value documentation.</w:t>
      </w:r>
    </w:p>
    <w:p w14:paraId="73A3124E" w14:textId="77777777" w:rsidR="00B4434E" w:rsidRDefault="00D87C61" w:rsidP="004F6ACF">
      <w:r w:rsidRPr="00D87C61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731B2084" w14:textId="7658336F" w:rsidR="004F6ACF" w:rsidRDefault="004F6ACF" w:rsidP="00084859">
      <w:r w:rsidRPr="002022B6">
        <w:t>EU Scientific Committee on Occupational Exposure Limits (SCOEL)</w:t>
      </w:r>
      <w:r>
        <w:t xml:space="preserve"> (</w:t>
      </w:r>
      <w:r w:rsidRPr="004F6ACF">
        <w:t>2009</w:t>
      </w:r>
      <w:r>
        <w:t xml:space="preserve">) Recommendation from the Scientific Committee on Occupational Exposure Limits for </w:t>
      </w:r>
      <w:r w:rsidRPr="004F6ACF">
        <w:t>Methylene chloride (dichloromethane)</w:t>
      </w:r>
      <w:r>
        <w:t>. SCOEL/</w:t>
      </w:r>
      <w:r w:rsidRPr="004F6ACF">
        <w:t>SUM/130</w:t>
      </w:r>
      <w:r>
        <w:t>.</w:t>
      </w:r>
    </w:p>
    <w:p w14:paraId="157C832E" w14:textId="437B32B8" w:rsidR="004F6ACF" w:rsidRDefault="00C36268" w:rsidP="00084859">
      <w:r w:rsidRPr="00C36268">
        <w:lastRenderedPageBreak/>
        <w:t>International Agency for Research on Cancer (IARC) Some Chemicals Used as Solvents and in Polymer Manufacture. IARC Monographs – 1</w:t>
      </w:r>
      <w:r w:rsidR="002E748D">
        <w:t>1</w:t>
      </w:r>
      <w:r w:rsidRPr="00C36268">
        <w:t>0.</w:t>
      </w:r>
      <w:r w:rsidR="004F6ACF" w:rsidRPr="002022B6">
        <w:t>National Industrial Chemicals Notification and Assessment Scheme (NICNAS)</w:t>
      </w:r>
      <w:r w:rsidR="004F6ACF">
        <w:t xml:space="preserve"> (</w:t>
      </w:r>
      <w:r w:rsidR="004F6ACF" w:rsidRPr="004F6ACF">
        <w:t>2014</w:t>
      </w:r>
      <w:r w:rsidR="004F6ACF">
        <w:t xml:space="preserve">) </w:t>
      </w:r>
      <w:r w:rsidR="004F6ACF" w:rsidRPr="004F6ACF">
        <w:t xml:space="preserve">Methane, </w:t>
      </w:r>
      <w:proofErr w:type="spellStart"/>
      <w:r w:rsidR="004F6ACF" w:rsidRPr="004F6ACF">
        <w:t>dichloro</w:t>
      </w:r>
      <w:proofErr w:type="spellEnd"/>
      <w:r w:rsidR="004F6ACF" w:rsidRPr="0071660C">
        <w:t xml:space="preserve">: Human health </w:t>
      </w:r>
      <w:r w:rsidR="004F6ACF" w:rsidRPr="004F6ACF">
        <w:t>tier II</w:t>
      </w:r>
      <w:r w:rsidR="004F6ACF">
        <w:t xml:space="preserve"> </w:t>
      </w:r>
      <w:r w:rsidR="004F6ACF" w:rsidRPr="0071660C">
        <w:t>assessment</w:t>
      </w:r>
      <w:r w:rsidR="004F6ACF">
        <w:t xml:space="preserve"> – IMAP report.</w:t>
      </w:r>
    </w:p>
    <w:p w14:paraId="348BF464" w14:textId="77777777" w:rsidR="00B4434E" w:rsidRDefault="00B4434E" w:rsidP="00B4434E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D50686B" w14:textId="293420F4" w:rsidR="004F6ACF" w:rsidRPr="00351FE0" w:rsidRDefault="004F6ACF" w:rsidP="00084859">
      <w:r w:rsidRPr="00D86E03">
        <w:t>US National Institute for Occupational Safety and Health (NIOSH)</w:t>
      </w:r>
      <w:r>
        <w:t xml:space="preserve"> (</w:t>
      </w:r>
      <w:r w:rsidRPr="004F6ACF">
        <w:t>1994</w:t>
      </w:r>
      <w:r w:rsidR="00B4434E">
        <w:t xml:space="preserve">) Immediately dangerous to </w:t>
      </w:r>
      <w:r>
        <w:t xml:space="preserve">life or health concentrations – </w:t>
      </w:r>
      <w:r w:rsidRPr="004F6ACF">
        <w:t>Methylene chloride</w:t>
      </w:r>
      <w:r>
        <w:t>.</w:t>
      </w:r>
    </w:p>
    <w:sectPr w:rsidR="004F6AC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743D5" w14:textId="77777777" w:rsidR="006A459E" w:rsidRDefault="006A459E" w:rsidP="00F43AD5">
      <w:pPr>
        <w:spacing w:after="0" w:line="240" w:lineRule="auto"/>
      </w:pPr>
      <w:r>
        <w:separator/>
      </w:r>
    </w:p>
  </w:endnote>
  <w:endnote w:type="continuationSeparator" w:id="0">
    <w:p w14:paraId="5DA34D87" w14:textId="77777777" w:rsidR="006A459E" w:rsidRDefault="006A459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88893" w14:textId="77777777" w:rsidR="0010603D" w:rsidRDefault="001060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9DCE689" w14:textId="33E64EF5" w:rsidR="008A36CF" w:rsidRDefault="00F94078" w:rsidP="0034744C">
        <w:pPr>
          <w:pStyle w:val="Footer"/>
          <w:rPr>
            <w:sz w:val="18"/>
            <w:szCs w:val="18"/>
          </w:rPr>
        </w:pPr>
        <w:r w:rsidRPr="00F94078">
          <w:rPr>
            <w:b/>
            <w:sz w:val="18"/>
            <w:szCs w:val="18"/>
          </w:rPr>
          <w:t>Methylene chloride</w:t>
        </w:r>
        <w:r w:rsidR="008A36CF">
          <w:rPr>
            <w:b/>
            <w:sz w:val="18"/>
            <w:szCs w:val="18"/>
          </w:rPr>
          <w:t xml:space="preserve"> (</w:t>
        </w:r>
        <w:r w:rsidRPr="00F94078">
          <w:rPr>
            <w:b/>
            <w:sz w:val="18"/>
            <w:szCs w:val="18"/>
          </w:rPr>
          <w:t>75-09-2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A84EECA" w14:textId="70487C0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2770A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02998" w14:textId="77777777" w:rsidR="0010603D" w:rsidRDefault="001060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28363" w14:textId="77777777" w:rsidR="006A459E" w:rsidRDefault="006A459E" w:rsidP="00F43AD5">
      <w:pPr>
        <w:spacing w:after="0" w:line="240" w:lineRule="auto"/>
      </w:pPr>
      <w:r>
        <w:separator/>
      </w:r>
    </w:p>
  </w:footnote>
  <w:footnote w:type="continuationSeparator" w:id="0">
    <w:p w14:paraId="5E60E35D" w14:textId="77777777" w:rsidR="006A459E" w:rsidRDefault="006A459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001A7" w14:textId="77777777" w:rsidR="0010603D" w:rsidRDefault="00106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942FB" w14:textId="1336FD74" w:rsidR="009850DE" w:rsidRDefault="009850DE" w:rsidP="009850D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A1CB2EE" wp14:editId="10FC4868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C3BF63" w14:textId="48360EAE" w:rsidR="008A36CF" w:rsidRPr="009850DE" w:rsidRDefault="008A36CF" w:rsidP="009850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24407" w14:textId="77777777" w:rsidR="0010603D" w:rsidRDefault="001060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9C899" w14:textId="317126A5" w:rsidR="009850DE" w:rsidRDefault="009850DE" w:rsidP="009850DE">
    <w:pPr>
      <w:pStyle w:val="Header"/>
      <w:jc w:val="right"/>
    </w:pPr>
    <w:r>
      <w:rPr>
        <w:noProof/>
        <w:lang w:eastAsia="en-AU"/>
      </w:rPr>
      <w:drawing>
        <wp:inline distT="0" distB="0" distL="0" distR="0" wp14:anchorId="30488A23" wp14:editId="5F3B5762">
          <wp:extent cx="2941955" cy="588645"/>
          <wp:effectExtent l="0" t="0" r="0" b="1905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F1F34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EBA080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52C1AD9"/>
    <w:multiLevelType w:val="hybridMultilevel"/>
    <w:tmpl w:val="3ED6F5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B812EF"/>
    <w:multiLevelType w:val="hybridMultilevel"/>
    <w:tmpl w:val="24B452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B09502E"/>
    <w:multiLevelType w:val="hybridMultilevel"/>
    <w:tmpl w:val="72FE16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8D653F7"/>
    <w:multiLevelType w:val="hybridMultilevel"/>
    <w:tmpl w:val="F08A71F8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86044004">
    <w:abstractNumId w:val="0"/>
  </w:num>
  <w:num w:numId="2" w16cid:durableId="1232472886">
    <w:abstractNumId w:val="2"/>
  </w:num>
  <w:num w:numId="3" w16cid:durableId="1026253261">
    <w:abstractNumId w:val="3"/>
  </w:num>
  <w:num w:numId="4" w16cid:durableId="951860052">
    <w:abstractNumId w:val="1"/>
  </w:num>
  <w:num w:numId="5" w16cid:durableId="1530339843">
    <w:abstractNumId w:val="4"/>
  </w:num>
  <w:num w:numId="6" w16cid:durableId="824249272">
    <w:abstractNumId w:val="0"/>
  </w:num>
  <w:num w:numId="7" w16cid:durableId="258296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475D"/>
    <w:rsid w:val="000B0868"/>
    <w:rsid w:val="000B3E12"/>
    <w:rsid w:val="000B3E78"/>
    <w:rsid w:val="000B6FCE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03D"/>
    <w:rsid w:val="00106FAA"/>
    <w:rsid w:val="00107975"/>
    <w:rsid w:val="001104CA"/>
    <w:rsid w:val="00113443"/>
    <w:rsid w:val="001269A7"/>
    <w:rsid w:val="00130955"/>
    <w:rsid w:val="00131092"/>
    <w:rsid w:val="00140E6A"/>
    <w:rsid w:val="00145369"/>
    <w:rsid w:val="00146545"/>
    <w:rsid w:val="00146B75"/>
    <w:rsid w:val="0015266D"/>
    <w:rsid w:val="0015288A"/>
    <w:rsid w:val="00160F47"/>
    <w:rsid w:val="00162AEC"/>
    <w:rsid w:val="0016579E"/>
    <w:rsid w:val="00171AA1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1183"/>
    <w:rsid w:val="0024399D"/>
    <w:rsid w:val="00244AD1"/>
    <w:rsid w:val="002463BC"/>
    <w:rsid w:val="002465CE"/>
    <w:rsid w:val="0025734A"/>
    <w:rsid w:val="00263255"/>
    <w:rsid w:val="00276494"/>
    <w:rsid w:val="00277B0C"/>
    <w:rsid w:val="00283079"/>
    <w:rsid w:val="002A2385"/>
    <w:rsid w:val="002B1A2C"/>
    <w:rsid w:val="002B599B"/>
    <w:rsid w:val="002C34F2"/>
    <w:rsid w:val="002C58FF"/>
    <w:rsid w:val="002C7AFE"/>
    <w:rsid w:val="002D05D2"/>
    <w:rsid w:val="002E0D61"/>
    <w:rsid w:val="002E4C7B"/>
    <w:rsid w:val="002E748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7E87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4369"/>
    <w:rsid w:val="00430179"/>
    <w:rsid w:val="0043341C"/>
    <w:rsid w:val="004414B5"/>
    <w:rsid w:val="00444482"/>
    <w:rsid w:val="0044452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5D12"/>
    <w:rsid w:val="004C1E3F"/>
    <w:rsid w:val="004C23F4"/>
    <w:rsid w:val="004C3475"/>
    <w:rsid w:val="004C58B6"/>
    <w:rsid w:val="004D16A3"/>
    <w:rsid w:val="004D2D1E"/>
    <w:rsid w:val="004D4AA1"/>
    <w:rsid w:val="004D6D68"/>
    <w:rsid w:val="004E5EDD"/>
    <w:rsid w:val="004F448A"/>
    <w:rsid w:val="004F493D"/>
    <w:rsid w:val="004F65E8"/>
    <w:rsid w:val="004F6ACF"/>
    <w:rsid w:val="0050005E"/>
    <w:rsid w:val="00502B88"/>
    <w:rsid w:val="005118F6"/>
    <w:rsid w:val="005142C4"/>
    <w:rsid w:val="0051509C"/>
    <w:rsid w:val="00523A50"/>
    <w:rsid w:val="00526284"/>
    <w:rsid w:val="005272E2"/>
    <w:rsid w:val="0053108F"/>
    <w:rsid w:val="00532B56"/>
    <w:rsid w:val="00534B10"/>
    <w:rsid w:val="005446A2"/>
    <w:rsid w:val="00544D2F"/>
    <w:rsid w:val="00551BD8"/>
    <w:rsid w:val="0055545C"/>
    <w:rsid w:val="00581055"/>
    <w:rsid w:val="00591E38"/>
    <w:rsid w:val="00597FD5"/>
    <w:rsid w:val="005A0C6D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51AB"/>
    <w:rsid w:val="0060669E"/>
    <w:rsid w:val="00610F2E"/>
    <w:rsid w:val="00611399"/>
    <w:rsid w:val="00622F3D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384"/>
    <w:rsid w:val="00677D9B"/>
    <w:rsid w:val="006867F3"/>
    <w:rsid w:val="00687890"/>
    <w:rsid w:val="006901A2"/>
    <w:rsid w:val="00690368"/>
    <w:rsid w:val="0069079C"/>
    <w:rsid w:val="00690B53"/>
    <w:rsid w:val="00695B72"/>
    <w:rsid w:val="006A459E"/>
    <w:rsid w:val="006B160A"/>
    <w:rsid w:val="006B4E6C"/>
    <w:rsid w:val="006B50B6"/>
    <w:rsid w:val="006D79EA"/>
    <w:rsid w:val="006E4772"/>
    <w:rsid w:val="006E5D05"/>
    <w:rsid w:val="006F6A4F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1130"/>
    <w:rsid w:val="00754779"/>
    <w:rsid w:val="0075605F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7C6A"/>
    <w:rsid w:val="007B1B42"/>
    <w:rsid w:val="007C30EB"/>
    <w:rsid w:val="007C7613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4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5ADA"/>
    <w:rsid w:val="00916909"/>
    <w:rsid w:val="00916EC0"/>
    <w:rsid w:val="00920467"/>
    <w:rsid w:val="00921DE7"/>
    <w:rsid w:val="0093041A"/>
    <w:rsid w:val="00930714"/>
    <w:rsid w:val="00931B03"/>
    <w:rsid w:val="00931F2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6F6B"/>
    <w:rsid w:val="00974F2D"/>
    <w:rsid w:val="00977524"/>
    <w:rsid w:val="00977E88"/>
    <w:rsid w:val="00984920"/>
    <w:rsid w:val="009850DE"/>
    <w:rsid w:val="0099303A"/>
    <w:rsid w:val="009971C2"/>
    <w:rsid w:val="009A1254"/>
    <w:rsid w:val="009B15B3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3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760B"/>
    <w:rsid w:val="00A608DC"/>
    <w:rsid w:val="00A633D4"/>
    <w:rsid w:val="00A6461A"/>
    <w:rsid w:val="00A84504"/>
    <w:rsid w:val="00A8672F"/>
    <w:rsid w:val="00A93057"/>
    <w:rsid w:val="00A968B0"/>
    <w:rsid w:val="00AB2672"/>
    <w:rsid w:val="00AB2717"/>
    <w:rsid w:val="00AB2817"/>
    <w:rsid w:val="00AB43C4"/>
    <w:rsid w:val="00AB73E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434E"/>
    <w:rsid w:val="00B479A9"/>
    <w:rsid w:val="00B52EDF"/>
    <w:rsid w:val="00B71188"/>
    <w:rsid w:val="00B72B74"/>
    <w:rsid w:val="00B743A0"/>
    <w:rsid w:val="00B76A41"/>
    <w:rsid w:val="00B87D4C"/>
    <w:rsid w:val="00B93646"/>
    <w:rsid w:val="00BA0B38"/>
    <w:rsid w:val="00BA1DBB"/>
    <w:rsid w:val="00BA4510"/>
    <w:rsid w:val="00BA529A"/>
    <w:rsid w:val="00BB015C"/>
    <w:rsid w:val="00BB612A"/>
    <w:rsid w:val="00BD4242"/>
    <w:rsid w:val="00BD499F"/>
    <w:rsid w:val="00BD56DE"/>
    <w:rsid w:val="00BE38A6"/>
    <w:rsid w:val="00BF2406"/>
    <w:rsid w:val="00C04652"/>
    <w:rsid w:val="00C06E43"/>
    <w:rsid w:val="00C146BD"/>
    <w:rsid w:val="00C16315"/>
    <w:rsid w:val="00C3091E"/>
    <w:rsid w:val="00C316B5"/>
    <w:rsid w:val="00C36268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196F"/>
    <w:rsid w:val="00CA58FE"/>
    <w:rsid w:val="00CB17C4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3E0F"/>
    <w:rsid w:val="00D74D80"/>
    <w:rsid w:val="00D76624"/>
    <w:rsid w:val="00D76A97"/>
    <w:rsid w:val="00D87570"/>
    <w:rsid w:val="00D87C61"/>
    <w:rsid w:val="00D91CB9"/>
    <w:rsid w:val="00D939AE"/>
    <w:rsid w:val="00D97989"/>
    <w:rsid w:val="00D97D8D"/>
    <w:rsid w:val="00DA352E"/>
    <w:rsid w:val="00DB4ECA"/>
    <w:rsid w:val="00DC7694"/>
    <w:rsid w:val="00DD1BF6"/>
    <w:rsid w:val="00DD2F9B"/>
    <w:rsid w:val="00DE0F7B"/>
    <w:rsid w:val="00DE2513"/>
    <w:rsid w:val="00DE26E8"/>
    <w:rsid w:val="00DF6F36"/>
    <w:rsid w:val="00E0084C"/>
    <w:rsid w:val="00E00A04"/>
    <w:rsid w:val="00E025AB"/>
    <w:rsid w:val="00E02B23"/>
    <w:rsid w:val="00E06F40"/>
    <w:rsid w:val="00E07CE8"/>
    <w:rsid w:val="00E15099"/>
    <w:rsid w:val="00E26A07"/>
    <w:rsid w:val="00E32595"/>
    <w:rsid w:val="00E37CFD"/>
    <w:rsid w:val="00E419DB"/>
    <w:rsid w:val="00E41A26"/>
    <w:rsid w:val="00E46BCB"/>
    <w:rsid w:val="00E51CAF"/>
    <w:rsid w:val="00E60F04"/>
    <w:rsid w:val="00E62AAC"/>
    <w:rsid w:val="00E67C2F"/>
    <w:rsid w:val="00E67EF5"/>
    <w:rsid w:val="00E75A2F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48CC"/>
    <w:rsid w:val="00ED66BC"/>
    <w:rsid w:val="00EF233A"/>
    <w:rsid w:val="00EF2BD9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770A"/>
    <w:rsid w:val="00F43AD5"/>
    <w:rsid w:val="00F4402E"/>
    <w:rsid w:val="00F441D8"/>
    <w:rsid w:val="00F45FF2"/>
    <w:rsid w:val="00F56DD0"/>
    <w:rsid w:val="00F6491C"/>
    <w:rsid w:val="00F67BBB"/>
    <w:rsid w:val="00F87D92"/>
    <w:rsid w:val="00F90AA7"/>
    <w:rsid w:val="00F92498"/>
    <w:rsid w:val="00F94078"/>
    <w:rsid w:val="00F9496B"/>
    <w:rsid w:val="00F970C9"/>
    <w:rsid w:val="00FA06A8"/>
    <w:rsid w:val="00FA0C18"/>
    <w:rsid w:val="00FA3DF5"/>
    <w:rsid w:val="00FA741F"/>
    <w:rsid w:val="00FB4E07"/>
    <w:rsid w:val="00FB755A"/>
    <w:rsid w:val="00FC0FE3"/>
    <w:rsid w:val="00FC60A2"/>
    <w:rsid w:val="00FD1871"/>
    <w:rsid w:val="00FD3110"/>
    <w:rsid w:val="00FE128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146B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6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2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28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28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3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F74C757927A48C9B2CBCE489E8CD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14D80-A7CE-4E58-BCDA-6779B0EC7B19}"/>
      </w:docPartPr>
      <w:docPartBody>
        <w:p w:rsidR="007E7098" w:rsidRDefault="003E629D" w:rsidP="003E629D">
          <w:pPr>
            <w:pStyle w:val="CF74C757927A48C9B2CBCE489E8CDA5F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8F0FAB999A84F5798BE6ABA79B3C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74D8B-AF8D-498E-88BF-661677A0A077}"/>
      </w:docPartPr>
      <w:docPartBody>
        <w:p w:rsidR="006B4B0B" w:rsidRDefault="00E70A73" w:rsidP="00E70A73">
          <w:pPr>
            <w:pStyle w:val="68F0FAB999A84F5798BE6ABA79B3C81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E629D"/>
    <w:rsid w:val="006B4B0B"/>
    <w:rsid w:val="007E7098"/>
    <w:rsid w:val="0085764C"/>
    <w:rsid w:val="00BE38A6"/>
    <w:rsid w:val="00D21A9F"/>
    <w:rsid w:val="00DB1006"/>
    <w:rsid w:val="00E419DB"/>
    <w:rsid w:val="00E7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0A73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F74C757927A48C9B2CBCE489E8CDA5F">
    <w:name w:val="CF74C757927A48C9B2CBCE489E8CDA5F"/>
    <w:rsid w:val="003E629D"/>
  </w:style>
  <w:style w:type="paragraph" w:customStyle="1" w:styleId="68F0FAB999A84F5798BE6ABA79B3C81A">
    <w:name w:val="68F0FAB999A84F5798BE6ABA79B3C81A"/>
    <w:rsid w:val="00E70A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3B09EE-FA15-424B-91B5-3B14E2AD9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904A36-A505-4670-869D-CE01338A4AB7}">
  <ds:schemaRefs>
    <ds:schemaRef ds:uri="http://schemas.microsoft.com/office/2006/documentManagement/types"/>
    <ds:schemaRef ds:uri="a0509f21-ed56-4150-9955-96be669e5f2d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c567317-0c4d-4a62-8516-c22afd1b5354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645FBBF-3FCA-4BA2-BBD7-2A3F73EBCD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2C5C80-DBAD-40FF-8BF7-9E34B9F870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2020-01-09T03:42:00Z</dcterms:created>
  <dcterms:modified xsi:type="dcterms:W3CDTF">2026-01-09T00:01:00Z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2025-12-23T04:51:53Z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8e5d10ce-4a8f-410d-8f48-5ef4653d2ea9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