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4543EFAA" w14:textId="23B87787" w:rsidR="00BD499F" w:rsidRPr="004C23F4" w:rsidRDefault="00015D72" w:rsidP="00B40C60">
          <w:pPr>
            <w:pStyle w:val="Heading1"/>
            <w:jc w:val="center"/>
            <w:rPr>
              <w:rFonts w:ascii="Arial" w:hAnsi="Arial" w:cs="Arial"/>
            </w:rPr>
          </w:pPr>
          <w:r w:rsidRPr="00015D72">
            <w:rPr>
              <w:rFonts w:ascii="Arial" w:hAnsi="Arial" w:cs="Arial"/>
            </w:rPr>
            <w:t>Methylcyclopentadienyl manganese tricarbonyl (as Mn)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45"/>
        <w:gridCol w:w="5081"/>
      </w:tblGrid>
      <w:tr w:rsidR="00F43AD5" w:rsidRPr="004C23F4" w14:paraId="26BFE293" w14:textId="77777777" w:rsidTr="00B76A41">
        <w:trPr>
          <w:cantSplit/>
          <w:tblHeader/>
        </w:trPr>
        <w:tc>
          <w:tcPr>
            <w:tcW w:w="4077" w:type="dxa"/>
          </w:tcPr>
          <w:p w14:paraId="5A4E3548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055EF3E9" w14:textId="49E8BBDC" w:rsidR="00F43AD5" w:rsidRPr="00717D45" w:rsidRDefault="00D36ECB" w:rsidP="00B76A41">
            <w:pPr>
              <w:pStyle w:val="Tablefont"/>
            </w:pPr>
            <w:r w:rsidRPr="00D36ECB">
              <w:t>12108-13-3</w:t>
            </w:r>
          </w:p>
        </w:tc>
      </w:tr>
      <w:tr w:rsidR="00F43AD5" w:rsidRPr="00B30A91" w14:paraId="5F57464F" w14:textId="77777777" w:rsidTr="00B76A41">
        <w:trPr>
          <w:cantSplit/>
        </w:trPr>
        <w:tc>
          <w:tcPr>
            <w:tcW w:w="4077" w:type="dxa"/>
          </w:tcPr>
          <w:p w14:paraId="2A63EC55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566E44EE" w14:textId="02452FD1" w:rsidR="00F43AD5" w:rsidRPr="005F24EE" w:rsidRDefault="00417C29" w:rsidP="00B76A41">
            <w:pPr>
              <w:pStyle w:val="Tablefont"/>
              <w:rPr>
                <w:lang w:val="it-IT"/>
              </w:rPr>
            </w:pPr>
            <w:r w:rsidRPr="005F24EE">
              <w:rPr>
                <w:lang w:val="it-IT"/>
              </w:rPr>
              <w:t>CI-2, Combustion improver-2, MMT, tricarbonyl(methylcyclopentadienyl)-manganese</w:t>
            </w:r>
          </w:p>
        </w:tc>
      </w:tr>
      <w:tr w:rsidR="00F43AD5" w:rsidRPr="004C23F4" w14:paraId="43131306" w14:textId="77777777" w:rsidTr="00B76A41">
        <w:trPr>
          <w:cantSplit/>
        </w:trPr>
        <w:tc>
          <w:tcPr>
            <w:tcW w:w="4077" w:type="dxa"/>
          </w:tcPr>
          <w:p w14:paraId="32313B76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25C2F3E3" w14:textId="7B620492" w:rsidR="00F43AD5" w:rsidRPr="00717D45" w:rsidRDefault="00417C29" w:rsidP="00B76A41">
            <w:pPr>
              <w:pStyle w:val="Tablefont"/>
            </w:pPr>
            <w:r>
              <w:t>C</w:t>
            </w:r>
            <w:r w:rsidRPr="00417C29">
              <w:rPr>
                <w:vertAlign w:val="subscript"/>
              </w:rPr>
              <w:t>9</w:t>
            </w:r>
            <w:r>
              <w:t>H</w:t>
            </w:r>
            <w:r w:rsidRPr="00417C29">
              <w:rPr>
                <w:vertAlign w:val="subscript"/>
              </w:rPr>
              <w:t>7</w:t>
            </w:r>
            <w:r>
              <w:t>MNO</w:t>
            </w:r>
            <w:r w:rsidRPr="00417C29">
              <w:rPr>
                <w:vertAlign w:val="subscript"/>
              </w:rPr>
              <w:t>3</w:t>
            </w:r>
          </w:p>
        </w:tc>
      </w:tr>
      <w:tr w:rsidR="00F43AD5" w:rsidRPr="004C23F4" w14:paraId="5D3F74A6" w14:textId="77777777" w:rsidTr="00B76A41">
        <w:trPr>
          <w:cantSplit/>
        </w:trPr>
        <w:tc>
          <w:tcPr>
            <w:tcW w:w="4077" w:type="dxa"/>
          </w:tcPr>
          <w:p w14:paraId="4DCD9290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627C7FCB" w14:textId="10C7A768" w:rsidR="00F43AD5" w:rsidRPr="00AF6112" w:rsidRDefault="00417C29" w:rsidP="00B76A41">
            <w:pPr>
              <w:pStyle w:val="Tablerowheading"/>
              <w:rPr>
                <w:b w:val="0"/>
              </w:rPr>
            </w:pPr>
            <w:r w:rsidRPr="00961229">
              <w:rPr>
                <w:b w:val="0"/>
              </w:rPr>
              <w:t>—</w:t>
            </w:r>
          </w:p>
        </w:tc>
      </w:tr>
    </w:tbl>
    <w:p w14:paraId="666ADF57" w14:textId="6E317060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B55E1F">
            <w:rPr>
              <w:rStyle w:val="WESstatus"/>
            </w:rPr>
            <w:t>(retained)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05"/>
        <w:gridCol w:w="5021"/>
      </w:tblGrid>
      <w:tr w:rsidR="002C7AFE" w:rsidRPr="004C23F4" w14:paraId="5D147D91" w14:textId="77777777" w:rsidTr="00C73F03">
        <w:trPr>
          <w:cantSplit/>
          <w:tblHeader/>
        </w:trPr>
        <w:tc>
          <w:tcPr>
            <w:tcW w:w="4005" w:type="dxa"/>
            <w:vAlign w:val="center"/>
          </w:tcPr>
          <w:p w14:paraId="2D07010C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21" w:type="dxa"/>
          </w:tcPr>
          <w:p w14:paraId="00BFE72E" w14:textId="7892944C" w:rsidR="002C7AFE" w:rsidRPr="00B55E1F" w:rsidRDefault="00B55E1F" w:rsidP="00017C82">
            <w:pPr>
              <w:pStyle w:val="Tablefont"/>
              <w:rPr>
                <w:b/>
                <w:vertAlign w:val="superscript"/>
              </w:rPr>
            </w:pPr>
            <w:r>
              <w:rPr>
                <w:b/>
              </w:rPr>
              <w:t>0.2 mg/m</w:t>
            </w:r>
            <w:r>
              <w:rPr>
                <w:b/>
                <w:vertAlign w:val="superscript"/>
              </w:rPr>
              <w:t>3</w:t>
            </w:r>
          </w:p>
        </w:tc>
      </w:tr>
      <w:tr w:rsidR="00C73F03" w:rsidRPr="004C23F4" w14:paraId="18FD989F" w14:textId="77777777" w:rsidTr="00C73F03">
        <w:trPr>
          <w:cantSplit/>
        </w:trPr>
        <w:tc>
          <w:tcPr>
            <w:tcW w:w="4005" w:type="dxa"/>
            <w:vAlign w:val="center"/>
          </w:tcPr>
          <w:p w14:paraId="762203CF" w14:textId="77777777" w:rsidR="00C73F03" w:rsidRPr="002C58FF" w:rsidRDefault="00C73F03" w:rsidP="00C73F03">
            <w:pPr>
              <w:pStyle w:val="Tablerowright"/>
            </w:pPr>
            <w:r w:rsidRPr="002C58FF">
              <w:t>STEL</w:t>
            </w:r>
            <w:r>
              <w:t>:</w:t>
            </w:r>
          </w:p>
        </w:tc>
        <w:tc>
          <w:tcPr>
            <w:tcW w:w="5021" w:type="dxa"/>
          </w:tcPr>
          <w:p w14:paraId="11F9033B" w14:textId="7898E600" w:rsidR="00C73F03" w:rsidRPr="00AF6112" w:rsidRDefault="00C73F03" w:rsidP="00C73F03">
            <w:pPr>
              <w:pStyle w:val="Tablefont"/>
              <w:rPr>
                <w:b/>
              </w:rPr>
            </w:pPr>
            <w:r w:rsidRPr="00961229">
              <w:rPr>
                <w:b/>
              </w:rPr>
              <w:t>—</w:t>
            </w:r>
          </w:p>
        </w:tc>
      </w:tr>
      <w:tr w:rsidR="00C73F03" w:rsidRPr="004C23F4" w14:paraId="3FB39402" w14:textId="77777777" w:rsidTr="00C73F03">
        <w:trPr>
          <w:cantSplit/>
        </w:trPr>
        <w:tc>
          <w:tcPr>
            <w:tcW w:w="4005" w:type="dxa"/>
            <w:vAlign w:val="center"/>
          </w:tcPr>
          <w:p w14:paraId="53D4C95A" w14:textId="77777777" w:rsidR="00C73F03" w:rsidRPr="002C58FF" w:rsidRDefault="00C73F03" w:rsidP="00C73F03">
            <w:pPr>
              <w:pStyle w:val="Tablerowright"/>
            </w:pPr>
            <w:r>
              <w:t>Peak limitation:</w:t>
            </w:r>
          </w:p>
        </w:tc>
        <w:tc>
          <w:tcPr>
            <w:tcW w:w="5021" w:type="dxa"/>
          </w:tcPr>
          <w:p w14:paraId="253D6760" w14:textId="1CBC96D3" w:rsidR="00C73F03" w:rsidRPr="00AF6112" w:rsidRDefault="00C73F03" w:rsidP="00C73F03">
            <w:pPr>
              <w:pStyle w:val="Tablefont"/>
              <w:rPr>
                <w:b/>
              </w:rPr>
            </w:pPr>
            <w:r w:rsidRPr="00961229">
              <w:rPr>
                <w:b/>
              </w:rPr>
              <w:t>—</w:t>
            </w:r>
          </w:p>
        </w:tc>
      </w:tr>
      <w:tr w:rsidR="00C73F03" w:rsidRPr="004C23F4" w14:paraId="5C2514D8" w14:textId="77777777" w:rsidTr="00C73F03">
        <w:trPr>
          <w:cantSplit/>
        </w:trPr>
        <w:tc>
          <w:tcPr>
            <w:tcW w:w="4005" w:type="dxa"/>
          </w:tcPr>
          <w:p w14:paraId="6741EB2A" w14:textId="77777777" w:rsidR="00C73F03" w:rsidRPr="002C58FF" w:rsidRDefault="00C73F03" w:rsidP="00C73F03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Pr="003241A8">
              <w:t>Notations</w:t>
            </w:r>
            <w:r>
              <w:t>:</w:t>
            </w:r>
          </w:p>
        </w:tc>
        <w:tc>
          <w:tcPr>
            <w:tcW w:w="5021" w:type="dxa"/>
          </w:tcPr>
          <w:p w14:paraId="66E78D50" w14:textId="5BC1EB3A" w:rsidR="00C73F03" w:rsidRPr="00AF6112" w:rsidRDefault="00961229" w:rsidP="00C73F03">
            <w:pPr>
              <w:pStyle w:val="Tablefont"/>
              <w:rPr>
                <w:b/>
              </w:rPr>
            </w:pPr>
            <w:r>
              <w:rPr>
                <w:b/>
              </w:rPr>
              <w:t>Sk.</w:t>
            </w:r>
          </w:p>
        </w:tc>
      </w:tr>
      <w:tr w:rsidR="002C7AFE" w:rsidRPr="004C23F4" w14:paraId="6064B07E" w14:textId="77777777" w:rsidTr="00C73F03">
        <w:trPr>
          <w:cantSplit/>
        </w:trPr>
        <w:tc>
          <w:tcPr>
            <w:tcW w:w="4005" w:type="dxa"/>
            <w:vAlign w:val="center"/>
          </w:tcPr>
          <w:p w14:paraId="159D9A0F" w14:textId="77777777" w:rsidR="00F10C97" w:rsidRPr="002C58FF" w:rsidRDefault="00921DE7" w:rsidP="009F04D2">
            <w:pPr>
              <w:pStyle w:val="Tablerowright"/>
            </w:pPr>
            <w:r>
              <w:t>IDLH:</w:t>
            </w:r>
          </w:p>
        </w:tc>
        <w:tc>
          <w:tcPr>
            <w:tcW w:w="5021" w:type="dxa"/>
          </w:tcPr>
          <w:p w14:paraId="5A2BE107" w14:textId="2C96B1B4" w:rsidR="002C7AFE" w:rsidRPr="00AF6112" w:rsidRDefault="000B7FA5" w:rsidP="00017C82">
            <w:pPr>
              <w:pStyle w:val="Tablefont"/>
              <w:rPr>
                <w:b/>
              </w:rPr>
            </w:pPr>
            <w:r w:rsidRPr="00961229">
              <w:rPr>
                <w:b/>
              </w:rPr>
              <w:t>—</w:t>
            </w:r>
          </w:p>
        </w:tc>
      </w:tr>
      <w:tr w:rsidR="00AF6112" w:rsidRPr="004C23F4" w14:paraId="5AB9CFFF" w14:textId="77777777" w:rsidTr="00084F9F">
        <w:trPr>
          <w:cantSplit/>
        </w:trPr>
        <w:tc>
          <w:tcPr>
            <w:tcW w:w="9026" w:type="dxa"/>
            <w:gridSpan w:val="2"/>
            <w:vAlign w:val="center"/>
          </w:tcPr>
          <w:p w14:paraId="03B891B0" w14:textId="3B62888A" w:rsidR="00AF6112" w:rsidRPr="00EB3D1B" w:rsidRDefault="00AF6112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Sampling and analysis</w:t>
            </w:r>
            <w:r w:rsidRPr="00AF6112">
              <w:rPr>
                <w:b/>
              </w:rPr>
              <w:t>:</w:t>
            </w:r>
            <w:r w:rsidRPr="00AF6112">
              <w:rPr>
                <w:rStyle w:val="WESstatus"/>
                <w:color w:val="auto"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FCD6556346CF40D29EF75BEC3C8A2619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="00961229">
                  <w:rPr>
                    <w:rStyle w:val="WESstatus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256D5948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6F06EB5B" w14:textId="3A523063" w:rsidR="006639B4" w:rsidRPr="004C23F4" w:rsidRDefault="00B55E1F" w:rsidP="000C139A">
      <w:pPr>
        <w:rPr>
          <w:rFonts w:cs="Arial"/>
        </w:rPr>
      </w:pPr>
      <w:r w:rsidRPr="00E32771">
        <w:t xml:space="preserve">A TWA of </w:t>
      </w:r>
      <w:r>
        <w:t>0.</w:t>
      </w:r>
      <w:r w:rsidRPr="00E32771">
        <w:t xml:space="preserve">2 </w:t>
      </w:r>
      <w:r>
        <w:t>mg/m</w:t>
      </w:r>
      <w:r>
        <w:rPr>
          <w:vertAlign w:val="superscript"/>
        </w:rPr>
        <w:t>3</w:t>
      </w:r>
      <w:r w:rsidRPr="00E32771">
        <w:t xml:space="preserve"> is recommended to</w:t>
      </w:r>
      <w:r>
        <w:t xml:space="preserve"> protect for effects on the central nervous system (CNS), liver, kidneys and </w:t>
      </w:r>
      <w:r w:rsidR="006F4C09">
        <w:t>re</w:t>
      </w:r>
      <w:r w:rsidR="00E55497">
        <w:t>s</w:t>
      </w:r>
      <w:r w:rsidR="006F4C09">
        <w:t xml:space="preserve">piratory </w:t>
      </w:r>
      <w:r>
        <w:t>tract in exposed workers.</w:t>
      </w:r>
    </w:p>
    <w:p w14:paraId="777FF7D8" w14:textId="77777777" w:rsidR="00C7155E" w:rsidRPr="004C23F4" w:rsidRDefault="00F10C97" w:rsidP="003365A5">
      <w:pPr>
        <w:pStyle w:val="Heading2"/>
      </w:pPr>
      <w:r>
        <w:t>Discussion and conclusions</w:t>
      </w:r>
    </w:p>
    <w:p w14:paraId="3D3D1A68" w14:textId="7484D5CE" w:rsidR="006F4C09" w:rsidRDefault="00E8600D" w:rsidP="006639B4">
      <w:r>
        <w:t xml:space="preserve">2-methylcyclopentadienyl manganese tricarbonyl (MMT) </w:t>
      </w:r>
      <w:r w:rsidR="006F4C09">
        <w:t>is</w:t>
      </w:r>
      <w:r w:rsidR="006B0911">
        <w:t xml:space="preserve"> used in fuels as a smoke abatement additive and combustion improver. </w:t>
      </w:r>
    </w:p>
    <w:p w14:paraId="1D495D2F" w14:textId="54ED513B" w:rsidR="006F4C09" w:rsidRDefault="00961229" w:rsidP="006B0911">
      <w:r>
        <w:t xml:space="preserve">Critical </w:t>
      </w:r>
      <w:r w:rsidR="006B0911">
        <w:t>effects</w:t>
      </w:r>
      <w:r w:rsidR="006F4C09">
        <w:t xml:space="preserve"> of exposure</w:t>
      </w:r>
      <w:r w:rsidR="006B0911">
        <w:t xml:space="preserve"> </w:t>
      </w:r>
      <w:r>
        <w:t xml:space="preserve">are </w:t>
      </w:r>
      <w:r w:rsidR="006B0911">
        <w:t xml:space="preserve">on the </w:t>
      </w:r>
      <w:r w:rsidR="00B55E1F">
        <w:t>CNS</w:t>
      </w:r>
      <w:r w:rsidR="006F4C09">
        <w:t>,</w:t>
      </w:r>
      <w:r w:rsidR="006B0911">
        <w:t xml:space="preserve"> with the liver, kidneys and </w:t>
      </w:r>
      <w:r w:rsidR="006F4C09">
        <w:t>respiratory</w:t>
      </w:r>
      <w:r w:rsidR="006B0911">
        <w:t xml:space="preserve"> tract also target organs (ACGIH, 2018).</w:t>
      </w:r>
      <w:r w:rsidR="006F4C09">
        <w:t xml:space="preserve"> </w:t>
      </w:r>
      <w:r w:rsidR="006B0911">
        <w:t xml:space="preserve">Limited evidence </w:t>
      </w:r>
      <w:r w:rsidR="006F4C09">
        <w:t>about</w:t>
      </w:r>
      <w:r w:rsidR="006B0911">
        <w:t xml:space="preserve"> inhalation</w:t>
      </w:r>
      <w:r w:rsidR="006F4C09">
        <w:t>al</w:t>
      </w:r>
      <w:r w:rsidR="006B0911">
        <w:t xml:space="preserve"> exposure is available. </w:t>
      </w:r>
      <w:r w:rsidR="006F4C09">
        <w:t>MMT is r</w:t>
      </w:r>
      <w:r w:rsidR="006B0911">
        <w:t xml:space="preserve">eported </w:t>
      </w:r>
      <w:r w:rsidR="005F24EE">
        <w:t xml:space="preserve">to cause </w:t>
      </w:r>
      <w:r w:rsidR="006B0911">
        <w:rPr>
          <w:rStyle w:val="checkbox"/>
          <w:rFonts w:ascii="Arial" w:hAnsi="Arial" w:cs="Arial"/>
        </w:rPr>
        <w:t>acute toxic</w:t>
      </w:r>
      <w:r w:rsidR="005F24EE">
        <w:rPr>
          <w:rStyle w:val="checkbox"/>
          <w:rFonts w:ascii="Arial" w:hAnsi="Arial" w:cs="Arial"/>
        </w:rPr>
        <w:t>ity</w:t>
      </w:r>
      <w:r w:rsidR="006B0911">
        <w:rPr>
          <w:rStyle w:val="checkbox"/>
          <w:rFonts w:ascii="Arial" w:hAnsi="Arial" w:cs="Arial"/>
        </w:rPr>
        <w:t xml:space="preserve"> by all routes</w:t>
      </w:r>
      <w:r w:rsidR="005F24EE">
        <w:rPr>
          <w:rStyle w:val="checkbox"/>
          <w:rFonts w:ascii="Arial" w:hAnsi="Arial" w:cs="Arial"/>
        </w:rPr>
        <w:t xml:space="preserve"> of exposure</w:t>
      </w:r>
      <w:r w:rsidR="00E32771">
        <w:rPr>
          <w:rStyle w:val="checkbox"/>
          <w:rFonts w:ascii="Arial" w:hAnsi="Arial" w:cs="Arial"/>
        </w:rPr>
        <w:t>.</w:t>
      </w:r>
      <w:r w:rsidR="006B0911">
        <w:t xml:space="preserve"> A case report of </w:t>
      </w:r>
      <w:r w:rsidR="00A50301">
        <w:t xml:space="preserve">a </w:t>
      </w:r>
      <w:r w:rsidR="006B0911">
        <w:t xml:space="preserve">worker suffering from "thick tongue”, giddiness, nausea and headache within </w:t>
      </w:r>
      <w:r w:rsidR="0005631F">
        <w:t xml:space="preserve">three </w:t>
      </w:r>
      <w:r w:rsidR="006B0911">
        <w:t xml:space="preserve">to </w:t>
      </w:r>
      <w:r w:rsidR="0005631F">
        <w:t>five</w:t>
      </w:r>
      <w:r w:rsidR="006B0911">
        <w:t xml:space="preserve"> minutes after spilling 5</w:t>
      </w:r>
      <w:r w:rsidR="006F4C09">
        <w:t xml:space="preserve"> to </w:t>
      </w:r>
      <w:r w:rsidR="006B0911">
        <w:t xml:space="preserve">15 mL </w:t>
      </w:r>
      <w:r w:rsidR="006F4C09">
        <w:t xml:space="preserve">of </w:t>
      </w:r>
      <w:r w:rsidR="006B0911">
        <w:t xml:space="preserve">MMT on their hand. </w:t>
      </w:r>
      <w:r w:rsidR="00B55E1F">
        <w:t xml:space="preserve">A </w:t>
      </w:r>
      <w:r w:rsidR="0005631F">
        <w:t xml:space="preserve">four </w:t>
      </w:r>
      <w:r w:rsidR="00B55E1F">
        <w:t>hour</w:t>
      </w:r>
      <w:r w:rsidR="0005631F">
        <w:t> </w:t>
      </w:r>
      <w:r w:rsidR="00B55E1F">
        <w:t>LC</w:t>
      </w:r>
      <w:r w:rsidR="00B55E1F">
        <w:rPr>
          <w:vertAlign w:val="subscript"/>
        </w:rPr>
        <w:t>50</w:t>
      </w:r>
      <w:r>
        <w:t xml:space="preserve"> of 76 </w:t>
      </w:r>
      <w:r w:rsidR="00B55E1F">
        <w:t>mg/m</w:t>
      </w:r>
      <w:r w:rsidR="00B55E1F">
        <w:rPr>
          <w:vertAlign w:val="superscript"/>
        </w:rPr>
        <w:t>3</w:t>
      </w:r>
      <w:r w:rsidR="00B55E1F">
        <w:t xml:space="preserve"> </w:t>
      </w:r>
      <w:r w:rsidR="006F4C09">
        <w:t>i</w:t>
      </w:r>
      <w:r w:rsidR="00B55E1F">
        <w:t xml:space="preserve">s reported in rats. </w:t>
      </w:r>
      <w:r w:rsidR="006F4C09">
        <w:t>A NOAEC of 6.2 mg/m</w:t>
      </w:r>
      <w:r w:rsidR="006F4C09">
        <w:rPr>
          <w:vertAlign w:val="superscript"/>
        </w:rPr>
        <w:t>3</w:t>
      </w:r>
      <w:r w:rsidR="006F4C09" w:rsidRPr="006B0911">
        <w:t xml:space="preserve"> </w:t>
      </w:r>
      <w:r w:rsidR="006F4C09">
        <w:t xml:space="preserve">is reported for </w:t>
      </w:r>
      <w:r w:rsidR="006F4C09" w:rsidRPr="006B0911">
        <w:t>degenerative changes in liver and kidneys in rats and mice</w:t>
      </w:r>
      <w:r w:rsidR="006F4C09">
        <w:t xml:space="preserve"> exposed for </w:t>
      </w:r>
      <w:r w:rsidR="006F4C09" w:rsidRPr="006B0911">
        <w:t>30 w</w:t>
      </w:r>
      <w:r w:rsidR="006F4C09">
        <w:t>ee</w:t>
      </w:r>
      <w:r w:rsidR="006F4C09" w:rsidRPr="006B0911">
        <w:t>k</w:t>
      </w:r>
      <w:r w:rsidR="006F4C09">
        <w:t>s (NICNAS, 2003).</w:t>
      </w:r>
    </w:p>
    <w:p w14:paraId="15AAA1BE" w14:textId="712FB76B" w:rsidR="006B0911" w:rsidRDefault="00E32771" w:rsidP="006B0911">
      <w:r>
        <w:t>The ACGIH (2018) recommends a TWA of 0.2 mg/m</w:t>
      </w:r>
      <w:r>
        <w:rPr>
          <w:vertAlign w:val="superscript"/>
        </w:rPr>
        <w:t>3</w:t>
      </w:r>
      <w:r>
        <w:t xml:space="preserve"> based on </w:t>
      </w:r>
      <w:r w:rsidR="00B55E1F">
        <w:t>the similar effects to the CNS as</w:t>
      </w:r>
      <w:r>
        <w:t xml:space="preserve"> tetraethyl lead (TEL). </w:t>
      </w:r>
      <w:r w:rsidR="00B30A91">
        <w:t xml:space="preserve">This is also the </w:t>
      </w:r>
      <w:r w:rsidR="005F24EE">
        <w:t xml:space="preserve">current </w:t>
      </w:r>
      <w:r w:rsidR="00B30A91">
        <w:t xml:space="preserve">SWA TWA value. </w:t>
      </w:r>
      <w:r w:rsidR="006B0911">
        <w:t>Exposure at 100 mg/m</w:t>
      </w:r>
      <w:r w:rsidR="006B0911">
        <w:rPr>
          <w:vertAlign w:val="superscript"/>
        </w:rPr>
        <w:t xml:space="preserve">3 </w:t>
      </w:r>
      <w:r w:rsidR="006B0911">
        <w:t xml:space="preserve">TEL for </w:t>
      </w:r>
      <w:r w:rsidR="006F4C09">
        <w:t>one</w:t>
      </w:r>
      <w:r w:rsidR="006B0911">
        <w:t xml:space="preserve"> h</w:t>
      </w:r>
      <w:r w:rsidR="0005631F">
        <w:t>ou</w:t>
      </w:r>
      <w:r w:rsidR="006B0911">
        <w:t>r produced intoxication</w:t>
      </w:r>
      <w:r w:rsidR="006F4C09">
        <w:t>,</w:t>
      </w:r>
      <w:r w:rsidR="006B0911">
        <w:t xml:space="preserve"> irritability, insomnia, psychosis, mania and convulsions in workers.</w:t>
      </w:r>
      <w:r w:rsidR="00B55E1F">
        <w:t xml:space="preserve"> </w:t>
      </w:r>
    </w:p>
    <w:p w14:paraId="053CC5FC" w14:textId="217FAA08" w:rsidR="006B0911" w:rsidRDefault="00B30A91" w:rsidP="006B0911">
      <w:r>
        <w:t>The</w:t>
      </w:r>
      <w:r w:rsidRPr="00E32771">
        <w:t xml:space="preserve"> </w:t>
      </w:r>
      <w:r w:rsidR="005F24EE">
        <w:t xml:space="preserve">current </w:t>
      </w:r>
      <w:r w:rsidR="00E32771" w:rsidRPr="00E32771">
        <w:t xml:space="preserve">TWA of </w:t>
      </w:r>
      <w:r w:rsidR="00E32771">
        <w:t>0.</w:t>
      </w:r>
      <w:r w:rsidR="00E32771" w:rsidRPr="00E32771">
        <w:t xml:space="preserve">2 </w:t>
      </w:r>
      <w:r w:rsidR="00E32771">
        <w:t>mg/m</w:t>
      </w:r>
      <w:r w:rsidR="00E32771">
        <w:rPr>
          <w:vertAlign w:val="superscript"/>
        </w:rPr>
        <w:t>3</w:t>
      </w:r>
      <w:r w:rsidR="00E32771" w:rsidRPr="00E32771">
        <w:t xml:space="preserve"> is recommended to be retained</w:t>
      </w:r>
      <w:r w:rsidR="006F4C09">
        <w:t xml:space="preserve">; aligning with the </w:t>
      </w:r>
      <w:r w:rsidR="001702AB">
        <w:t>recommend</w:t>
      </w:r>
      <w:r w:rsidR="006F4C09">
        <w:t>ation of</w:t>
      </w:r>
      <w:r w:rsidR="001702AB">
        <w:t xml:space="preserve"> the ACGIH (2018). B</w:t>
      </w:r>
      <w:r w:rsidR="00E32771" w:rsidRPr="00E32771">
        <w:t>ased on the evidence presented</w:t>
      </w:r>
      <w:r w:rsidR="006F4C09">
        <w:t>,</w:t>
      </w:r>
      <w:r w:rsidR="00E32771" w:rsidRPr="00E32771">
        <w:t xml:space="preserve"> it is considered protective for </w:t>
      </w:r>
      <w:r w:rsidR="00B55E1F">
        <w:t>the reported critical effects</w:t>
      </w:r>
      <w:r w:rsidR="00E32771" w:rsidRPr="00E32771">
        <w:t>.</w:t>
      </w:r>
    </w:p>
    <w:p w14:paraId="49C34BC0" w14:textId="77777777" w:rsidR="004529F0" w:rsidRPr="004C23F4" w:rsidRDefault="004529F0" w:rsidP="0005631F">
      <w:pPr>
        <w:pStyle w:val="Heading2"/>
      </w:pPr>
      <w:r>
        <w:lastRenderedPageBreak/>
        <w:t>Recommendation for notations</w:t>
      </w:r>
    </w:p>
    <w:p w14:paraId="6E60BA1A" w14:textId="1A24B851" w:rsidR="000B7FA5" w:rsidRDefault="000B7FA5" w:rsidP="00961229">
      <w:pPr>
        <w:keepNext/>
        <w:rPr>
          <w:rFonts w:cs="Arial"/>
        </w:rPr>
      </w:pPr>
      <w:r>
        <w:rPr>
          <w:rFonts w:cs="Arial"/>
        </w:rPr>
        <w:t>Not classified as a carcinogen according to the Globally Harmonized System of Classification and Labelling o</w:t>
      </w:r>
      <w:r w:rsidR="0005631F">
        <w:rPr>
          <w:rFonts w:cs="Arial"/>
        </w:rPr>
        <w:t>f</w:t>
      </w:r>
      <w:r>
        <w:rPr>
          <w:rFonts w:cs="Arial"/>
        </w:rPr>
        <w:t xml:space="preserve"> Chemicals (GHS). </w:t>
      </w:r>
    </w:p>
    <w:p w14:paraId="0FD06631" w14:textId="27D769BF" w:rsidR="000B7FA5" w:rsidRDefault="000B7FA5" w:rsidP="00961229">
      <w:pPr>
        <w:keepNext/>
        <w:rPr>
          <w:rFonts w:cs="Arial"/>
        </w:rPr>
      </w:pPr>
      <w:r>
        <w:rPr>
          <w:rFonts w:cs="Arial"/>
        </w:rPr>
        <w:t xml:space="preserve">Not classified as a skin </w:t>
      </w:r>
      <w:r w:rsidR="0005631F">
        <w:rPr>
          <w:rFonts w:cs="Arial"/>
        </w:rPr>
        <w:t xml:space="preserve">sensitiser </w:t>
      </w:r>
      <w:r>
        <w:rPr>
          <w:rFonts w:cs="Arial"/>
        </w:rPr>
        <w:t>or respiratory sensitiser according to the GHS.</w:t>
      </w:r>
    </w:p>
    <w:p w14:paraId="48ED2B42" w14:textId="4B6ABEA3" w:rsidR="000B7FA5" w:rsidRDefault="00B55E1F" w:rsidP="00961229">
      <w:pPr>
        <w:keepNext/>
        <w:rPr>
          <w:rFonts w:cs="Arial"/>
        </w:rPr>
      </w:pPr>
      <w:r>
        <w:rPr>
          <w:rFonts w:cs="Arial"/>
        </w:rPr>
        <w:t>A skin notation is recommended based on evidence in humans and animals.</w:t>
      </w:r>
    </w:p>
    <w:p w14:paraId="3790AD00" w14:textId="77777777" w:rsidR="0025734A" w:rsidRPr="004C23F4" w:rsidRDefault="0025734A">
      <w:pPr>
        <w:rPr>
          <w:rFonts w:cs="Arial"/>
        </w:rPr>
      </w:pPr>
    </w:p>
    <w:p w14:paraId="086FE052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46FD5D44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00EFCB61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39092DEE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0A59FB45" w14:textId="77777777" w:rsidR="00C978F0" w:rsidRPr="00DA352E" w:rsidRDefault="00C978F0" w:rsidP="0005631F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505A7925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3033DAB7" w14:textId="4373635D" w:rsidR="00DE26E8" w:rsidRPr="003365A5" w:rsidRDefault="00DE26E8" w:rsidP="00961229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spacing w:before="60" w:after="60"/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0B7FA5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0B7FA5">
                  <w:t>TWA: 0.2 mg/m</w:t>
                </w:r>
                <w:r w:rsidR="000B7FA5" w:rsidRPr="000B7FA5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C978F0" w:rsidRPr="00DA352E" w14:paraId="53E61C0E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39E6520A" w14:textId="77777777" w:rsidR="00C978F0" w:rsidRPr="00DA352E" w:rsidRDefault="00C978F0" w:rsidP="0005631F">
            <w:pPr>
              <w:pStyle w:val="Tabletextprimarysource"/>
            </w:pPr>
          </w:p>
        </w:tc>
      </w:tr>
      <w:tr w:rsidR="00C978F0" w:rsidRPr="00DA352E" w14:paraId="4CC2C8B4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3DCF176F" w14:textId="34495EDF" w:rsidR="00C978F0" w:rsidRPr="00DA352E" w:rsidRDefault="00DA352E" w:rsidP="00961229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spacing w:before="60" w:after="60"/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0B7FA5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0B7FA5">
                  <w:t>TLV-TWA: 0.2 mg/m</w:t>
                </w:r>
                <w:r w:rsidR="000B7FA5" w:rsidRPr="000B7FA5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C978F0" w:rsidRPr="00DA352E" w14:paraId="2AE9A9F4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202BE434" w14:textId="13F24382" w:rsidR="00C978F0" w:rsidRDefault="00791C6E" w:rsidP="0005631F">
            <w:pPr>
              <w:pStyle w:val="Tabletextprimarysource"/>
            </w:pPr>
            <w:r>
              <w:t>TLV-TWA recommended to minimise the potential for adverse CNS, pulmonary, liver and kidney effects.</w:t>
            </w:r>
          </w:p>
          <w:p w14:paraId="1F28320D" w14:textId="3E4BBCB6" w:rsidR="00791C6E" w:rsidRPr="00791C6E" w:rsidRDefault="00791C6E" w:rsidP="0005631F">
            <w:pPr>
              <w:pStyle w:val="Tabletextprimarysource"/>
            </w:pPr>
            <w:r>
              <w:t xml:space="preserve">Based on </w:t>
            </w:r>
            <w:r w:rsidR="00E46762">
              <w:t>toxic similarity of MM</w:t>
            </w:r>
            <w:r w:rsidR="006B0911">
              <w:t>T to</w:t>
            </w:r>
            <w:r>
              <w:t xml:space="preserve"> TEL (</w:t>
            </w:r>
            <w:r w:rsidR="006B0911">
              <w:t xml:space="preserve">TLV-TWA of </w:t>
            </w:r>
            <w:r>
              <w:t>0.1 mg/m</w:t>
            </w:r>
            <w:r>
              <w:rPr>
                <w:vertAlign w:val="superscript"/>
              </w:rPr>
              <w:t>3</w:t>
            </w:r>
            <w:r>
              <w:t xml:space="preserve"> as Pb at time of writing)</w:t>
            </w:r>
            <w:r w:rsidR="0005631F">
              <w:t>.</w:t>
            </w:r>
          </w:p>
          <w:p w14:paraId="66325C0A" w14:textId="77777777" w:rsidR="00791C6E" w:rsidRDefault="00791C6E" w:rsidP="0005631F">
            <w:pPr>
              <w:pStyle w:val="Tabletextprimarysource"/>
            </w:pPr>
            <w:r>
              <w:t>Summary of data:</w:t>
            </w:r>
          </w:p>
          <w:p w14:paraId="442C04A2" w14:textId="77777777" w:rsidR="00791C6E" w:rsidRDefault="00791C6E" w:rsidP="0005631F">
            <w:pPr>
              <w:pStyle w:val="Tabletextprimarysource"/>
            </w:pPr>
            <w:r>
              <w:t>Human data:</w:t>
            </w:r>
          </w:p>
          <w:p w14:paraId="5BB0CA32" w14:textId="6667324B" w:rsidR="006B2226" w:rsidRDefault="006B2226" w:rsidP="00961229">
            <w:pPr>
              <w:pStyle w:val="ListBullet"/>
              <w:spacing w:before="60" w:after="60"/>
              <w:ind w:left="720"/>
              <w:contextualSpacing w:val="0"/>
            </w:pPr>
            <w:r>
              <w:t>MMT is moderately irritating to the eye</w:t>
            </w:r>
          </w:p>
          <w:p w14:paraId="20015A90" w14:textId="3E080096" w:rsidR="006B2226" w:rsidRDefault="006B2226" w:rsidP="00961229">
            <w:pPr>
              <w:pStyle w:val="ListBullet"/>
              <w:spacing w:before="60" w:after="60"/>
              <w:ind w:left="720"/>
              <w:contextualSpacing w:val="0"/>
            </w:pPr>
            <w:r>
              <w:t>Case report of worker suffering from "thick tongue"</w:t>
            </w:r>
            <w:r w:rsidR="00F02F98">
              <w:t>,</w:t>
            </w:r>
            <w:r>
              <w:t xml:space="preserve"> giddiness, nausea and headache within 3</w:t>
            </w:r>
            <w:r w:rsidR="0005631F">
              <w:t>–</w:t>
            </w:r>
            <w:r>
              <w:t>5 min after spilling 5</w:t>
            </w:r>
            <w:r w:rsidR="0005631F">
              <w:t>–</w:t>
            </w:r>
            <w:r>
              <w:t>15 mL on their hand</w:t>
            </w:r>
          </w:p>
          <w:p w14:paraId="090F95FD" w14:textId="123CADE2" w:rsidR="00791C6E" w:rsidRDefault="00791C6E" w:rsidP="00961229">
            <w:pPr>
              <w:pStyle w:val="ListBullet"/>
              <w:spacing w:before="60" w:after="60"/>
              <w:ind w:left="720"/>
              <w:contextualSpacing w:val="0"/>
            </w:pPr>
            <w:r>
              <w:t>100 mg/m</w:t>
            </w:r>
            <w:r>
              <w:rPr>
                <w:vertAlign w:val="superscript"/>
              </w:rPr>
              <w:t xml:space="preserve">3 </w:t>
            </w:r>
            <w:r>
              <w:t>TEL</w:t>
            </w:r>
            <w:r w:rsidR="006B2226">
              <w:t xml:space="preserve"> for 1 h produced</w:t>
            </w:r>
            <w:r>
              <w:t xml:space="preserve"> intoxication</w:t>
            </w:r>
            <w:r w:rsidR="006F4C09">
              <w:t>,</w:t>
            </w:r>
            <w:r w:rsidR="006B2226">
              <w:t xml:space="preserve"> irritability, insomnia, psychosis, mania and convulsions</w:t>
            </w:r>
            <w:r w:rsidR="0005631F">
              <w:t>.</w:t>
            </w:r>
          </w:p>
          <w:p w14:paraId="2C352F22" w14:textId="77777777" w:rsidR="006B2226" w:rsidRDefault="006B2226" w:rsidP="0005631F">
            <w:pPr>
              <w:pStyle w:val="Tabletextprimarysource"/>
            </w:pPr>
            <w:r>
              <w:t>Animal data:</w:t>
            </w:r>
          </w:p>
          <w:p w14:paraId="2C1EED75" w14:textId="296867B9" w:rsidR="00B55E1F" w:rsidRDefault="00B55E1F" w:rsidP="00961229">
            <w:pPr>
              <w:pStyle w:val="ListBullet"/>
              <w:spacing w:before="60" w:after="60"/>
              <w:ind w:left="720"/>
              <w:contextualSpacing w:val="0"/>
            </w:pPr>
            <w:r>
              <w:t>LC</w:t>
            </w:r>
            <w:r>
              <w:rPr>
                <w:vertAlign w:val="subscript"/>
              </w:rPr>
              <w:t>50</w:t>
            </w:r>
            <w:r w:rsidR="007D3CA0">
              <w:t xml:space="preserve">: </w:t>
            </w:r>
            <w:r>
              <w:t>247 mg/m</w:t>
            </w:r>
            <w:r>
              <w:rPr>
                <w:vertAlign w:val="superscript"/>
              </w:rPr>
              <w:t>3</w:t>
            </w:r>
            <w:r>
              <w:t xml:space="preserve"> </w:t>
            </w:r>
            <w:r w:rsidR="007D3CA0">
              <w:t xml:space="preserve">(rats: 1 h); </w:t>
            </w:r>
            <w:r>
              <w:t>76 mg/m</w:t>
            </w:r>
            <w:r>
              <w:rPr>
                <w:vertAlign w:val="superscript"/>
              </w:rPr>
              <w:t>3</w:t>
            </w:r>
            <w:r w:rsidR="007D3CA0">
              <w:t xml:space="preserve"> (rats, 4 h)</w:t>
            </w:r>
          </w:p>
          <w:p w14:paraId="1E25E4C9" w14:textId="3CE77DFD" w:rsidR="006B2226" w:rsidRDefault="006B2226" w:rsidP="00961229">
            <w:pPr>
              <w:pStyle w:val="ListBullet"/>
              <w:spacing w:before="60" w:after="60"/>
              <w:ind w:left="720"/>
              <w:contextualSpacing w:val="0"/>
            </w:pPr>
            <w:r>
              <w:t>LD</w:t>
            </w:r>
            <w:r>
              <w:rPr>
                <w:vertAlign w:val="subscript"/>
              </w:rPr>
              <w:t>50</w:t>
            </w:r>
            <w:r w:rsidR="00961229">
              <w:t>:</w:t>
            </w:r>
            <w:r w:rsidR="006F4C09">
              <w:t xml:space="preserve"> </w:t>
            </w:r>
            <w:r w:rsidR="00961229">
              <w:t>140 mg/kg (</w:t>
            </w:r>
            <w:r w:rsidR="00C7411A">
              <w:t>rabbits</w:t>
            </w:r>
            <w:r w:rsidR="00961229">
              <w:t>, dermal)</w:t>
            </w:r>
          </w:p>
          <w:p w14:paraId="5BF607EB" w14:textId="2CD2064C" w:rsidR="00C7411A" w:rsidRDefault="00C7411A" w:rsidP="00961229">
            <w:pPr>
              <w:pStyle w:val="ListBullet"/>
              <w:spacing w:before="60" w:after="60"/>
              <w:ind w:left="720"/>
              <w:contextualSpacing w:val="0"/>
            </w:pPr>
            <w:r>
              <w:t>CNS effects same as TEL</w:t>
            </w:r>
          </w:p>
          <w:p w14:paraId="104849F5" w14:textId="2EBD29D5" w:rsidR="00B55E1F" w:rsidRDefault="00B55E1F" w:rsidP="00961229">
            <w:pPr>
              <w:pStyle w:val="ListBullet"/>
              <w:spacing w:before="60" w:after="60"/>
              <w:ind w:left="720"/>
              <w:contextualSpacing w:val="0"/>
            </w:pPr>
            <w:r>
              <w:t>Liver and the kidneys are the principal target organs of MMT exposure; no further information</w:t>
            </w:r>
          </w:p>
          <w:p w14:paraId="5D94243C" w14:textId="17D916F3" w:rsidR="00C7411A" w:rsidRDefault="00C7411A" w:rsidP="00961229">
            <w:pPr>
              <w:pStyle w:val="ListBullet"/>
              <w:spacing w:before="60" w:after="60"/>
              <w:ind w:left="720"/>
              <w:contextualSpacing w:val="0"/>
            </w:pPr>
            <w:r>
              <w:t>Normal weight gains and no gross or microscopic c</w:t>
            </w:r>
            <w:r w:rsidR="00961229">
              <w:t>hanges in 2 dogs exposed at 100 </w:t>
            </w:r>
            <w:r>
              <w:t>mg/m</w:t>
            </w:r>
            <w:r>
              <w:rPr>
                <w:vertAlign w:val="superscript"/>
              </w:rPr>
              <w:t>3</w:t>
            </w:r>
            <w:r>
              <w:t xml:space="preserve"> for 100 d</w:t>
            </w:r>
            <w:r w:rsidR="0005631F">
              <w:t>.</w:t>
            </w:r>
          </w:p>
          <w:p w14:paraId="25F2889A" w14:textId="77777777" w:rsidR="006F4C09" w:rsidRDefault="006F4C09" w:rsidP="0005631F">
            <w:pPr>
              <w:pStyle w:val="Tabletextprimarysource"/>
            </w:pPr>
          </w:p>
          <w:p w14:paraId="155A9077" w14:textId="77777777" w:rsidR="00C73F03" w:rsidRDefault="00C73F03" w:rsidP="0005631F">
            <w:pPr>
              <w:pStyle w:val="Tabletextprimarysource"/>
            </w:pPr>
            <w:r>
              <w:t>Insufficient data to recommend a sensitiser or carcinogenicity notation or a TLV-STEL.</w:t>
            </w:r>
          </w:p>
          <w:p w14:paraId="679A70E3" w14:textId="0D126287" w:rsidR="006F4C09" w:rsidRPr="00DA352E" w:rsidRDefault="006F4C09" w:rsidP="0005631F">
            <w:pPr>
              <w:pStyle w:val="Tabletextprimarysource"/>
            </w:pPr>
          </w:p>
        </w:tc>
      </w:tr>
      <w:tr w:rsidR="00C978F0" w:rsidRPr="00DA352E" w14:paraId="1AF57FC6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6129C849" w14:textId="59671947" w:rsidR="00C978F0" w:rsidRPr="00DA352E" w:rsidRDefault="00DA352E" w:rsidP="00961229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spacing w:before="60" w:after="60"/>
            </w:pPr>
            <w:r w:rsidRPr="00DA352E"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0B7FA5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0B7FA5">
                  <w:t>NA</w:t>
                </w:r>
              </w:sdtContent>
            </w:sdt>
          </w:p>
        </w:tc>
      </w:tr>
      <w:tr w:rsidR="00C978F0" w:rsidRPr="00DA352E" w14:paraId="6FD94D89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57338DF1" w14:textId="7339F6B7" w:rsidR="00C978F0" w:rsidRPr="00DA352E" w:rsidRDefault="000B7FA5" w:rsidP="0005631F">
            <w:pPr>
              <w:pStyle w:val="Tabletextprimarysource"/>
            </w:pPr>
            <w:r>
              <w:t>No report</w:t>
            </w:r>
            <w:r w:rsidR="0005631F">
              <w:t>.</w:t>
            </w:r>
          </w:p>
        </w:tc>
      </w:tr>
      <w:tr w:rsidR="00C978F0" w:rsidRPr="00DA352E" w14:paraId="1FB046EF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7E806BB0" w14:textId="25B85538" w:rsidR="00C978F0" w:rsidRPr="00DA352E" w:rsidRDefault="00DA352E" w:rsidP="00961229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spacing w:before="60" w:after="60"/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0B7FA5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r w:rsidR="000B7FA5">
                  <w:t>NA</w:t>
                </w:r>
              </w:sdtContent>
            </w:sdt>
          </w:p>
        </w:tc>
      </w:tr>
      <w:tr w:rsidR="00C978F0" w:rsidRPr="00DA352E" w14:paraId="724D98A3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489E0C60" w14:textId="11BAB2A2" w:rsidR="00C978F0" w:rsidRPr="00DA352E" w:rsidRDefault="000B7FA5" w:rsidP="0005631F">
            <w:pPr>
              <w:pStyle w:val="Tabletextprimarysource"/>
            </w:pPr>
            <w:r>
              <w:t>No report</w:t>
            </w:r>
            <w:r w:rsidR="0005631F">
              <w:t>.</w:t>
            </w:r>
          </w:p>
        </w:tc>
      </w:tr>
      <w:tr w:rsidR="00DA352E" w:rsidRPr="00DA352E" w14:paraId="73C325BD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25E59649" w14:textId="7D6F253C" w:rsidR="00DA352E" w:rsidRPr="00DA352E" w:rsidRDefault="00DA352E" w:rsidP="00961229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spacing w:before="60" w:after="60"/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0B7FA5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r w:rsidR="000B7FA5">
                  <w:t>NA</w:t>
                </w:r>
              </w:sdtContent>
            </w:sdt>
          </w:p>
        </w:tc>
      </w:tr>
      <w:tr w:rsidR="00DA352E" w:rsidRPr="00DA352E" w14:paraId="2C252FA0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208BBED8" w14:textId="4263B6E9" w:rsidR="00DA352E" w:rsidRPr="00DA352E" w:rsidRDefault="000B7FA5" w:rsidP="0005631F">
            <w:pPr>
              <w:pStyle w:val="Tabletextprimarysource"/>
            </w:pPr>
            <w:r>
              <w:t>No report</w:t>
            </w:r>
            <w:r w:rsidR="0005631F">
              <w:t>.</w:t>
            </w:r>
          </w:p>
        </w:tc>
      </w:tr>
      <w:tr w:rsidR="00DA352E" w:rsidRPr="00DA352E" w14:paraId="181AB955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29A0C7B8" w14:textId="207697DE" w:rsidR="00DA352E" w:rsidRPr="00DA352E" w:rsidRDefault="00DA352E" w:rsidP="00961229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spacing w:before="60" w:after="60"/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CB5E78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r w:rsidR="00CB5E78">
                  <w:t>NA</w:t>
                </w:r>
              </w:sdtContent>
            </w:sdt>
          </w:p>
        </w:tc>
      </w:tr>
      <w:tr w:rsidR="00DA352E" w:rsidRPr="00DA352E" w14:paraId="6D0911DE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5444C366" w14:textId="066CDC1E" w:rsidR="00CB5E78" w:rsidRPr="00DA352E" w:rsidRDefault="00CB5E78" w:rsidP="0005631F">
            <w:pPr>
              <w:pStyle w:val="Tabletextprimarysource"/>
            </w:pPr>
            <w:r>
              <w:t>No report</w:t>
            </w:r>
            <w:r w:rsidR="0005631F">
              <w:t>.</w:t>
            </w:r>
          </w:p>
        </w:tc>
      </w:tr>
    </w:tbl>
    <w:p w14:paraId="0FFF6E7B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496"/>
        <w:gridCol w:w="423"/>
        <w:gridCol w:w="661"/>
        <w:gridCol w:w="6446"/>
      </w:tblGrid>
      <w:tr w:rsidR="004966BF" w:rsidRPr="00263255" w14:paraId="53E85FC6" w14:textId="77777777" w:rsidTr="00E8600D">
        <w:trPr>
          <w:cantSplit/>
          <w:trHeight w:val="393"/>
          <w:tblHeader/>
        </w:trPr>
        <w:tc>
          <w:tcPr>
            <w:tcW w:w="1496" w:type="dxa"/>
            <w:shd w:val="clear" w:color="auto" w:fill="BFBFBF" w:themeFill="background1" w:themeFillShade="BF"/>
            <w:vAlign w:val="center"/>
          </w:tcPr>
          <w:p w14:paraId="553E2FD6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3" w:type="dxa"/>
            <w:shd w:val="clear" w:color="auto" w:fill="BFBFBF" w:themeFill="background1" w:themeFillShade="BF"/>
            <w:vAlign w:val="center"/>
          </w:tcPr>
          <w:p w14:paraId="4DBE05B3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0DED7F85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46" w:type="dxa"/>
            <w:shd w:val="clear" w:color="auto" w:fill="BFBFBF" w:themeFill="background1" w:themeFillShade="BF"/>
            <w:vAlign w:val="center"/>
          </w:tcPr>
          <w:p w14:paraId="6B41BC79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04095681" w14:textId="77777777" w:rsidTr="00E8600D">
        <w:trPr>
          <w:cantSplit/>
        </w:trPr>
        <w:tc>
          <w:tcPr>
            <w:tcW w:w="1496" w:type="dxa"/>
          </w:tcPr>
          <w:p w14:paraId="48E5965E" w14:textId="77777777" w:rsidR="004966BF" w:rsidRPr="004C23F4" w:rsidRDefault="004966BF" w:rsidP="00224EE2">
            <w:pPr>
              <w:pStyle w:val="Tablefont"/>
            </w:pPr>
            <w:r>
              <w:t>NICNAS</w:t>
            </w:r>
          </w:p>
        </w:tc>
        <w:tc>
          <w:tcPr>
            <w:tcW w:w="423" w:type="dxa"/>
          </w:tcPr>
          <w:p w14:paraId="2AC66CDD" w14:textId="613D99F1" w:rsidR="004966BF" w:rsidRPr="00CE617F" w:rsidRDefault="001A18C0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234131032"/>
                <w:placeholder>
                  <w:docPart w:val="C2B44F29000D47BD8588D2D5E8DFA6C8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CB5E78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194B3686" w14:textId="7722FBCB" w:rsidR="004966BF" w:rsidRPr="004C23F4" w:rsidRDefault="00CB5E78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2003</w:t>
            </w:r>
          </w:p>
        </w:tc>
        <w:tc>
          <w:tcPr>
            <w:tcW w:w="6446" w:type="dxa"/>
          </w:tcPr>
          <w:p w14:paraId="3D0D49B0" w14:textId="43182E28" w:rsidR="004966BF" w:rsidRDefault="00E8600D" w:rsidP="00961229">
            <w:pPr>
              <w:pStyle w:val="ListBullet"/>
              <w:spacing w:before="60" w:after="60"/>
              <w:ind w:left="720"/>
              <w:contextualSpacing w:val="0"/>
              <w:rPr>
                <w:rStyle w:val="checkbox"/>
                <w:rFonts w:ascii="Arial" w:hAnsi="Arial" w:cs="Arial"/>
                <w:lang w:eastAsia="en-AU"/>
              </w:rPr>
            </w:pPr>
            <w:r w:rsidRPr="00961229">
              <w:t>NOAE</w:t>
            </w:r>
            <w:r w:rsidR="006F4C09">
              <w:t>C</w:t>
            </w:r>
            <w:r w:rsidRPr="00E8600D">
              <w:rPr>
                <w:rStyle w:val="checkbox"/>
                <w:rFonts w:ascii="Arial" w:hAnsi="Arial" w:cs="Arial"/>
              </w:rPr>
              <w:t xml:space="preserve"> of 0.0062 mg/L</w:t>
            </w:r>
            <w:r>
              <w:rPr>
                <w:rStyle w:val="checkbox"/>
                <w:rFonts w:ascii="Arial" w:hAnsi="Arial" w:cs="Arial"/>
              </w:rPr>
              <w:t xml:space="preserve"> (6.2 mg/m</w:t>
            </w:r>
            <w:r>
              <w:rPr>
                <w:rStyle w:val="checkbox"/>
                <w:rFonts w:ascii="Arial" w:hAnsi="Arial" w:cs="Arial"/>
                <w:vertAlign w:val="superscript"/>
              </w:rPr>
              <w:t>3</w:t>
            </w:r>
            <w:r>
              <w:rPr>
                <w:rStyle w:val="checkbox"/>
                <w:rFonts w:ascii="Arial" w:hAnsi="Arial" w:cs="Arial"/>
              </w:rPr>
              <w:t>)</w:t>
            </w:r>
            <w:r w:rsidRPr="00E8600D">
              <w:rPr>
                <w:rStyle w:val="checkbox"/>
                <w:rFonts w:ascii="Arial" w:hAnsi="Arial" w:cs="Arial"/>
              </w:rPr>
              <w:t xml:space="preserve"> degenerative changes in liver and kidneys </w:t>
            </w:r>
            <w:r>
              <w:rPr>
                <w:rStyle w:val="checkbox"/>
                <w:rFonts w:ascii="Arial" w:hAnsi="Arial" w:cs="Arial"/>
              </w:rPr>
              <w:t>in rats and mice; 7 h/d, 5 d/wk, 30 wk</w:t>
            </w:r>
          </w:p>
          <w:p w14:paraId="75777D28" w14:textId="57258BFC" w:rsidR="00E8600D" w:rsidRPr="004C23F4" w:rsidRDefault="00E8600D" w:rsidP="00961229">
            <w:pPr>
              <w:pStyle w:val="ListBullet"/>
              <w:spacing w:before="60" w:after="60"/>
              <w:ind w:left="720"/>
              <w:contextualSpacing w:val="0"/>
              <w:rPr>
                <w:rStyle w:val="checkbox"/>
                <w:rFonts w:ascii="Arial" w:hAnsi="Arial" w:cs="Arial"/>
              </w:rPr>
            </w:pPr>
            <w:r w:rsidRPr="00961229">
              <w:t>Reported</w:t>
            </w:r>
            <w:r>
              <w:rPr>
                <w:rStyle w:val="checkbox"/>
                <w:rFonts w:ascii="Arial" w:hAnsi="Arial" w:cs="Arial"/>
              </w:rPr>
              <w:t xml:space="preserve"> as acutely toxic by all routes; no further details</w:t>
            </w:r>
            <w:r w:rsidR="0005631F">
              <w:rPr>
                <w:rStyle w:val="checkbox"/>
                <w:rFonts w:ascii="Arial" w:hAnsi="Arial" w:cs="Arial"/>
              </w:rPr>
              <w:t>.</w:t>
            </w:r>
          </w:p>
        </w:tc>
      </w:tr>
    </w:tbl>
    <w:p w14:paraId="4AF0B6DE" w14:textId="77777777" w:rsidR="007E2A4B" w:rsidRDefault="007E2A4B"/>
    <w:bookmarkEnd w:id="0"/>
    <w:p w14:paraId="0FA4519F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3"/>
        <w:gridCol w:w="2423"/>
      </w:tblGrid>
      <w:tr w:rsidR="002E0D61" w14:paraId="4CBB6B39" w14:textId="77777777" w:rsidTr="00C73F03">
        <w:trPr>
          <w:trHeight w:val="454"/>
          <w:tblHeader/>
        </w:trPr>
        <w:tc>
          <w:tcPr>
            <w:tcW w:w="6603" w:type="dxa"/>
            <w:vAlign w:val="center"/>
          </w:tcPr>
          <w:p w14:paraId="2DDBF49D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3" w:type="dxa"/>
                <w:vAlign w:val="center"/>
              </w:tcPr>
              <w:p w14:paraId="6A43F92F" w14:textId="380FD2C6" w:rsidR="002E0D61" w:rsidRDefault="00C73F03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8A36CF" w14:paraId="217853C7" w14:textId="77777777" w:rsidTr="00C73F03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603" w:type="dxa"/>
                <w:vAlign w:val="center"/>
              </w:tcPr>
              <w:p w14:paraId="43D832FA" w14:textId="14D4FD2C" w:rsidR="008A36CF" w:rsidRPr="006901A2" w:rsidRDefault="00C73F03" w:rsidP="008A36CF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  <w:tc>
          <w:tcPr>
            <w:tcW w:w="2423" w:type="dxa"/>
            <w:vAlign w:val="center"/>
          </w:tcPr>
          <w:p w14:paraId="58286A06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</w:p>
        </w:tc>
      </w:tr>
    </w:tbl>
    <w:bookmarkEnd w:id="1"/>
    <w:p w14:paraId="4E229B58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55EAAE1D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20AE6D91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5EAE0B0C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6A5495B9" w14:textId="77777777" w:rsidTr="00812887">
        <w:trPr>
          <w:cantSplit/>
        </w:trPr>
        <w:tc>
          <w:tcPr>
            <w:tcW w:w="3227" w:type="dxa"/>
          </w:tcPr>
          <w:p w14:paraId="272677D0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09CF21E9" w14:textId="47A988B1" w:rsidR="00687890" w:rsidRPr="00DD2F9B" w:rsidRDefault="000B7FA5" w:rsidP="00DD2F9B">
            <w:pPr>
              <w:pStyle w:val="Tablefont"/>
            </w:pPr>
            <w:r>
              <w:t>Skin</w:t>
            </w:r>
          </w:p>
        </w:tc>
      </w:tr>
      <w:tr w:rsidR="007925F0" w:rsidRPr="004C23F4" w14:paraId="641AEC9B" w14:textId="77777777" w:rsidTr="00812887">
        <w:trPr>
          <w:cantSplit/>
        </w:trPr>
        <w:tc>
          <w:tcPr>
            <w:tcW w:w="3227" w:type="dxa"/>
          </w:tcPr>
          <w:p w14:paraId="4A00CF3F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1C1B7317" w14:textId="1E006A97" w:rsidR="007925F0" w:rsidRPr="00DD2F9B" w:rsidRDefault="0030147D" w:rsidP="00DD2F9B">
            <w:pPr>
              <w:pStyle w:val="Tablefont"/>
            </w:pPr>
            <w:r>
              <w:t>—</w:t>
            </w:r>
          </w:p>
        </w:tc>
      </w:tr>
      <w:tr w:rsidR="00AF483F" w:rsidRPr="004C23F4" w14:paraId="7964534C" w14:textId="77777777" w:rsidTr="00812887">
        <w:trPr>
          <w:cantSplit/>
        </w:trPr>
        <w:tc>
          <w:tcPr>
            <w:tcW w:w="3227" w:type="dxa"/>
          </w:tcPr>
          <w:p w14:paraId="77F3D970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60E98370" w14:textId="144510E8" w:rsidR="00AF483F" w:rsidRPr="00DD2F9B" w:rsidRDefault="0030147D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2EEA58BB" w14:textId="77777777" w:rsidTr="00812887">
        <w:trPr>
          <w:cantSplit/>
        </w:trPr>
        <w:tc>
          <w:tcPr>
            <w:tcW w:w="3227" w:type="dxa"/>
          </w:tcPr>
          <w:p w14:paraId="18DC953B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6155AD68" w14:textId="4C405824" w:rsidR="00687890" w:rsidRPr="00DD2F9B" w:rsidRDefault="0030147D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5DA13A4D" w14:textId="77777777" w:rsidTr="00812887">
        <w:trPr>
          <w:cantSplit/>
        </w:trPr>
        <w:tc>
          <w:tcPr>
            <w:tcW w:w="3227" w:type="dxa"/>
          </w:tcPr>
          <w:p w14:paraId="6F5AD1A0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0A28E336" w14:textId="05EAC6F0" w:rsidR="00E41A26" w:rsidRPr="00DD2F9B" w:rsidRDefault="0030147D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68BDB0FB" w14:textId="77777777" w:rsidTr="00812887">
        <w:trPr>
          <w:cantSplit/>
        </w:trPr>
        <w:tc>
          <w:tcPr>
            <w:tcW w:w="3227" w:type="dxa"/>
          </w:tcPr>
          <w:p w14:paraId="0D4671D8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628A2516" w14:textId="05EF3D40" w:rsidR="002E0D61" w:rsidRPr="00DD2F9B" w:rsidRDefault="00961229" w:rsidP="00DD2F9B">
            <w:pPr>
              <w:pStyle w:val="Tablefont"/>
            </w:pPr>
            <w:r>
              <w:t>Skin</w:t>
            </w:r>
          </w:p>
        </w:tc>
      </w:tr>
      <w:tr w:rsidR="002E0D61" w:rsidRPr="004C23F4" w14:paraId="4C4FEC86" w14:textId="77777777" w:rsidTr="00812887">
        <w:trPr>
          <w:cantSplit/>
        </w:trPr>
        <w:tc>
          <w:tcPr>
            <w:tcW w:w="3227" w:type="dxa"/>
          </w:tcPr>
          <w:p w14:paraId="503B6DEA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12F496F5" w14:textId="01A9E497" w:rsidR="002E0D61" w:rsidRPr="00DD2F9B" w:rsidRDefault="0030147D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54D6C8F3" w14:textId="77777777" w:rsidTr="00812887">
        <w:trPr>
          <w:cantSplit/>
        </w:trPr>
        <w:tc>
          <w:tcPr>
            <w:tcW w:w="3227" w:type="dxa"/>
          </w:tcPr>
          <w:p w14:paraId="3131C160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5CD43A8B" w14:textId="5C944484" w:rsidR="002E0D61" w:rsidRPr="00DD2F9B" w:rsidRDefault="0030147D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4ECC3499" w14:textId="77777777" w:rsidTr="00812887">
        <w:trPr>
          <w:cantSplit/>
        </w:trPr>
        <w:tc>
          <w:tcPr>
            <w:tcW w:w="3227" w:type="dxa"/>
          </w:tcPr>
          <w:p w14:paraId="4EE8060A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363C9FD3" w14:textId="226251C7" w:rsidR="002E0D61" w:rsidRPr="00DD2F9B" w:rsidRDefault="0030147D" w:rsidP="00DD2F9B">
            <w:pPr>
              <w:pStyle w:val="Tablefont"/>
            </w:pPr>
            <w:r>
              <w:t>—</w:t>
            </w:r>
          </w:p>
        </w:tc>
      </w:tr>
      <w:tr w:rsidR="00386093" w:rsidRPr="004C23F4" w14:paraId="30120268" w14:textId="77777777" w:rsidTr="00812887">
        <w:trPr>
          <w:cantSplit/>
        </w:trPr>
        <w:tc>
          <w:tcPr>
            <w:tcW w:w="3227" w:type="dxa"/>
          </w:tcPr>
          <w:p w14:paraId="0B0AAE59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33CF3ADD" w14:textId="78F96A04" w:rsidR="00386093" w:rsidRPr="00DD2F9B" w:rsidRDefault="0030147D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631C2957" w14:textId="77777777" w:rsidTr="00812887">
        <w:trPr>
          <w:cantSplit/>
        </w:trPr>
        <w:tc>
          <w:tcPr>
            <w:tcW w:w="3227" w:type="dxa"/>
          </w:tcPr>
          <w:p w14:paraId="3DF32C9E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35038543" w14:textId="2A99C419" w:rsidR="00386093" w:rsidRPr="00DD2F9B" w:rsidRDefault="0030147D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4A6ACBD1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7E19E943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593C4F1A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4316B576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736DD51D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tbl>
            <w:tblPr>
              <w:tblW w:w="9320" w:type="dxa"/>
              <w:tblLook w:val="04A0" w:firstRow="1" w:lastRow="0" w:firstColumn="1" w:lastColumn="0" w:noHBand="0" w:noVBand="1"/>
            </w:tblPr>
            <w:tblGrid>
              <w:gridCol w:w="3819"/>
              <w:gridCol w:w="1134"/>
              <w:gridCol w:w="1134"/>
              <w:gridCol w:w="2723"/>
            </w:tblGrid>
            <w:tr w:rsidR="00B55E1F" w:rsidRPr="00B55E1F" w14:paraId="7C25F5B8" w14:textId="77777777" w:rsidTr="00B55E1F">
              <w:trPr>
                <w:trHeight w:val="324"/>
              </w:trPr>
              <w:tc>
                <w:tcPr>
                  <w:tcW w:w="40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DBF2948" w14:textId="77777777" w:rsidR="00B55E1F" w:rsidRPr="00B55E1F" w:rsidRDefault="00B55E1F" w:rsidP="00B55E1F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55E1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Adverse effects in human case study:</w:t>
                  </w:r>
                </w:p>
              </w:tc>
              <w:tc>
                <w:tcPr>
                  <w:tcW w:w="11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EB9C"/>
                  <w:noWrap/>
                  <w:vAlign w:val="center"/>
                  <w:hideMark/>
                </w:tcPr>
                <w:p w14:paraId="599FA28B" w14:textId="77777777" w:rsidR="00B55E1F" w:rsidRPr="00B55E1F" w:rsidRDefault="00B55E1F" w:rsidP="00B55E1F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</w:pPr>
                  <w:r w:rsidRPr="00B55E1F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  <w:t>yes</w:t>
                  </w:r>
                </w:p>
              </w:tc>
              <w:tc>
                <w:tcPr>
                  <w:tcW w:w="11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C2BA435" w14:textId="77777777" w:rsidR="00B55E1F" w:rsidRPr="00B55E1F" w:rsidRDefault="00B55E1F" w:rsidP="00B55E1F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B55E1F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4.00</w:t>
                  </w:r>
                </w:p>
              </w:tc>
              <w:tc>
                <w:tcPr>
                  <w:tcW w:w="28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1476CCF" w14:textId="77777777" w:rsidR="00B55E1F" w:rsidRPr="00B55E1F" w:rsidRDefault="00B55E1F" w:rsidP="00B55E1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55E1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B55E1F" w:rsidRPr="00B55E1F" w14:paraId="5C5C2DDB" w14:textId="77777777" w:rsidTr="00B55E1F">
              <w:trPr>
                <w:trHeight w:val="324"/>
              </w:trPr>
              <w:tc>
                <w:tcPr>
                  <w:tcW w:w="40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750A0B5" w14:textId="77777777" w:rsidR="00B55E1F" w:rsidRPr="00B55E1F" w:rsidRDefault="00B55E1F" w:rsidP="00B55E1F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55E1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B55E1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B55E1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≤1000 mg/kg:</w:t>
                  </w:r>
                </w:p>
              </w:tc>
              <w:tc>
                <w:tcPr>
                  <w:tcW w:w="11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EB9C"/>
                  <w:noWrap/>
                  <w:vAlign w:val="center"/>
                  <w:hideMark/>
                </w:tcPr>
                <w:p w14:paraId="4B322C2D" w14:textId="77777777" w:rsidR="00B55E1F" w:rsidRPr="00B55E1F" w:rsidRDefault="00B55E1F" w:rsidP="00B55E1F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</w:pPr>
                  <w:r w:rsidRPr="00B55E1F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  <w:t>yes</w:t>
                  </w:r>
                </w:p>
              </w:tc>
              <w:tc>
                <w:tcPr>
                  <w:tcW w:w="11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ED58DD1" w14:textId="77777777" w:rsidR="00B55E1F" w:rsidRPr="00B55E1F" w:rsidRDefault="00B55E1F" w:rsidP="00B55E1F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B55E1F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3.00</w:t>
                  </w:r>
                </w:p>
              </w:tc>
              <w:tc>
                <w:tcPr>
                  <w:tcW w:w="28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1AE721A" w14:textId="77777777" w:rsidR="00B55E1F" w:rsidRPr="00B55E1F" w:rsidRDefault="00B55E1F" w:rsidP="00B55E1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55E1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B55E1F" w:rsidRPr="00B55E1F" w14:paraId="65FBBAE1" w14:textId="77777777" w:rsidTr="00B55E1F">
              <w:trPr>
                <w:trHeight w:val="324"/>
              </w:trPr>
              <w:tc>
                <w:tcPr>
                  <w:tcW w:w="40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757FF4D" w14:textId="77777777" w:rsidR="00B55E1F" w:rsidRPr="00B55E1F" w:rsidRDefault="00B55E1F" w:rsidP="00B55E1F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55E1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repeat-dose NOAEL ≤200 mg/kg:</w:t>
                  </w:r>
                </w:p>
              </w:tc>
              <w:tc>
                <w:tcPr>
                  <w:tcW w:w="11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5EA1785" w14:textId="77777777" w:rsidR="00B55E1F" w:rsidRPr="00B55E1F" w:rsidRDefault="00B55E1F" w:rsidP="00B55E1F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55E1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0952E65" w14:textId="77777777" w:rsidR="00B55E1F" w:rsidRPr="00B55E1F" w:rsidRDefault="00B55E1F" w:rsidP="00B55E1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B55E1F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8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621B3CE" w14:textId="77777777" w:rsidR="00B55E1F" w:rsidRPr="00B55E1F" w:rsidRDefault="00B55E1F" w:rsidP="00B55E1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55E1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B55E1F" w:rsidRPr="00B55E1F" w14:paraId="4334BA27" w14:textId="77777777" w:rsidTr="00B55E1F">
              <w:trPr>
                <w:trHeight w:val="324"/>
              </w:trPr>
              <w:tc>
                <w:tcPr>
                  <w:tcW w:w="40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53D29CD" w14:textId="77777777" w:rsidR="00B55E1F" w:rsidRPr="00B55E1F" w:rsidRDefault="00B55E1F" w:rsidP="00B55E1F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55E1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B55E1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B55E1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/Inhalation LD</w:t>
                  </w:r>
                  <w:r w:rsidRPr="00B55E1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B55E1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&lt;10:</w:t>
                  </w:r>
                </w:p>
              </w:tc>
              <w:tc>
                <w:tcPr>
                  <w:tcW w:w="11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6794BB5" w14:textId="77777777" w:rsidR="00B55E1F" w:rsidRPr="00B55E1F" w:rsidRDefault="00B55E1F" w:rsidP="00B55E1F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55E1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65A1500" w14:textId="77777777" w:rsidR="00B55E1F" w:rsidRPr="00B55E1F" w:rsidRDefault="00B55E1F" w:rsidP="00B55E1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B55E1F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8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8E48E53" w14:textId="77777777" w:rsidR="00B55E1F" w:rsidRPr="00B55E1F" w:rsidRDefault="00B55E1F" w:rsidP="00B55E1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55E1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B55E1F" w:rsidRPr="00B55E1F" w14:paraId="54B7DF8D" w14:textId="77777777" w:rsidTr="00B55E1F">
              <w:trPr>
                <w:trHeight w:val="324"/>
              </w:trPr>
              <w:tc>
                <w:tcPr>
                  <w:tcW w:w="40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8D64641" w14:textId="77777777" w:rsidR="00B55E1F" w:rsidRPr="00B55E1F" w:rsidRDefault="00B55E1F" w:rsidP="00B55E1F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B55E1F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  <w:t>In vivo</w:t>
                  </w:r>
                  <w:r w:rsidRPr="00B55E1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dermal absorption rate &gt;10%:</w:t>
                  </w:r>
                </w:p>
              </w:tc>
              <w:tc>
                <w:tcPr>
                  <w:tcW w:w="11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F520E85" w14:textId="77777777" w:rsidR="00B55E1F" w:rsidRPr="00B55E1F" w:rsidRDefault="00B55E1F" w:rsidP="00B55E1F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55E1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A03D529" w14:textId="77777777" w:rsidR="00B55E1F" w:rsidRPr="00B55E1F" w:rsidRDefault="00B55E1F" w:rsidP="00B55E1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B55E1F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8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01585BA" w14:textId="77777777" w:rsidR="00B55E1F" w:rsidRPr="00B55E1F" w:rsidRDefault="00B55E1F" w:rsidP="00B55E1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55E1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B55E1F" w:rsidRPr="00B55E1F" w14:paraId="43843AA2" w14:textId="77777777" w:rsidTr="00B55E1F">
              <w:trPr>
                <w:trHeight w:val="324"/>
              </w:trPr>
              <w:tc>
                <w:tcPr>
                  <w:tcW w:w="40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D07F9CB" w14:textId="77777777" w:rsidR="00B55E1F" w:rsidRPr="00B55E1F" w:rsidRDefault="00B55E1F" w:rsidP="00B55E1F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55E1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Estimated dermal exposure at WES &gt;10%:</w:t>
                  </w:r>
                </w:p>
              </w:tc>
              <w:tc>
                <w:tcPr>
                  <w:tcW w:w="11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606B27F" w14:textId="77777777" w:rsidR="00B55E1F" w:rsidRPr="00B55E1F" w:rsidRDefault="00B55E1F" w:rsidP="00B55E1F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55E1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9FA6C21" w14:textId="77777777" w:rsidR="00B55E1F" w:rsidRPr="00B55E1F" w:rsidRDefault="00B55E1F" w:rsidP="00B55E1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B55E1F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8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7131E75" w14:textId="77777777" w:rsidR="00B55E1F" w:rsidRPr="00B55E1F" w:rsidRDefault="00B55E1F" w:rsidP="00B55E1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55E1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B55E1F" w:rsidRPr="00B55E1F" w14:paraId="46A9BA98" w14:textId="77777777" w:rsidTr="00B55E1F">
              <w:trPr>
                <w:trHeight w:val="324"/>
              </w:trPr>
              <w:tc>
                <w:tcPr>
                  <w:tcW w:w="40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2CA214F" w14:textId="77777777" w:rsidR="00B55E1F" w:rsidRPr="00B55E1F" w:rsidRDefault="00B55E1F" w:rsidP="00B55E1F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55E1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F6C9FFA" w14:textId="77777777" w:rsidR="00B55E1F" w:rsidRPr="00B55E1F" w:rsidRDefault="00B55E1F" w:rsidP="00B55E1F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55E1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5421036" w14:textId="77777777" w:rsidR="00B55E1F" w:rsidRPr="00B55E1F" w:rsidRDefault="00B55E1F" w:rsidP="00B55E1F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B55E1F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3</w:t>
                  </w:r>
                </w:p>
              </w:tc>
              <w:tc>
                <w:tcPr>
                  <w:tcW w:w="28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274D204" w14:textId="77777777" w:rsidR="00B55E1F" w:rsidRPr="00B55E1F" w:rsidRDefault="00B55E1F" w:rsidP="00B55E1F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B55E1F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a skin notation is warranted</w:t>
                  </w:r>
                </w:p>
              </w:tc>
            </w:tr>
          </w:tbl>
          <w:p w14:paraId="79B36D1C" w14:textId="77777777" w:rsidR="00932DCE" w:rsidRPr="004C23F4" w:rsidRDefault="00932DCE" w:rsidP="00F9496B">
            <w:pPr>
              <w:pStyle w:val="Tablefont"/>
            </w:pPr>
          </w:p>
        </w:tc>
      </w:tr>
    </w:tbl>
    <w:bookmarkEnd w:id="3"/>
    <w:p w14:paraId="5795A2CF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9"/>
        <w:gridCol w:w="4757"/>
      </w:tblGrid>
      <w:tr w:rsidR="00EB3D1B" w14:paraId="750B1022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2293C0FC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195F3899" w14:textId="060A42FB" w:rsidR="00EB3D1B" w:rsidRDefault="0030147D" w:rsidP="00EB3D1B">
                <w:pPr>
                  <w:pStyle w:val="Tablefont"/>
                </w:pPr>
                <w:r>
                  <w:t>No</w:t>
                </w:r>
              </w:p>
            </w:tc>
          </w:sdtContent>
        </w:sdt>
      </w:tr>
    </w:tbl>
    <w:p w14:paraId="4476DE4A" w14:textId="77777777" w:rsidR="00687890" w:rsidRPr="004C23F4" w:rsidRDefault="00B479A9" w:rsidP="00474E33">
      <w:pPr>
        <w:pStyle w:val="Heading2"/>
      </w:pPr>
      <w:r w:rsidRPr="004C23F4">
        <w:lastRenderedPageBreak/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4C23F4" w14:paraId="7FEE9E5F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1F3A9321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252B0F17" w14:textId="640D9AF2" w:rsidR="001B79E5" w:rsidRDefault="0030147D" w:rsidP="001B79E5">
                <w:pPr>
                  <w:pStyle w:val="Tablefont"/>
                </w:pPr>
                <w:r w:rsidRPr="0030147D">
                  <w:t>218.09</w:t>
                </w:r>
              </w:p>
            </w:tc>
          </w:sdtContent>
        </w:sdt>
      </w:tr>
      <w:tr w:rsidR="00A31D99" w:rsidRPr="004C23F4" w14:paraId="24DACEC5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003EAB7C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7F456905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EndPr/>
              <w:sdtContent>
                <w:r w:rsidR="00A174CC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A174CC" w:rsidRPr="00A174CC">
                  <w:rPr>
                    <w:color w:val="808080"/>
                  </w:rPr>
                  <w:t>Number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71C4FB7B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793B1748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6AF91C71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06C8FFA9" w14:textId="77777777" w:rsidTr="00EA6243">
        <w:trPr>
          <w:cantSplit/>
        </w:trPr>
        <w:tc>
          <w:tcPr>
            <w:tcW w:w="4077" w:type="dxa"/>
            <w:vAlign w:val="center"/>
          </w:tcPr>
          <w:p w14:paraId="2CF09532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24986E37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57A55A61" w14:textId="77777777" w:rsidTr="00EA6243">
        <w:trPr>
          <w:cantSplit/>
        </w:trPr>
        <w:tc>
          <w:tcPr>
            <w:tcW w:w="4077" w:type="dxa"/>
            <w:vAlign w:val="center"/>
          </w:tcPr>
          <w:p w14:paraId="6804BB67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1896436D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587824A2" w14:textId="77777777" w:rsidTr="00EA6243">
        <w:trPr>
          <w:cantSplit/>
        </w:trPr>
        <w:tc>
          <w:tcPr>
            <w:tcW w:w="4077" w:type="dxa"/>
            <w:vAlign w:val="center"/>
          </w:tcPr>
          <w:p w14:paraId="7D891466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0EE0931B" w14:textId="77777777" w:rsidR="00E06F40" w:rsidRPr="00A006A0" w:rsidRDefault="001A18C0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1422530A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65A06D2D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03D8679A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200B1E91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11C2FC17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568942A5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6ACE91F9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004DB0F0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3F898B9A" w14:textId="5B45CDB4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7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1FF15765" w14:textId="0AC48658" w:rsidR="00CB5E78" w:rsidRDefault="00CB5E78" w:rsidP="00CB5E78">
      <w:r w:rsidRPr="00CB5E78">
        <w:t xml:space="preserve">National Industrial Chemicals Notification and </w:t>
      </w:r>
      <w:r>
        <w:t>Assessment Scheme (NICNAS) (2003</w:t>
      </w:r>
      <w:r w:rsidRPr="00CB5E78">
        <w:t>)</w:t>
      </w:r>
      <w:r>
        <w:t xml:space="preserve"> </w:t>
      </w:r>
      <w:r w:rsidRPr="00CB5E78">
        <w:t xml:space="preserve">Methylcyclopentadienyl Manganese Tricarbonyl (MMT): </w:t>
      </w:r>
      <w:r>
        <w:t>Priority Existing Chemical Assessment Report No. 24</w:t>
      </w:r>
    </w:p>
    <w:sectPr w:rsidR="00CB5E78" w:rsidSect="00B87D4C">
      <w:headerReference w:type="default" r:id="rId18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216035" w14:textId="77777777" w:rsidR="00E96CE4" w:rsidRDefault="00E96CE4" w:rsidP="00F43AD5">
      <w:pPr>
        <w:spacing w:after="0" w:line="240" w:lineRule="auto"/>
      </w:pPr>
      <w:r>
        <w:separator/>
      </w:r>
    </w:p>
  </w:endnote>
  <w:endnote w:type="continuationSeparator" w:id="0">
    <w:p w14:paraId="35A336B2" w14:textId="77777777" w:rsidR="00E96CE4" w:rsidRDefault="00E96CE4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293F8A" w14:textId="77777777" w:rsidR="00FF4493" w:rsidRDefault="00FF449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3145F91A" w14:textId="6FAF6C73" w:rsidR="008A36CF" w:rsidRDefault="000B7FA5" w:rsidP="0034744C">
        <w:pPr>
          <w:pStyle w:val="Footer"/>
          <w:rPr>
            <w:sz w:val="18"/>
            <w:szCs w:val="18"/>
          </w:rPr>
        </w:pPr>
        <w:r w:rsidRPr="000B7FA5">
          <w:rPr>
            <w:b/>
            <w:sz w:val="18"/>
            <w:szCs w:val="18"/>
          </w:rPr>
          <w:t>Methylcyclopentadienyl manganese tricarbonyl (as Mn)</w:t>
        </w:r>
        <w:r w:rsidR="008A36CF">
          <w:rPr>
            <w:b/>
            <w:sz w:val="18"/>
            <w:szCs w:val="18"/>
          </w:rPr>
          <w:t xml:space="preserve"> (</w:t>
        </w:r>
        <w:r w:rsidR="00417C29" w:rsidRPr="00417C29">
          <w:rPr>
            <w:b/>
            <w:sz w:val="18"/>
            <w:szCs w:val="18"/>
          </w:rPr>
          <w:t>12108-13-3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201</w:t>
        </w:r>
        <w:r w:rsidR="00351FE0">
          <w:rPr>
            <w:sz w:val="18"/>
            <w:szCs w:val="18"/>
          </w:rPr>
          <w:t>9</w:t>
        </w:r>
      </w:p>
      <w:p w14:paraId="64721A82" w14:textId="30C61163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FF4493">
          <w:rPr>
            <w:noProof/>
            <w:sz w:val="18"/>
            <w:szCs w:val="18"/>
          </w:rPr>
          <w:t>3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1BE047" w14:textId="77777777" w:rsidR="00FF4493" w:rsidRDefault="00FF449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ACCD5D" w14:textId="77777777" w:rsidR="00E96CE4" w:rsidRDefault="00E96CE4" w:rsidP="00F43AD5">
      <w:pPr>
        <w:spacing w:after="0" w:line="240" w:lineRule="auto"/>
      </w:pPr>
      <w:r>
        <w:separator/>
      </w:r>
    </w:p>
  </w:footnote>
  <w:footnote w:type="continuationSeparator" w:id="0">
    <w:p w14:paraId="2D430B3B" w14:textId="77777777" w:rsidR="00E96CE4" w:rsidRDefault="00E96CE4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72A262" w14:textId="77777777" w:rsidR="00FF4493" w:rsidRDefault="00FF449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ECFC14" w14:textId="2EF67D21" w:rsidR="00FF4493" w:rsidRDefault="00FF4493" w:rsidP="00FF4493">
    <w:pPr>
      <w:pStyle w:val="Header"/>
      <w:jc w:val="right"/>
    </w:pPr>
    <w:r>
      <w:rPr>
        <w:noProof/>
        <w:lang w:eastAsia="en-AU"/>
      </w:rPr>
      <w:drawing>
        <wp:inline distT="0" distB="0" distL="0" distR="0" wp14:anchorId="634E3FA8" wp14:editId="4CE4656C">
          <wp:extent cx="2941955" cy="588645"/>
          <wp:effectExtent l="0" t="0" r="0" b="1905"/>
          <wp:docPr id="1" name="Picture 1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AC62F1F" w14:textId="1A6BCE5B" w:rsidR="008A36CF" w:rsidRPr="00FF4493" w:rsidRDefault="008A36CF" w:rsidP="00FF449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BD0AB9" w14:textId="77777777" w:rsidR="00FF4493" w:rsidRDefault="00FF4493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F82637" w14:textId="2759EF59" w:rsidR="00FF4493" w:rsidRDefault="00FF4493" w:rsidP="00FF4493">
    <w:pPr>
      <w:pStyle w:val="Header"/>
      <w:jc w:val="right"/>
    </w:pPr>
    <w:r>
      <w:rPr>
        <w:noProof/>
        <w:lang w:eastAsia="en-AU"/>
      </w:rPr>
      <w:drawing>
        <wp:inline distT="0" distB="0" distL="0" distR="0" wp14:anchorId="2ED85A15" wp14:editId="27FB1197">
          <wp:extent cx="2941955" cy="588645"/>
          <wp:effectExtent l="0" t="0" r="0" b="1905"/>
          <wp:docPr id="3" name="Picture 3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19B68B6" w14:textId="77777777" w:rsidR="008A36CF" w:rsidRDefault="008A36CF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4BAC5B5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763259096">
    <w:abstractNumId w:val="0"/>
  </w:num>
  <w:num w:numId="2" w16cid:durableId="1433625395">
    <w:abstractNumId w:val="0"/>
  </w:num>
  <w:num w:numId="3" w16cid:durableId="1455178490">
    <w:abstractNumId w:val="0"/>
  </w:num>
  <w:num w:numId="4" w16cid:durableId="672337871">
    <w:abstractNumId w:val="0"/>
  </w:num>
  <w:num w:numId="5" w16cid:durableId="1049959889">
    <w:abstractNumId w:val="0"/>
  </w:num>
  <w:num w:numId="6" w16cid:durableId="1676610905">
    <w:abstractNumId w:val="0"/>
  </w:num>
  <w:num w:numId="7" w16cid:durableId="2073429927">
    <w:abstractNumId w:val="0"/>
  </w:num>
  <w:num w:numId="8" w16cid:durableId="5415545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819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5D72"/>
    <w:rsid w:val="00017C82"/>
    <w:rsid w:val="00032B88"/>
    <w:rsid w:val="00046DF5"/>
    <w:rsid w:val="00052060"/>
    <w:rsid w:val="0005574A"/>
    <w:rsid w:val="00055FE1"/>
    <w:rsid w:val="0005631F"/>
    <w:rsid w:val="00056EC2"/>
    <w:rsid w:val="00060B48"/>
    <w:rsid w:val="00067F32"/>
    <w:rsid w:val="00071807"/>
    <w:rsid w:val="000803E1"/>
    <w:rsid w:val="00084513"/>
    <w:rsid w:val="00084859"/>
    <w:rsid w:val="00092D94"/>
    <w:rsid w:val="000B0868"/>
    <w:rsid w:val="000B3E12"/>
    <w:rsid w:val="000B3E78"/>
    <w:rsid w:val="000B7B48"/>
    <w:rsid w:val="000B7FA5"/>
    <w:rsid w:val="000C096D"/>
    <w:rsid w:val="000C139A"/>
    <w:rsid w:val="000C2053"/>
    <w:rsid w:val="000C248C"/>
    <w:rsid w:val="000C29B4"/>
    <w:rsid w:val="000D291C"/>
    <w:rsid w:val="000E5A54"/>
    <w:rsid w:val="000E63D3"/>
    <w:rsid w:val="000E67CF"/>
    <w:rsid w:val="0010461E"/>
    <w:rsid w:val="00106FAA"/>
    <w:rsid w:val="00113443"/>
    <w:rsid w:val="001269A7"/>
    <w:rsid w:val="00131092"/>
    <w:rsid w:val="00140E6A"/>
    <w:rsid w:val="00146545"/>
    <w:rsid w:val="00146B75"/>
    <w:rsid w:val="0015266D"/>
    <w:rsid w:val="0015288A"/>
    <w:rsid w:val="00160F47"/>
    <w:rsid w:val="001702AB"/>
    <w:rsid w:val="00177CA1"/>
    <w:rsid w:val="00183823"/>
    <w:rsid w:val="00183942"/>
    <w:rsid w:val="001A009E"/>
    <w:rsid w:val="001A1287"/>
    <w:rsid w:val="001A18C0"/>
    <w:rsid w:val="001A3859"/>
    <w:rsid w:val="001A3C9D"/>
    <w:rsid w:val="001A43F8"/>
    <w:rsid w:val="001B79E5"/>
    <w:rsid w:val="001D56F0"/>
    <w:rsid w:val="001D663B"/>
    <w:rsid w:val="001D7B41"/>
    <w:rsid w:val="001E46DA"/>
    <w:rsid w:val="001E7D80"/>
    <w:rsid w:val="001F4B6C"/>
    <w:rsid w:val="001F62CB"/>
    <w:rsid w:val="001F6ED0"/>
    <w:rsid w:val="001F72E6"/>
    <w:rsid w:val="001F73C5"/>
    <w:rsid w:val="002046A6"/>
    <w:rsid w:val="00204956"/>
    <w:rsid w:val="00213640"/>
    <w:rsid w:val="00221547"/>
    <w:rsid w:val="002216FC"/>
    <w:rsid w:val="00222533"/>
    <w:rsid w:val="00222F30"/>
    <w:rsid w:val="00224EE2"/>
    <w:rsid w:val="00227EC7"/>
    <w:rsid w:val="00244AD1"/>
    <w:rsid w:val="002463BC"/>
    <w:rsid w:val="002465CE"/>
    <w:rsid w:val="0025734A"/>
    <w:rsid w:val="00263255"/>
    <w:rsid w:val="00276494"/>
    <w:rsid w:val="00277B0C"/>
    <w:rsid w:val="002B1A2C"/>
    <w:rsid w:val="002C34F2"/>
    <w:rsid w:val="002C58FF"/>
    <w:rsid w:val="002C7AFE"/>
    <w:rsid w:val="002D05D2"/>
    <w:rsid w:val="002E0D61"/>
    <w:rsid w:val="002E4C7B"/>
    <w:rsid w:val="0030147D"/>
    <w:rsid w:val="0030740C"/>
    <w:rsid w:val="00315833"/>
    <w:rsid w:val="003215EE"/>
    <w:rsid w:val="003224BF"/>
    <w:rsid w:val="003241A8"/>
    <w:rsid w:val="003253F0"/>
    <w:rsid w:val="003337DA"/>
    <w:rsid w:val="00334EFB"/>
    <w:rsid w:val="00335CDE"/>
    <w:rsid w:val="003365A5"/>
    <w:rsid w:val="00347192"/>
    <w:rsid w:val="0034744C"/>
    <w:rsid w:val="00351FE0"/>
    <w:rsid w:val="00352615"/>
    <w:rsid w:val="0035412B"/>
    <w:rsid w:val="003567A8"/>
    <w:rsid w:val="00362895"/>
    <w:rsid w:val="00370DBF"/>
    <w:rsid w:val="00386093"/>
    <w:rsid w:val="003904A4"/>
    <w:rsid w:val="00391841"/>
    <w:rsid w:val="00391B6D"/>
    <w:rsid w:val="00394922"/>
    <w:rsid w:val="003A0E32"/>
    <w:rsid w:val="003A2B94"/>
    <w:rsid w:val="003B387D"/>
    <w:rsid w:val="003C0D58"/>
    <w:rsid w:val="003D4FA3"/>
    <w:rsid w:val="003E0807"/>
    <w:rsid w:val="003E51FB"/>
    <w:rsid w:val="003E6B39"/>
    <w:rsid w:val="003F07E1"/>
    <w:rsid w:val="004030BC"/>
    <w:rsid w:val="00403F7D"/>
    <w:rsid w:val="00406785"/>
    <w:rsid w:val="004079B4"/>
    <w:rsid w:val="00417A56"/>
    <w:rsid w:val="00417C29"/>
    <w:rsid w:val="00420957"/>
    <w:rsid w:val="00422A10"/>
    <w:rsid w:val="00430179"/>
    <w:rsid w:val="004414B5"/>
    <w:rsid w:val="00444482"/>
    <w:rsid w:val="00444B42"/>
    <w:rsid w:val="00445E44"/>
    <w:rsid w:val="004509E2"/>
    <w:rsid w:val="004515EE"/>
    <w:rsid w:val="004529F0"/>
    <w:rsid w:val="00460A03"/>
    <w:rsid w:val="00472A11"/>
    <w:rsid w:val="00472AAD"/>
    <w:rsid w:val="00474E33"/>
    <w:rsid w:val="00476803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B05D6"/>
    <w:rsid w:val="004C1E3F"/>
    <w:rsid w:val="004C23F4"/>
    <w:rsid w:val="004C3475"/>
    <w:rsid w:val="004C58B6"/>
    <w:rsid w:val="004D16A3"/>
    <w:rsid w:val="004D4AA1"/>
    <w:rsid w:val="004D6D68"/>
    <w:rsid w:val="004E5EDD"/>
    <w:rsid w:val="004F448A"/>
    <w:rsid w:val="004F493D"/>
    <w:rsid w:val="004F65E8"/>
    <w:rsid w:val="0050005E"/>
    <w:rsid w:val="00502B88"/>
    <w:rsid w:val="005142C4"/>
    <w:rsid w:val="0051509C"/>
    <w:rsid w:val="005272E2"/>
    <w:rsid w:val="0053108F"/>
    <w:rsid w:val="00532B56"/>
    <w:rsid w:val="00534B10"/>
    <w:rsid w:val="005446A2"/>
    <w:rsid w:val="00544D2F"/>
    <w:rsid w:val="00551BD8"/>
    <w:rsid w:val="00581055"/>
    <w:rsid w:val="00591E38"/>
    <w:rsid w:val="005A19C5"/>
    <w:rsid w:val="005A3034"/>
    <w:rsid w:val="005A462D"/>
    <w:rsid w:val="005B253B"/>
    <w:rsid w:val="005B636D"/>
    <w:rsid w:val="005B771D"/>
    <w:rsid w:val="005C5D16"/>
    <w:rsid w:val="005D3193"/>
    <w:rsid w:val="005D4A6E"/>
    <w:rsid w:val="005E6979"/>
    <w:rsid w:val="005E75CB"/>
    <w:rsid w:val="005F24EE"/>
    <w:rsid w:val="006013C1"/>
    <w:rsid w:val="0060669E"/>
    <w:rsid w:val="00610F2E"/>
    <w:rsid w:val="00611399"/>
    <w:rsid w:val="00624C4E"/>
    <w:rsid w:val="00625200"/>
    <w:rsid w:val="006363A8"/>
    <w:rsid w:val="00636DB7"/>
    <w:rsid w:val="00650905"/>
    <w:rsid w:val="006532ED"/>
    <w:rsid w:val="006549F2"/>
    <w:rsid w:val="006567B7"/>
    <w:rsid w:val="00657BFB"/>
    <w:rsid w:val="0066333C"/>
    <w:rsid w:val="006639B4"/>
    <w:rsid w:val="006650FE"/>
    <w:rsid w:val="0067305D"/>
    <w:rsid w:val="00677D9B"/>
    <w:rsid w:val="006867F3"/>
    <w:rsid w:val="00687890"/>
    <w:rsid w:val="006901A2"/>
    <w:rsid w:val="00690368"/>
    <w:rsid w:val="0069079C"/>
    <w:rsid w:val="00690B53"/>
    <w:rsid w:val="00695B72"/>
    <w:rsid w:val="006B0911"/>
    <w:rsid w:val="006B160A"/>
    <w:rsid w:val="006B2226"/>
    <w:rsid w:val="006B4E6C"/>
    <w:rsid w:val="006B50B6"/>
    <w:rsid w:val="006D79EA"/>
    <w:rsid w:val="006E5D05"/>
    <w:rsid w:val="006F4C09"/>
    <w:rsid w:val="00701053"/>
    <w:rsid w:val="00701507"/>
    <w:rsid w:val="00714021"/>
    <w:rsid w:val="00716A0F"/>
    <w:rsid w:val="00717D45"/>
    <w:rsid w:val="007208F7"/>
    <w:rsid w:val="007218AF"/>
    <w:rsid w:val="007365D1"/>
    <w:rsid w:val="00740E0E"/>
    <w:rsid w:val="00750212"/>
    <w:rsid w:val="00754779"/>
    <w:rsid w:val="0075716D"/>
    <w:rsid w:val="00765F14"/>
    <w:rsid w:val="00770E31"/>
    <w:rsid w:val="007770F1"/>
    <w:rsid w:val="00783FB1"/>
    <w:rsid w:val="00785CDD"/>
    <w:rsid w:val="00791847"/>
    <w:rsid w:val="00791C6E"/>
    <w:rsid w:val="007925F0"/>
    <w:rsid w:val="007939B3"/>
    <w:rsid w:val="0079509C"/>
    <w:rsid w:val="00796708"/>
    <w:rsid w:val="007B1B42"/>
    <w:rsid w:val="007C30EB"/>
    <w:rsid w:val="007D3CA0"/>
    <w:rsid w:val="007E063C"/>
    <w:rsid w:val="007E2A4B"/>
    <w:rsid w:val="007E307D"/>
    <w:rsid w:val="007E6A4E"/>
    <w:rsid w:val="007E6C94"/>
    <w:rsid w:val="007F1005"/>
    <w:rsid w:val="007F25E0"/>
    <w:rsid w:val="007F5328"/>
    <w:rsid w:val="00804F5A"/>
    <w:rsid w:val="00810C6D"/>
    <w:rsid w:val="00812887"/>
    <w:rsid w:val="00826F21"/>
    <w:rsid w:val="00834CC8"/>
    <w:rsid w:val="00835E00"/>
    <w:rsid w:val="00837113"/>
    <w:rsid w:val="008414E4"/>
    <w:rsid w:val="00843E21"/>
    <w:rsid w:val="0084508E"/>
    <w:rsid w:val="00857A8A"/>
    <w:rsid w:val="008630EE"/>
    <w:rsid w:val="00864D13"/>
    <w:rsid w:val="00871CD5"/>
    <w:rsid w:val="008745A2"/>
    <w:rsid w:val="008768A8"/>
    <w:rsid w:val="0088798F"/>
    <w:rsid w:val="00887E4B"/>
    <w:rsid w:val="008915C8"/>
    <w:rsid w:val="008A36CF"/>
    <w:rsid w:val="008A3BC4"/>
    <w:rsid w:val="008B403C"/>
    <w:rsid w:val="008B7983"/>
    <w:rsid w:val="008C2511"/>
    <w:rsid w:val="008D026D"/>
    <w:rsid w:val="008D23AB"/>
    <w:rsid w:val="008D4B8B"/>
    <w:rsid w:val="008D5A78"/>
    <w:rsid w:val="008E7B64"/>
    <w:rsid w:val="008F5DCD"/>
    <w:rsid w:val="00900951"/>
    <w:rsid w:val="009118A6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260E"/>
    <w:rsid w:val="009578DD"/>
    <w:rsid w:val="00961124"/>
    <w:rsid w:val="00961229"/>
    <w:rsid w:val="009621B6"/>
    <w:rsid w:val="00974F2D"/>
    <w:rsid w:val="00977524"/>
    <w:rsid w:val="00977E88"/>
    <w:rsid w:val="00984920"/>
    <w:rsid w:val="0099303A"/>
    <w:rsid w:val="009971C2"/>
    <w:rsid w:val="009A1254"/>
    <w:rsid w:val="009B2FF2"/>
    <w:rsid w:val="009B380C"/>
    <w:rsid w:val="009B4843"/>
    <w:rsid w:val="009B6543"/>
    <w:rsid w:val="009C199D"/>
    <w:rsid w:val="009C278F"/>
    <w:rsid w:val="009C2B94"/>
    <w:rsid w:val="009C5874"/>
    <w:rsid w:val="009D3B5A"/>
    <w:rsid w:val="009E0C05"/>
    <w:rsid w:val="009E0D1C"/>
    <w:rsid w:val="009E2214"/>
    <w:rsid w:val="009E355A"/>
    <w:rsid w:val="009E63E2"/>
    <w:rsid w:val="009F04D2"/>
    <w:rsid w:val="009F05CF"/>
    <w:rsid w:val="009F0F3A"/>
    <w:rsid w:val="00A01D0C"/>
    <w:rsid w:val="00A0643F"/>
    <w:rsid w:val="00A067EE"/>
    <w:rsid w:val="00A10FCE"/>
    <w:rsid w:val="00A16D91"/>
    <w:rsid w:val="00A174CC"/>
    <w:rsid w:val="00A2073D"/>
    <w:rsid w:val="00A20751"/>
    <w:rsid w:val="00A27E2D"/>
    <w:rsid w:val="00A31D99"/>
    <w:rsid w:val="00A357BA"/>
    <w:rsid w:val="00A35ADC"/>
    <w:rsid w:val="00A402A3"/>
    <w:rsid w:val="00A50301"/>
    <w:rsid w:val="00A53681"/>
    <w:rsid w:val="00A633D4"/>
    <w:rsid w:val="00A6461A"/>
    <w:rsid w:val="00A84504"/>
    <w:rsid w:val="00A8672F"/>
    <w:rsid w:val="00A93057"/>
    <w:rsid w:val="00A968B0"/>
    <w:rsid w:val="00AB2672"/>
    <w:rsid w:val="00AB2817"/>
    <w:rsid w:val="00AB43C4"/>
    <w:rsid w:val="00AC32E7"/>
    <w:rsid w:val="00AC3A9F"/>
    <w:rsid w:val="00AC6D2F"/>
    <w:rsid w:val="00AE2745"/>
    <w:rsid w:val="00AE2F64"/>
    <w:rsid w:val="00AF42CB"/>
    <w:rsid w:val="00AF483F"/>
    <w:rsid w:val="00AF5E07"/>
    <w:rsid w:val="00AF5F06"/>
    <w:rsid w:val="00AF6112"/>
    <w:rsid w:val="00B00A25"/>
    <w:rsid w:val="00B1422A"/>
    <w:rsid w:val="00B1765C"/>
    <w:rsid w:val="00B213C4"/>
    <w:rsid w:val="00B30A91"/>
    <w:rsid w:val="00B40C60"/>
    <w:rsid w:val="00B479A9"/>
    <w:rsid w:val="00B52EDF"/>
    <w:rsid w:val="00B55E1F"/>
    <w:rsid w:val="00B71188"/>
    <w:rsid w:val="00B76A41"/>
    <w:rsid w:val="00B87D4C"/>
    <w:rsid w:val="00B93646"/>
    <w:rsid w:val="00BA0B38"/>
    <w:rsid w:val="00BA1DBB"/>
    <w:rsid w:val="00BA4510"/>
    <w:rsid w:val="00BA529A"/>
    <w:rsid w:val="00BA62D3"/>
    <w:rsid w:val="00BB612A"/>
    <w:rsid w:val="00BD499F"/>
    <w:rsid w:val="00BD56DE"/>
    <w:rsid w:val="00BF2406"/>
    <w:rsid w:val="00C06E43"/>
    <w:rsid w:val="00C16315"/>
    <w:rsid w:val="00C3091E"/>
    <w:rsid w:val="00C40FF1"/>
    <w:rsid w:val="00C419E2"/>
    <w:rsid w:val="00C5020E"/>
    <w:rsid w:val="00C57452"/>
    <w:rsid w:val="00C61EDF"/>
    <w:rsid w:val="00C6239D"/>
    <w:rsid w:val="00C6594B"/>
    <w:rsid w:val="00C67FFB"/>
    <w:rsid w:val="00C7155E"/>
    <w:rsid w:val="00C71D1E"/>
    <w:rsid w:val="00C71D7D"/>
    <w:rsid w:val="00C73F03"/>
    <w:rsid w:val="00C7411A"/>
    <w:rsid w:val="00C74833"/>
    <w:rsid w:val="00C850A0"/>
    <w:rsid w:val="00C85A86"/>
    <w:rsid w:val="00C978F0"/>
    <w:rsid w:val="00CA58FE"/>
    <w:rsid w:val="00CB1CB1"/>
    <w:rsid w:val="00CB5E78"/>
    <w:rsid w:val="00CB6BC1"/>
    <w:rsid w:val="00CB6CB8"/>
    <w:rsid w:val="00CC1A68"/>
    <w:rsid w:val="00CC2123"/>
    <w:rsid w:val="00CD2BFD"/>
    <w:rsid w:val="00CE5AD6"/>
    <w:rsid w:val="00CE617F"/>
    <w:rsid w:val="00CE78EF"/>
    <w:rsid w:val="00D03EB5"/>
    <w:rsid w:val="00D048F7"/>
    <w:rsid w:val="00D0517E"/>
    <w:rsid w:val="00D140FC"/>
    <w:rsid w:val="00D21D8C"/>
    <w:rsid w:val="00D31357"/>
    <w:rsid w:val="00D33220"/>
    <w:rsid w:val="00D334D1"/>
    <w:rsid w:val="00D36ECB"/>
    <w:rsid w:val="00D44C89"/>
    <w:rsid w:val="00D516CD"/>
    <w:rsid w:val="00D668E6"/>
    <w:rsid w:val="00D70670"/>
    <w:rsid w:val="00D74D80"/>
    <w:rsid w:val="00D76624"/>
    <w:rsid w:val="00D87570"/>
    <w:rsid w:val="00D91CB9"/>
    <w:rsid w:val="00D97989"/>
    <w:rsid w:val="00D97D8D"/>
    <w:rsid w:val="00DA352E"/>
    <w:rsid w:val="00DC7694"/>
    <w:rsid w:val="00DD1BF6"/>
    <w:rsid w:val="00DD2F9B"/>
    <w:rsid w:val="00DE2513"/>
    <w:rsid w:val="00DE26E8"/>
    <w:rsid w:val="00DF6F36"/>
    <w:rsid w:val="00E0084C"/>
    <w:rsid w:val="00E025AB"/>
    <w:rsid w:val="00E02B23"/>
    <w:rsid w:val="00E06F40"/>
    <w:rsid w:val="00E07CE8"/>
    <w:rsid w:val="00E26A07"/>
    <w:rsid w:val="00E32595"/>
    <w:rsid w:val="00E32771"/>
    <w:rsid w:val="00E37CFD"/>
    <w:rsid w:val="00E41A26"/>
    <w:rsid w:val="00E46762"/>
    <w:rsid w:val="00E46BCB"/>
    <w:rsid w:val="00E51CAF"/>
    <w:rsid w:val="00E55497"/>
    <w:rsid w:val="00E60F04"/>
    <w:rsid w:val="00E62AAC"/>
    <w:rsid w:val="00E67C2F"/>
    <w:rsid w:val="00E67EF5"/>
    <w:rsid w:val="00E804EA"/>
    <w:rsid w:val="00E80A71"/>
    <w:rsid w:val="00E82337"/>
    <w:rsid w:val="00E8600D"/>
    <w:rsid w:val="00E92499"/>
    <w:rsid w:val="00E949AF"/>
    <w:rsid w:val="00E96077"/>
    <w:rsid w:val="00E96CE4"/>
    <w:rsid w:val="00EA0A06"/>
    <w:rsid w:val="00EA6243"/>
    <w:rsid w:val="00EA74AB"/>
    <w:rsid w:val="00EB3D1B"/>
    <w:rsid w:val="00ED1D89"/>
    <w:rsid w:val="00ED66BC"/>
    <w:rsid w:val="00EF233A"/>
    <w:rsid w:val="00EF303E"/>
    <w:rsid w:val="00EF3A40"/>
    <w:rsid w:val="00EF7F78"/>
    <w:rsid w:val="00F01B08"/>
    <w:rsid w:val="00F01C4D"/>
    <w:rsid w:val="00F02F98"/>
    <w:rsid w:val="00F053FA"/>
    <w:rsid w:val="00F10C97"/>
    <w:rsid w:val="00F11C71"/>
    <w:rsid w:val="00F16019"/>
    <w:rsid w:val="00F20E68"/>
    <w:rsid w:val="00F22093"/>
    <w:rsid w:val="00F236DF"/>
    <w:rsid w:val="00F43AD5"/>
    <w:rsid w:val="00F4402E"/>
    <w:rsid w:val="00F56DD0"/>
    <w:rsid w:val="00F6491C"/>
    <w:rsid w:val="00F67BBB"/>
    <w:rsid w:val="00F87D92"/>
    <w:rsid w:val="00F90AA7"/>
    <w:rsid w:val="00F92498"/>
    <w:rsid w:val="00F9496B"/>
    <w:rsid w:val="00F970C9"/>
    <w:rsid w:val="00FA06A8"/>
    <w:rsid w:val="00FA3DF5"/>
    <w:rsid w:val="00FA741F"/>
    <w:rsid w:val="00FB4E07"/>
    <w:rsid w:val="00FB755A"/>
    <w:rsid w:val="00FC60A2"/>
    <w:rsid w:val="00FD1871"/>
    <w:rsid w:val="00FD3110"/>
    <w:rsid w:val="00FF4493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5"/>
    <o:shapelayout v:ext="edit">
      <o:idmap v:ext="edit" data="1"/>
    </o:shapelayout>
  </w:shapeDefaults>
  <w:decimalSymbol w:val="."/>
  <w:listSeparator w:val=","/>
  <w14:docId w14:val="090CACBD"/>
  <w15:docId w15:val="{17D0BA17-3D0C-497E-8DB9-33D804C8E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paragraph" w:styleId="ListBullet">
    <w:name w:val="List Bullet"/>
    <w:basedOn w:val="Normal"/>
    <w:uiPriority w:val="99"/>
    <w:unhideWhenUsed/>
    <w:rsid w:val="00791C6E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388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1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://www.acgih.org/tlv-bei-guidelines/policies-procedures-presentations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2B44F29000D47BD8588D2D5E8DFA6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2592D5-75B8-4D64-A901-EB344ED20046}"/>
      </w:docPartPr>
      <w:docPartBody>
        <w:p w:rsidR="00D21A9F" w:rsidRDefault="00D21A9F">
          <w:pPr>
            <w:pStyle w:val="C2B44F29000D47BD8588D2D5E8DFA6C8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FCD6556346CF40D29EF75BEC3C8A26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E2880E-6A44-4213-A6B7-F97AC7279B29}"/>
      </w:docPartPr>
      <w:docPartBody>
        <w:p w:rsidR="006A124B" w:rsidRDefault="00FC568F" w:rsidP="00FC568F">
          <w:pPr>
            <w:pStyle w:val="FCD6556346CF40D29EF75BEC3C8A2619"/>
          </w:pPr>
          <w:r>
            <w:rPr>
              <w:rStyle w:val="PlaceholderText"/>
            </w:rPr>
            <w:t>Has this value changed?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0C29B4"/>
    <w:rsid w:val="000E6054"/>
    <w:rsid w:val="006A124B"/>
    <w:rsid w:val="00753D7C"/>
    <w:rsid w:val="00BA62D3"/>
    <w:rsid w:val="00BE45D6"/>
    <w:rsid w:val="00D21A9F"/>
    <w:rsid w:val="00FC5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C568F"/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C2B44F29000D47BD8588D2D5E8DFA6C8">
    <w:name w:val="C2B44F29000D47BD8588D2D5E8DFA6C8"/>
  </w:style>
  <w:style w:type="paragraph" w:customStyle="1" w:styleId="0168237C60E6479CAFA3D9A1A8409B78">
    <w:name w:val="0168237C60E6479CAFA3D9A1A8409B78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FCD6556346CF40D29EF75BEC3C8A2619">
    <w:name w:val="FCD6556346CF40D29EF75BEC3C8A2619"/>
    <w:rsid w:val="00FC568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47CD600-6411-4068-834B-23583BEF883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6FD3B4-E5FF-44D0-A85D-1656AEB7AF7B}">
  <ds:schemaRefs>
    <ds:schemaRef ds:uri="http://schemas.microsoft.com/office/infopath/2007/PartnerControls"/>
    <ds:schemaRef ds:uri="http://purl.org/dc/terms/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dcmitype/"/>
    <ds:schemaRef ds:uri="http://schemas.openxmlformats.org/package/2006/metadata/core-properties"/>
    <ds:schemaRef ds:uri="1c567317-0c4d-4a62-8516-c22afd1b5354"/>
    <ds:schemaRef ds:uri="a0509f21-ed56-4150-9955-96be669e5f2d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6815B2EB-239D-4389-AF3B-5C72964788D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0C8DCDA-2DB0-48C4-A7DE-AD7D6EB9A8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5</Pages>
  <Words>821</Words>
  <Characters>4680</Characters>
  <Application>Microsoft Office Word</Application>
  <DocSecurity>0</DocSecurity>
  <Lines>39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5491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HEARD,Jonathan</dc:creator>
  <cp:lastModifiedBy>KITE,Jonathon</cp:lastModifiedBy>
  <cp:revision>18</cp:revision>
  <cp:lastPrinted>2018-10-22T22:41:00Z</cp:lastPrinted>
  <dcterms:created xsi:type="dcterms:W3CDTF">2019-09-11T03:51:00Z</dcterms:created>
  <dcterms:modified xsi:type="dcterms:W3CDTF">2026-01-09T00:01:00Z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2025-12-23T04:51:36Z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b3cf1055-b395-42ae-a6a9-1cf6d61ccd14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