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3F0F877" w14:textId="427524CE" w:rsidR="00BD499F" w:rsidRPr="004C23F4" w:rsidRDefault="00F2351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tert-</w:t>
          </w:r>
          <w:r w:rsidRPr="00024D83">
            <w:rPr>
              <w:rFonts w:ascii="Arial" w:hAnsi="Arial" w:cs="Arial"/>
            </w:rPr>
            <w:t>butyl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AD177FB" w14:textId="77777777" w:rsidTr="00B76A41">
        <w:trPr>
          <w:cantSplit/>
          <w:tblHeader/>
        </w:trPr>
        <w:tc>
          <w:tcPr>
            <w:tcW w:w="4077" w:type="dxa"/>
          </w:tcPr>
          <w:p w14:paraId="4E788D8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1DA328A" w14:textId="3FA6F309" w:rsidR="00F43AD5" w:rsidRPr="00717D45" w:rsidRDefault="00024D83" w:rsidP="00B76A41">
            <w:pPr>
              <w:pStyle w:val="Tablefont"/>
            </w:pPr>
            <w:r w:rsidRPr="00024D83">
              <w:t>1634-04-4</w:t>
            </w:r>
          </w:p>
        </w:tc>
      </w:tr>
      <w:tr w:rsidR="00F43AD5" w:rsidRPr="004C23F4" w14:paraId="664338D1" w14:textId="77777777" w:rsidTr="00B76A41">
        <w:trPr>
          <w:cantSplit/>
        </w:trPr>
        <w:tc>
          <w:tcPr>
            <w:tcW w:w="4077" w:type="dxa"/>
          </w:tcPr>
          <w:p w14:paraId="40F4933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1C10E03" w14:textId="4CC24155" w:rsidR="00F43AD5" w:rsidRPr="00717D45" w:rsidRDefault="008A7FD7" w:rsidP="00B76A41">
            <w:pPr>
              <w:pStyle w:val="Tablefont"/>
            </w:pPr>
            <w:r>
              <w:t xml:space="preserve">Tert-butyl methyl ether, 2-methoxy-2-methylpropane, 2-methyl-2-methoxypropane, </w:t>
            </w:r>
            <w:r w:rsidR="008D4398">
              <w:br/>
            </w:r>
            <w:r>
              <w:t>methyl-1,1-dimethyl ether, MTBE</w:t>
            </w:r>
          </w:p>
        </w:tc>
      </w:tr>
      <w:tr w:rsidR="00F43AD5" w:rsidRPr="004C23F4" w14:paraId="72DC8097" w14:textId="77777777" w:rsidTr="00B76A41">
        <w:trPr>
          <w:cantSplit/>
        </w:trPr>
        <w:tc>
          <w:tcPr>
            <w:tcW w:w="4077" w:type="dxa"/>
          </w:tcPr>
          <w:p w14:paraId="3BE79ED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FC49031" w14:textId="6DDECEC4" w:rsidR="00F43AD5" w:rsidRPr="00717D45" w:rsidRDefault="008A7FD7" w:rsidP="00B76A41">
            <w:pPr>
              <w:pStyle w:val="Tablefont"/>
            </w:pPr>
            <w:r>
              <w:t>C</w:t>
            </w:r>
            <w:r w:rsidRPr="008A7FD7">
              <w:rPr>
                <w:vertAlign w:val="subscript"/>
              </w:rPr>
              <w:t>5</w:t>
            </w:r>
            <w:r>
              <w:t>H</w:t>
            </w:r>
            <w:r w:rsidRPr="008A7FD7">
              <w:rPr>
                <w:vertAlign w:val="subscript"/>
              </w:rPr>
              <w:t>12</w:t>
            </w:r>
            <w:r>
              <w:t>O</w:t>
            </w:r>
          </w:p>
        </w:tc>
      </w:tr>
      <w:tr w:rsidR="00F43AD5" w:rsidRPr="004C23F4" w14:paraId="35C380F7" w14:textId="77777777" w:rsidTr="00B76A41">
        <w:trPr>
          <w:cantSplit/>
        </w:trPr>
        <w:tc>
          <w:tcPr>
            <w:tcW w:w="4077" w:type="dxa"/>
          </w:tcPr>
          <w:p w14:paraId="103E041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2EA02C" w14:textId="5C64AE59" w:rsidR="00F43AD5" w:rsidRPr="008A7FD7" w:rsidRDefault="008A7FD7" w:rsidP="00B76A41">
            <w:pPr>
              <w:pStyle w:val="Tablerowheading"/>
              <w:rPr>
                <w:b w:val="0"/>
              </w:rPr>
            </w:pPr>
            <w:r w:rsidRPr="008A7FD7">
              <w:rPr>
                <w:b w:val="0"/>
              </w:rPr>
              <w:t>—</w:t>
            </w:r>
          </w:p>
        </w:tc>
      </w:tr>
    </w:tbl>
    <w:p w14:paraId="28375A6D" w14:textId="20A0A82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00109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D2CF703" w14:textId="77777777" w:rsidTr="00B10CCB">
        <w:trPr>
          <w:cantSplit/>
          <w:tblHeader/>
        </w:trPr>
        <w:tc>
          <w:tcPr>
            <w:tcW w:w="4005" w:type="dxa"/>
            <w:vAlign w:val="center"/>
          </w:tcPr>
          <w:p w14:paraId="6E94C12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BC26F19" w14:textId="3D91FEA3" w:rsidR="002C7AFE" w:rsidRPr="00F00109" w:rsidRDefault="00BE0E0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50 </w:t>
            </w:r>
            <w:r w:rsidR="00F00109">
              <w:rPr>
                <w:b/>
              </w:rPr>
              <w:t>ppm (</w:t>
            </w:r>
            <w:r>
              <w:rPr>
                <w:b/>
              </w:rPr>
              <w:t>180</w:t>
            </w:r>
            <w:r w:rsidR="00F00109">
              <w:rPr>
                <w:b/>
              </w:rPr>
              <w:t xml:space="preserve"> mg/m</w:t>
            </w:r>
            <w:r w:rsidR="00F00109">
              <w:rPr>
                <w:b/>
                <w:vertAlign w:val="superscript"/>
              </w:rPr>
              <w:t>3</w:t>
            </w:r>
            <w:r w:rsidR="00F00109">
              <w:rPr>
                <w:b/>
              </w:rPr>
              <w:t>)</w:t>
            </w:r>
          </w:p>
        </w:tc>
      </w:tr>
      <w:tr w:rsidR="002C7AFE" w:rsidRPr="004C23F4" w14:paraId="5C009538" w14:textId="77777777" w:rsidTr="00B10CCB">
        <w:trPr>
          <w:cantSplit/>
        </w:trPr>
        <w:tc>
          <w:tcPr>
            <w:tcW w:w="4005" w:type="dxa"/>
            <w:vAlign w:val="center"/>
          </w:tcPr>
          <w:p w14:paraId="510CFB4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A103CFC" w14:textId="789CF1A1" w:rsidR="002C7AFE" w:rsidRPr="00F00109" w:rsidRDefault="00BE0E0B" w:rsidP="00017C82">
            <w:pPr>
              <w:pStyle w:val="Tablefont"/>
              <w:rPr>
                <w:b/>
              </w:rPr>
            </w:pPr>
            <w:r w:rsidRPr="001069C1">
              <w:rPr>
                <w:b/>
              </w:rPr>
              <w:t>—</w:t>
            </w:r>
          </w:p>
        </w:tc>
      </w:tr>
      <w:tr w:rsidR="002C7AFE" w:rsidRPr="004C23F4" w14:paraId="7E80E926" w14:textId="77777777" w:rsidTr="00B10CCB">
        <w:trPr>
          <w:cantSplit/>
        </w:trPr>
        <w:tc>
          <w:tcPr>
            <w:tcW w:w="4005" w:type="dxa"/>
            <w:vAlign w:val="center"/>
          </w:tcPr>
          <w:p w14:paraId="1D6960F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EBA5CA4" w14:textId="50367C08" w:rsidR="002C7AFE" w:rsidRPr="00EB3D1B" w:rsidRDefault="00B10CCB" w:rsidP="00017C82">
            <w:pPr>
              <w:pStyle w:val="Tablefont"/>
              <w:rPr>
                <w:b/>
              </w:rPr>
            </w:pPr>
            <w:r w:rsidRPr="001069C1">
              <w:rPr>
                <w:b/>
              </w:rPr>
              <w:t>—</w:t>
            </w:r>
          </w:p>
        </w:tc>
      </w:tr>
      <w:tr w:rsidR="002C7AFE" w:rsidRPr="004C23F4" w14:paraId="52A12708" w14:textId="77777777" w:rsidTr="00B10CCB">
        <w:trPr>
          <w:cantSplit/>
        </w:trPr>
        <w:tc>
          <w:tcPr>
            <w:tcW w:w="4005" w:type="dxa"/>
          </w:tcPr>
          <w:p w14:paraId="327D547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D1DFDE0" w14:textId="401DBF08" w:rsidR="002C7AFE" w:rsidRPr="00EB3D1B" w:rsidRDefault="00B10CCB" w:rsidP="008A36CF">
            <w:pPr>
              <w:pStyle w:val="Tablefont"/>
              <w:rPr>
                <w:b/>
              </w:rPr>
            </w:pPr>
            <w:r w:rsidRPr="001069C1">
              <w:rPr>
                <w:b/>
              </w:rPr>
              <w:t>—</w:t>
            </w:r>
          </w:p>
        </w:tc>
      </w:tr>
      <w:tr w:rsidR="002C7AFE" w:rsidRPr="004C23F4" w14:paraId="35B2EE68" w14:textId="77777777" w:rsidTr="00B10CCB">
        <w:trPr>
          <w:cantSplit/>
        </w:trPr>
        <w:tc>
          <w:tcPr>
            <w:tcW w:w="4005" w:type="dxa"/>
            <w:vAlign w:val="center"/>
          </w:tcPr>
          <w:p w14:paraId="0B6341A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9D9DAFC" w14:textId="74F893D6" w:rsidR="002C7AFE" w:rsidRPr="00B10CCB" w:rsidRDefault="008A7FD7" w:rsidP="00017C82">
            <w:pPr>
              <w:pStyle w:val="Tablefont"/>
              <w:rPr>
                <w:b/>
              </w:rPr>
            </w:pPr>
            <w:r w:rsidRPr="00DB5C95">
              <w:rPr>
                <w:b/>
              </w:rPr>
              <w:t>—</w:t>
            </w:r>
          </w:p>
        </w:tc>
      </w:tr>
      <w:tr w:rsidR="00B10CCB" w:rsidRPr="004C23F4" w14:paraId="6AF9BE5E" w14:textId="77777777" w:rsidTr="000B46DF">
        <w:trPr>
          <w:cantSplit/>
        </w:trPr>
        <w:tc>
          <w:tcPr>
            <w:tcW w:w="9026" w:type="dxa"/>
            <w:gridSpan w:val="2"/>
            <w:vAlign w:val="center"/>
          </w:tcPr>
          <w:p w14:paraId="02149737" w14:textId="4F3F32E1" w:rsidR="00B10CCB" w:rsidRPr="00EB3D1B" w:rsidRDefault="00B10CCB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1B6C0212DFC4FE694D686A89DB1D47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B5C9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A090E7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87DC960" w14:textId="1A67FE60" w:rsidR="006639B4" w:rsidRDefault="008715AA" w:rsidP="000C139A">
      <w:r>
        <w:rPr>
          <w:rFonts w:cs="Arial"/>
        </w:rPr>
        <w:t xml:space="preserve">A TWA of </w:t>
      </w:r>
      <w:r w:rsidR="00BE0E0B">
        <w:rPr>
          <w:rFonts w:cs="Arial"/>
        </w:rPr>
        <w:t>50</w:t>
      </w:r>
      <w:r w:rsidR="00BE0E0B" w:rsidRPr="008715AA">
        <w:rPr>
          <w:rFonts w:cs="Arial"/>
        </w:rPr>
        <w:t xml:space="preserve"> </w:t>
      </w:r>
      <w:r w:rsidRPr="008715AA">
        <w:rPr>
          <w:rFonts w:cs="Arial"/>
        </w:rPr>
        <w:t>ppm (</w:t>
      </w:r>
      <w:r w:rsidR="00BE0E0B">
        <w:rPr>
          <w:rFonts w:cs="Arial"/>
        </w:rPr>
        <w:t>180</w:t>
      </w:r>
      <w:r w:rsidRPr="008715AA">
        <w:rPr>
          <w:rFonts w:cs="Arial"/>
        </w:rPr>
        <w:t xml:space="preserve"> mg/m</w:t>
      </w:r>
      <w:r w:rsidRPr="008715AA">
        <w:rPr>
          <w:rFonts w:cs="Arial"/>
          <w:vertAlign w:val="superscript"/>
        </w:rPr>
        <w:t>3</w:t>
      </w:r>
      <w:r w:rsidRPr="008715AA">
        <w:rPr>
          <w:rFonts w:cs="Arial"/>
        </w:rPr>
        <w:t>)</w:t>
      </w:r>
      <w:r>
        <w:rPr>
          <w:rFonts w:cs="Arial"/>
        </w:rPr>
        <w:t xml:space="preserve"> is recommended to protect for irritation, </w:t>
      </w:r>
      <w:r>
        <w:t xml:space="preserve">central nervous system (CNS) </w:t>
      </w:r>
      <w:r w:rsidR="008D4398">
        <w:t xml:space="preserve">effects </w:t>
      </w:r>
      <w:r>
        <w:t>and possible developmental effects in exposed workers.</w:t>
      </w:r>
    </w:p>
    <w:p w14:paraId="22967108" w14:textId="04BCBC2D" w:rsidR="005738F5" w:rsidRDefault="005738F5" w:rsidP="000C139A">
      <w:r w:rsidRPr="005738F5">
        <w:t xml:space="preserve">The previous STEL of </w:t>
      </w:r>
      <w:r>
        <w:t>75 ppm (275</w:t>
      </w:r>
      <w:r w:rsidRPr="005738F5">
        <w:t xml:space="preserve"> </w:t>
      </w:r>
      <w:r w:rsidRPr="008715AA">
        <w:rPr>
          <w:rFonts w:cs="Arial"/>
        </w:rPr>
        <w:t>mg/m</w:t>
      </w:r>
      <w:r w:rsidRPr="008715AA">
        <w:rPr>
          <w:rFonts w:cs="Arial"/>
          <w:vertAlign w:val="superscript"/>
        </w:rPr>
        <w:t>3</w:t>
      </w:r>
      <w:r w:rsidRPr="005738F5">
        <w:t>) is recommended to be withdrawn as there is a lack of evidence for immediate acute toxicity within ten times of the recommended TWA</w:t>
      </w:r>
      <w:r>
        <w:t>.</w:t>
      </w:r>
    </w:p>
    <w:p w14:paraId="2CA313E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3B61E12" w14:textId="77777777" w:rsidR="008D4398" w:rsidRDefault="00CC7032" w:rsidP="00CC7032">
      <w:r>
        <w:t>M</w:t>
      </w:r>
      <w:r w:rsidRPr="00CC7032">
        <w:t xml:space="preserve">ethyl tert-butyl ether </w:t>
      </w:r>
      <w:r w:rsidR="00F00109">
        <w:t xml:space="preserve">is used almost exclusively as </w:t>
      </w:r>
      <w:r>
        <w:t xml:space="preserve">an octane enhancer in fuel and as a petrol additive in unleaded fuel to reduce unburnt hydrocarbon emission. </w:t>
      </w:r>
    </w:p>
    <w:p w14:paraId="24D8E211" w14:textId="384CC32A" w:rsidR="00CC7032" w:rsidRDefault="00CC7032" w:rsidP="00CC7032">
      <w:r>
        <w:t xml:space="preserve">The critical effects </w:t>
      </w:r>
      <w:r w:rsidR="00B42DD5">
        <w:t xml:space="preserve">of </w:t>
      </w:r>
      <w:r>
        <w:t xml:space="preserve">exposure </w:t>
      </w:r>
      <w:r w:rsidR="00217CD5">
        <w:t xml:space="preserve">are </w:t>
      </w:r>
      <w:r>
        <w:t xml:space="preserve">irritation and </w:t>
      </w:r>
      <w:r w:rsidR="008715AA">
        <w:t>CNS</w:t>
      </w:r>
      <w:r>
        <w:t xml:space="preserve"> effects.</w:t>
      </w:r>
      <w:r w:rsidR="008D4398">
        <w:t xml:space="preserve"> </w:t>
      </w:r>
      <w:r w:rsidR="00C869A3">
        <w:t>A NO</w:t>
      </w:r>
      <w:r w:rsidR="00687A76">
        <w:t>A</w:t>
      </w:r>
      <w:r w:rsidR="00C869A3">
        <w:t xml:space="preserve">EC </w:t>
      </w:r>
      <w:r>
        <w:t xml:space="preserve">for short-term exposure </w:t>
      </w:r>
      <w:r w:rsidR="008D4398">
        <w:t>at</w:t>
      </w:r>
      <w:r w:rsidR="00217CD5">
        <w:t xml:space="preserve"> 50 </w:t>
      </w:r>
      <w:r>
        <w:t xml:space="preserve">ppm </w:t>
      </w:r>
      <w:r w:rsidR="008D4398">
        <w:t>i</w:t>
      </w:r>
      <w:r>
        <w:t>s identified in a chamber study in male volunteers (ACGIH, 2018; SCOEL, 2006</w:t>
      </w:r>
      <w:r w:rsidR="005F2C92">
        <w:t>; DFG, 2000</w:t>
      </w:r>
      <w:r>
        <w:t xml:space="preserve">). </w:t>
      </w:r>
      <w:r w:rsidR="005F2C92">
        <w:t xml:space="preserve">This </w:t>
      </w:r>
      <w:r w:rsidR="00687A76">
        <w:t>is</w:t>
      </w:r>
      <w:r w:rsidR="005F2C92">
        <w:t xml:space="preserve"> </w:t>
      </w:r>
      <w:r w:rsidR="008D4398">
        <w:t>the key study</w:t>
      </w:r>
      <w:r w:rsidR="00687A76">
        <w:t xml:space="preserve"> for the derivation of a TWA</w:t>
      </w:r>
      <w:r w:rsidR="00217CD5">
        <w:t xml:space="preserve"> and is</w:t>
      </w:r>
      <w:r w:rsidR="00687A76">
        <w:t xml:space="preserve"> supported by data from other human and animal studies</w:t>
      </w:r>
      <w:r w:rsidR="00684D4B">
        <w:t xml:space="preserve">. </w:t>
      </w:r>
      <w:r>
        <w:t>A LOE</w:t>
      </w:r>
      <w:r w:rsidR="004856F1">
        <w:t>C</w:t>
      </w:r>
      <w:r>
        <w:t xml:space="preserve"> of 75 ppm </w:t>
      </w:r>
      <w:r w:rsidR="005738F5">
        <w:t>is reported for CNS effects, feelings of heaviness in the head and mild mucosal irritation</w:t>
      </w:r>
      <w:r w:rsidR="00217CD5">
        <w:t>,</w:t>
      </w:r>
      <w:r w:rsidR="005738F5">
        <w:t xml:space="preserve"> </w:t>
      </w:r>
      <w:r w:rsidR="00674DC5">
        <w:t>in volunteers exposed for three hour</w:t>
      </w:r>
      <w:r w:rsidR="005738F5">
        <w:t>s</w:t>
      </w:r>
      <w:r w:rsidR="00674DC5">
        <w:t xml:space="preserve"> </w:t>
      </w:r>
      <w:r>
        <w:t>(SCOEL, 2006). A two-generation study in rats reported a NOE</w:t>
      </w:r>
      <w:r w:rsidR="004856F1">
        <w:t>C</w:t>
      </w:r>
      <w:r>
        <w:t xml:space="preserve"> of 400 ppm for </w:t>
      </w:r>
      <w:r w:rsidR="00272285">
        <w:t xml:space="preserve">dams </w:t>
      </w:r>
      <w:r>
        <w:t>and offspring</w:t>
      </w:r>
      <w:r w:rsidR="00684D4B">
        <w:t>. A</w:t>
      </w:r>
      <w:r w:rsidR="00684D4B" w:rsidRPr="00684D4B">
        <w:t xml:space="preserve"> NOAEC for repeated inhalation exposure </w:t>
      </w:r>
      <w:r w:rsidR="008D4398">
        <w:t>in</w:t>
      </w:r>
      <w:r w:rsidR="00684D4B" w:rsidRPr="00684D4B">
        <w:t xml:space="preserve"> rats at 800 ppm</w:t>
      </w:r>
      <w:r w:rsidR="00684D4B">
        <w:t xml:space="preserve"> </w:t>
      </w:r>
      <w:r w:rsidR="008D4398">
        <w:t>i</w:t>
      </w:r>
      <w:r w:rsidR="0035244F">
        <w:t xml:space="preserve">s </w:t>
      </w:r>
      <w:r w:rsidR="00684D4B">
        <w:t>based on effects on neurobehavioral function</w:t>
      </w:r>
      <w:r>
        <w:t xml:space="preserve"> (ACGIH, 2018). A NOE</w:t>
      </w:r>
      <w:r w:rsidR="004856F1">
        <w:t>C</w:t>
      </w:r>
      <w:r>
        <w:t xml:space="preserve"> of 400 ppm </w:t>
      </w:r>
      <w:r w:rsidR="00217CD5">
        <w:t>is</w:t>
      </w:r>
      <w:r>
        <w:t xml:space="preserve"> reported in mice for liver toxicity (DFG, 2000). </w:t>
      </w:r>
    </w:p>
    <w:p w14:paraId="4CE1CCF0" w14:textId="0DE5014F" w:rsidR="00684D4B" w:rsidRDefault="008D4398" w:rsidP="00CC7032">
      <w:r>
        <w:rPr>
          <w:rFonts w:cs="Arial"/>
        </w:rPr>
        <w:t>A</w:t>
      </w:r>
      <w:r w:rsidR="00684D4B">
        <w:rPr>
          <w:rFonts w:cs="Arial"/>
        </w:rPr>
        <w:t xml:space="preserve"> TWA of 50 ppm is consistent across primary sources and is expected to be protective of effects on the CNS.</w:t>
      </w:r>
      <w:r w:rsidR="00BE0E0B">
        <w:rPr>
          <w:rFonts w:cs="Arial"/>
        </w:rPr>
        <w:t xml:space="preserve"> The recommended TWA of 50 ppm is considered sufficiently low to protect for effects from short-term exposures </w:t>
      </w:r>
      <w:r w:rsidR="00BE0E0B">
        <w:t xml:space="preserve">marginally above this concentration and therefore a STEL is not recommended. </w:t>
      </w:r>
    </w:p>
    <w:p w14:paraId="5201855D" w14:textId="0C2E1076" w:rsidR="004529F0" w:rsidRPr="004C23F4" w:rsidRDefault="004529F0" w:rsidP="00942583">
      <w:pPr>
        <w:pStyle w:val="Heading2"/>
      </w:pPr>
      <w:r>
        <w:lastRenderedPageBreak/>
        <w:t>Recommendation for notations</w:t>
      </w:r>
    </w:p>
    <w:p w14:paraId="602630C4" w14:textId="0FB80A4D" w:rsidR="00024D83" w:rsidRDefault="00024D83" w:rsidP="00DB5C95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F00109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3429B46F" w14:textId="1732A29B" w:rsidR="00024D83" w:rsidRDefault="00024D83" w:rsidP="00DB5C95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F00109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EFBC903" w14:textId="22703230" w:rsidR="00024D83" w:rsidRDefault="00F00109" w:rsidP="00DB5C95">
      <w:pPr>
        <w:keepNext/>
        <w:rPr>
          <w:rFonts w:cs="Arial"/>
        </w:rPr>
      </w:pPr>
      <w:r>
        <w:rPr>
          <w:rFonts w:cs="Arial"/>
        </w:rPr>
        <w:t>A skin notation is not recommended based on available data in animals</w:t>
      </w:r>
      <w:r w:rsidR="00024D83">
        <w:rPr>
          <w:rFonts w:cs="Arial"/>
        </w:rPr>
        <w:t>.</w:t>
      </w:r>
    </w:p>
    <w:p w14:paraId="298B8FA5" w14:textId="77777777" w:rsidR="0025734A" w:rsidRPr="004C23F4" w:rsidRDefault="0025734A">
      <w:pPr>
        <w:rPr>
          <w:rFonts w:cs="Arial"/>
        </w:rPr>
      </w:pPr>
    </w:p>
    <w:p w14:paraId="6914852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344A2F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B2C1B3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F5C36B1" w14:textId="77777777" w:rsidTr="00B3790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61C1B9D" w14:textId="77777777" w:rsidR="00C978F0" w:rsidRPr="00DA352E" w:rsidRDefault="00C978F0" w:rsidP="00942583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FB627E0" w14:textId="77777777" w:rsidTr="00B3790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FAB0A47" w14:textId="7994776A" w:rsidR="00DE26E8" w:rsidRPr="003365A5" w:rsidRDefault="00DE26E8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A7FD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A7FD7">
                  <w:t>TWA: 25 ppm (92 mg/m</w:t>
                </w:r>
                <w:r w:rsidR="008A7FD7" w:rsidRPr="008A7FD7">
                  <w:rPr>
                    <w:vertAlign w:val="superscript"/>
                  </w:rPr>
                  <w:t>3</w:t>
                </w:r>
                <w:r w:rsidR="008A7FD7">
                  <w:t>); STEL: 75 ppm (275 mg/m</w:t>
                </w:r>
                <w:r w:rsidR="008A7FD7" w:rsidRPr="008A7FD7">
                  <w:rPr>
                    <w:vertAlign w:val="superscript"/>
                  </w:rPr>
                  <w:t>3</w:t>
                </w:r>
                <w:r w:rsidR="008A7FD7">
                  <w:t>)</w:t>
                </w:r>
              </w:sdtContent>
            </w:sdt>
          </w:p>
        </w:tc>
      </w:tr>
      <w:tr w:rsidR="00C978F0" w:rsidRPr="00DA352E" w14:paraId="574D7D0A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2A248D4D" w14:textId="77777777" w:rsidR="00C978F0" w:rsidRPr="00DA352E" w:rsidRDefault="00C978F0" w:rsidP="00942583">
            <w:pPr>
              <w:pStyle w:val="Tabletextprimarysource"/>
            </w:pPr>
          </w:p>
        </w:tc>
      </w:tr>
      <w:tr w:rsidR="00C978F0" w:rsidRPr="00DA352E" w14:paraId="191ADA8C" w14:textId="77777777" w:rsidTr="00B3790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C2E011" w14:textId="7C46C35A" w:rsidR="00C978F0" w:rsidRPr="00DA352E" w:rsidRDefault="00DA352E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A7FD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A7FD7">
                  <w:t>TLV-TWA: 50 ppm (180 mg/m</w:t>
                </w:r>
                <w:r w:rsidR="008A7FD7" w:rsidRPr="008A7FD7">
                  <w:rPr>
                    <w:vertAlign w:val="superscript"/>
                  </w:rPr>
                  <w:t>3</w:t>
                </w:r>
                <w:r w:rsidR="008A7FD7">
                  <w:t>)</w:t>
                </w:r>
              </w:sdtContent>
            </w:sdt>
          </w:p>
        </w:tc>
      </w:tr>
      <w:tr w:rsidR="00C978F0" w:rsidRPr="00DA352E" w14:paraId="2864500F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2016D9FB" w14:textId="02B076D7" w:rsidR="00C978F0" w:rsidRDefault="004C2DCC" w:rsidP="00942583">
            <w:pPr>
              <w:pStyle w:val="Tabletextprimarysource"/>
            </w:pPr>
            <w:r>
              <w:t>TLV-TWA recommended to protect for</w:t>
            </w:r>
            <w:r w:rsidR="00FF0458">
              <w:t xml:space="preserve"> nasal </w:t>
            </w:r>
            <w:r w:rsidR="00CC7032">
              <w:t xml:space="preserve">effects and </w:t>
            </w:r>
            <w:r w:rsidR="009A1692">
              <w:t>sensory irritation effects.</w:t>
            </w:r>
          </w:p>
          <w:p w14:paraId="1DE7A20F" w14:textId="15F6AFA5" w:rsidR="00FF0458" w:rsidRDefault="00FF0458" w:rsidP="00942583">
            <w:pPr>
              <w:pStyle w:val="Tabletextprimarysource"/>
            </w:pPr>
            <w:r>
              <w:t>Summary of data:</w:t>
            </w:r>
          </w:p>
          <w:p w14:paraId="2B1BB669" w14:textId="6FF622D2" w:rsidR="001271B3" w:rsidRDefault="001271B3" w:rsidP="008D4398">
            <w:pPr>
              <w:pStyle w:val="ListBullet"/>
              <w:spacing w:before="60" w:after="60"/>
              <w:ind w:left="686" w:hanging="357"/>
              <w:contextualSpacing w:val="0"/>
            </w:pPr>
            <w:r>
              <w:t>TLV-TWA</w:t>
            </w:r>
            <w:r w:rsidR="004A2AAC">
              <w:t xml:space="preserve"> stated </w:t>
            </w:r>
            <w:r w:rsidR="005F2C92">
              <w:t>as based</w:t>
            </w:r>
            <w:r>
              <w:t xml:space="preserve"> on the following:</w:t>
            </w:r>
          </w:p>
          <w:p w14:paraId="68BD2E67" w14:textId="77777777" w:rsidR="001271B3" w:rsidRDefault="001271B3" w:rsidP="008D4398">
            <w:pPr>
              <w:pStyle w:val="ListBullet"/>
              <w:numPr>
                <w:ilvl w:val="0"/>
                <w:numId w:val="26"/>
              </w:numPr>
              <w:spacing w:before="60" w:after="60"/>
              <w:ind w:left="1094" w:hanging="357"/>
              <w:contextualSpacing w:val="0"/>
            </w:pPr>
            <w:r>
              <w:t xml:space="preserve">no symptoms noted in a chamber study of 10 subjects exposed at 50 ppm </w:t>
            </w:r>
          </w:p>
          <w:p w14:paraId="010E0FF7" w14:textId="090A5E3F" w:rsidR="001271B3" w:rsidRDefault="004A2AAC" w:rsidP="008D4398">
            <w:pPr>
              <w:pStyle w:val="ListBullet"/>
              <w:numPr>
                <w:ilvl w:val="0"/>
                <w:numId w:val="26"/>
              </w:numPr>
              <w:spacing w:before="60" w:after="60"/>
              <w:ind w:left="1094" w:hanging="357"/>
              <w:contextualSpacing w:val="0"/>
            </w:pPr>
            <w:r>
              <w:t>NOAEC</w:t>
            </w:r>
            <w:r w:rsidR="001271B3">
              <w:t xml:space="preserve"> for repeated inhalation exposure of rats at 800 ppm</w:t>
            </w:r>
          </w:p>
          <w:p w14:paraId="35942C4E" w14:textId="1C1FBFB6" w:rsidR="005F2C92" w:rsidRDefault="004A2AAC" w:rsidP="008D4398">
            <w:pPr>
              <w:pStyle w:val="ListBullet"/>
              <w:numPr>
                <w:ilvl w:val="0"/>
                <w:numId w:val="26"/>
              </w:numPr>
              <w:spacing w:before="60" w:after="60"/>
              <w:ind w:left="1094" w:hanging="357"/>
              <w:contextualSpacing w:val="0"/>
            </w:pPr>
            <w:r>
              <w:t>NOAEC</w:t>
            </w:r>
            <w:r w:rsidR="001271B3">
              <w:t xml:space="preserve"> of 400 ppm in rats from a</w:t>
            </w:r>
            <w:r>
              <w:t xml:space="preserve"> two-generation study</w:t>
            </w:r>
          </w:p>
          <w:p w14:paraId="5A5E6684" w14:textId="10248C86" w:rsidR="001271B3" w:rsidRDefault="001271B3" w:rsidP="008D4398">
            <w:pPr>
              <w:pStyle w:val="ListBullet"/>
              <w:numPr>
                <w:ilvl w:val="0"/>
                <w:numId w:val="26"/>
              </w:numPr>
              <w:spacing w:before="60" w:after="60"/>
              <w:ind w:left="1094" w:hanging="357"/>
              <w:contextualSpacing w:val="0"/>
            </w:pPr>
            <w:r>
              <w:t>renal toxicity noted in rats (both the dams and offspring) following inhalation at 300 and 3</w:t>
            </w:r>
            <w:r w:rsidR="004A2AAC">
              <w:t>,</w:t>
            </w:r>
            <w:r>
              <w:t xml:space="preserve">400 ppm, </w:t>
            </w:r>
          </w:p>
          <w:p w14:paraId="33BD1A32" w14:textId="0CA99AB3" w:rsidR="001271B3" w:rsidRDefault="007A5AF1" w:rsidP="008D4398">
            <w:pPr>
              <w:pStyle w:val="ListBullet"/>
              <w:numPr>
                <w:ilvl w:val="0"/>
                <w:numId w:val="26"/>
              </w:numPr>
              <w:spacing w:before="60" w:after="60"/>
              <w:ind w:left="1094" w:hanging="357"/>
              <w:contextualSpacing w:val="0"/>
            </w:pPr>
            <w:r>
              <w:t>rounding according to ACGIH methodology</w:t>
            </w:r>
            <w:r w:rsidR="00F200E4">
              <w:t>.</w:t>
            </w:r>
          </w:p>
          <w:p w14:paraId="3F26EC87" w14:textId="77777777" w:rsidR="00FF0458" w:rsidRDefault="00FF0458" w:rsidP="00942583">
            <w:pPr>
              <w:pStyle w:val="Tabletextprimarysource"/>
            </w:pPr>
            <w:r>
              <w:t>Human data:</w:t>
            </w:r>
          </w:p>
          <w:p w14:paraId="678256B9" w14:textId="664D9896" w:rsidR="00B37900" w:rsidRDefault="00844604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Medicinal use in gallstone treatment</w:t>
            </w:r>
            <w:r w:rsidR="00B37900">
              <w:t>:</w:t>
            </w:r>
            <w:r>
              <w:t xml:space="preserve"> </w:t>
            </w:r>
          </w:p>
          <w:p w14:paraId="3830F1FF" w14:textId="49E39B51" w:rsidR="00B37900" w:rsidRDefault="00844604" w:rsidP="008D4398">
            <w:pPr>
              <w:pStyle w:val="ListBullet"/>
              <w:numPr>
                <w:ilvl w:val="0"/>
                <w:numId w:val="19"/>
              </w:numPr>
              <w:tabs>
                <w:tab w:val="left" w:pos="735"/>
              </w:tabs>
              <w:spacing w:before="60" w:after="60"/>
              <w:ind w:left="1094" w:hanging="357"/>
              <w:contextualSpacing w:val="0"/>
            </w:pPr>
            <w:r>
              <w:t xml:space="preserve">complaints of headache, nausea, nasal congestion and eye irritation in personnel and other visitors </w:t>
            </w:r>
          </w:p>
          <w:p w14:paraId="21AEC389" w14:textId="6F30A4D8" w:rsidR="00844604" w:rsidRDefault="00844604" w:rsidP="008D4398">
            <w:pPr>
              <w:pStyle w:val="ListBullet"/>
              <w:numPr>
                <w:ilvl w:val="0"/>
                <w:numId w:val="19"/>
              </w:numPr>
              <w:tabs>
                <w:tab w:val="left" w:pos="735"/>
              </w:tabs>
              <w:spacing w:before="60" w:after="60"/>
              <w:ind w:left="1094" w:hanging="357"/>
              <w:contextualSpacing w:val="0"/>
            </w:pPr>
            <w:r>
              <w:t>no air concentrations reported</w:t>
            </w:r>
          </w:p>
          <w:p w14:paraId="7834993D" w14:textId="3BCA50B0" w:rsidR="00B37900" w:rsidRDefault="00844604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Chamber study involving </w:t>
            </w:r>
            <w:r w:rsidR="00FF0458">
              <w:t>10 male volunteers exposed at 5, 25 and 50 ppm for 2 h</w:t>
            </w:r>
            <w:r w:rsidR="00942583">
              <w:t xml:space="preserve"> </w:t>
            </w:r>
            <w:r w:rsidR="00FF0458">
              <w:t>with light exercise</w:t>
            </w:r>
            <w:r w:rsidR="00B37900">
              <w:t>:</w:t>
            </w:r>
          </w:p>
          <w:p w14:paraId="3C4F9296" w14:textId="581AEDC0" w:rsidR="00B37900" w:rsidRDefault="0035244F" w:rsidP="008D4398">
            <w:pPr>
              <w:pStyle w:val="ListBullet"/>
              <w:numPr>
                <w:ilvl w:val="0"/>
                <w:numId w:val="20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1271B3">
              <w:t xml:space="preserve">olvent smell increased with increasing concentrations; </w:t>
            </w:r>
            <w:r w:rsidR="00FF0458">
              <w:t xml:space="preserve">initial solvent smell declined slowly </w:t>
            </w:r>
          </w:p>
          <w:p w14:paraId="647A1E57" w14:textId="3C7B955E" w:rsidR="00B37900" w:rsidRDefault="00FF0458" w:rsidP="008D4398">
            <w:pPr>
              <w:pStyle w:val="ListBullet"/>
              <w:numPr>
                <w:ilvl w:val="0"/>
                <w:numId w:val="20"/>
              </w:numPr>
              <w:spacing w:before="60" w:after="60"/>
              <w:ind w:left="1094" w:hanging="357"/>
              <w:contextualSpacing w:val="0"/>
            </w:pPr>
            <w:r>
              <w:t>increase in nasal blocking</w:t>
            </w:r>
            <w:r w:rsidR="00844604">
              <w:t>/congestion</w:t>
            </w:r>
            <w:r>
              <w:t xml:space="preserve"> or swelling over time</w:t>
            </w:r>
            <w:r w:rsidR="001271B3">
              <w:t xml:space="preserve"> but without a dose–response relationship</w:t>
            </w:r>
            <w:r>
              <w:t xml:space="preserve"> </w:t>
            </w:r>
          </w:p>
          <w:p w14:paraId="2B613F6F" w14:textId="74C2580A" w:rsidR="00FF0458" w:rsidRDefault="00FF0458" w:rsidP="008D4398">
            <w:pPr>
              <w:pStyle w:val="ListBullet"/>
              <w:numPr>
                <w:ilvl w:val="0"/>
                <w:numId w:val="20"/>
              </w:numPr>
              <w:spacing w:before="60" w:after="60"/>
              <w:ind w:left="1094" w:hanging="357"/>
              <w:contextualSpacing w:val="0"/>
            </w:pPr>
            <w:r>
              <w:t>no other effects reported</w:t>
            </w:r>
            <w:r w:rsidR="001271B3">
              <w:t xml:space="preserve"> at all concentrations</w:t>
            </w:r>
          </w:p>
          <w:p w14:paraId="0A50BB0C" w14:textId="7359DA6E" w:rsidR="00B37900" w:rsidRDefault="00844604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Chamber study </w:t>
            </w:r>
            <w:r w:rsidR="008C47DE">
              <w:t xml:space="preserve">with </w:t>
            </w:r>
            <w:r>
              <w:t>37 volunteers exposed for 1 h at 1.39 ppm</w:t>
            </w:r>
            <w:r w:rsidR="00B37900">
              <w:t>:</w:t>
            </w:r>
            <w:r>
              <w:t xml:space="preserve"> </w:t>
            </w:r>
          </w:p>
          <w:p w14:paraId="4BBFA825" w14:textId="66BD90FB" w:rsidR="00B37900" w:rsidRDefault="00CA002D" w:rsidP="008D4398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 xml:space="preserve">based on questionnaire no headaches or nasal irritation </w:t>
            </w:r>
          </w:p>
          <w:p w14:paraId="7EA0573E" w14:textId="116FEB71" w:rsidR="00B37900" w:rsidRDefault="00CA002D" w:rsidP="008D4398">
            <w:pPr>
              <w:pStyle w:val="ListBullet"/>
              <w:numPr>
                <w:ilvl w:val="0"/>
                <w:numId w:val="21"/>
              </w:numPr>
              <w:spacing w:before="60" w:after="60"/>
              <w:ind w:left="1094" w:hanging="357"/>
              <w:contextualSpacing w:val="0"/>
            </w:pPr>
            <w:r>
              <w:t xml:space="preserve">no effects on neurobehavioural outcomes </w:t>
            </w:r>
          </w:p>
          <w:p w14:paraId="3DA716CD" w14:textId="222B9FDB" w:rsidR="00CA002D" w:rsidRDefault="00CA002D" w:rsidP="008D4398">
            <w:pPr>
              <w:pStyle w:val="ListBullet"/>
              <w:numPr>
                <w:ilvl w:val="0"/>
                <w:numId w:val="21"/>
              </w:numPr>
              <w:spacing w:before="60" w:after="60"/>
              <w:ind w:left="1094" w:hanging="357"/>
              <w:contextualSpacing w:val="0"/>
            </w:pPr>
            <w:r>
              <w:t>other chamber studies have supported these conclusions (no further information)</w:t>
            </w:r>
          </w:p>
          <w:p w14:paraId="50F7D1A2" w14:textId="01D2160E" w:rsidR="00844604" w:rsidRDefault="00D407AC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Increased </w:t>
            </w:r>
            <w:r w:rsidR="00F00109">
              <w:t>self-</w:t>
            </w:r>
            <w:r>
              <w:t xml:space="preserve">reporting of acute symptoms which consisted of headache, dizziness, nausea, </w:t>
            </w:r>
            <w:r w:rsidR="0097731A">
              <w:t>dyspnoea</w:t>
            </w:r>
            <w:r>
              <w:t xml:space="preserve"> or irritation of saliva excretion in tanker drivers</w:t>
            </w:r>
            <w:r w:rsidR="00CA002D">
              <w:t xml:space="preserve"> </w:t>
            </w:r>
            <w:r>
              <w:t>exposed at 3</w:t>
            </w:r>
            <w:r w:rsidR="00942583">
              <w:t>–</w:t>
            </w:r>
            <w:r>
              <w:t>98 mg/m</w:t>
            </w:r>
            <w:r>
              <w:rPr>
                <w:vertAlign w:val="superscript"/>
              </w:rPr>
              <w:t xml:space="preserve">3 </w:t>
            </w:r>
            <w:r>
              <w:t>(</w:t>
            </w:r>
            <w:r w:rsidR="009B1DF6">
              <w:rPr>
                <w:rFonts w:cs="Arial"/>
              </w:rPr>
              <w:t>≈</w:t>
            </w:r>
            <w:r>
              <w:t>1</w:t>
            </w:r>
            <w:r w:rsidR="00942583">
              <w:t>–</w:t>
            </w:r>
            <w:r>
              <w:t>27 ppm) compared to controls</w:t>
            </w:r>
            <w:r w:rsidR="00942583">
              <w:t>.</w:t>
            </w:r>
          </w:p>
          <w:p w14:paraId="2F90FF34" w14:textId="77777777" w:rsidR="00D407AC" w:rsidRDefault="009A1692" w:rsidP="00942583">
            <w:pPr>
              <w:pStyle w:val="Tabletextprimarysource"/>
            </w:pPr>
            <w:r>
              <w:t>Animal data:</w:t>
            </w:r>
          </w:p>
          <w:p w14:paraId="3E64E42C" w14:textId="37CDB5DF" w:rsidR="009A1692" w:rsidRDefault="009A1692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DB5C95">
              <w:rPr>
                <w:vertAlign w:val="subscript"/>
              </w:rPr>
              <w:t>:</w:t>
            </w:r>
            <w:r>
              <w:rPr>
                <w:vertAlign w:val="subscript"/>
              </w:rPr>
              <w:t xml:space="preserve"> </w:t>
            </w:r>
            <w:r w:rsidR="00843E9E">
              <w:t>&gt;10 mL</w:t>
            </w:r>
            <w:r>
              <w:t xml:space="preserve">/kg </w:t>
            </w:r>
            <w:r w:rsidR="00DB5C95">
              <w:t>(</w:t>
            </w:r>
            <w:r>
              <w:t>rabbits</w:t>
            </w:r>
            <w:r w:rsidR="00DB5C95">
              <w:t>, dermal)</w:t>
            </w:r>
          </w:p>
          <w:p w14:paraId="67FB1F66" w14:textId="6BCFA831" w:rsidR="00B37900" w:rsidRDefault="009A1692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Respiratory irritation study in mice</w:t>
            </w:r>
            <w:r w:rsidR="00B37900">
              <w:t>:</w:t>
            </w:r>
            <w:r>
              <w:t xml:space="preserve"> </w:t>
            </w:r>
          </w:p>
          <w:p w14:paraId="6C70905C" w14:textId="1F4DCD2C" w:rsidR="00B37900" w:rsidRDefault="009A1692" w:rsidP="00015525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slight sensory irritation at 300 mg/m</w:t>
            </w:r>
            <w:r w:rsidR="00C869A3">
              <w:rPr>
                <w:vertAlign w:val="superscript"/>
              </w:rPr>
              <w:t>3</w:t>
            </w:r>
            <w:r>
              <w:t xml:space="preserve"> (</w:t>
            </w:r>
            <w:r w:rsidR="007755B3">
              <w:rPr>
                <w:rFonts w:cs="Arial"/>
              </w:rPr>
              <w:t>≈</w:t>
            </w:r>
            <w:r>
              <w:t xml:space="preserve">84 ppm) </w:t>
            </w:r>
          </w:p>
          <w:p w14:paraId="0F297157" w14:textId="620292A6" w:rsidR="00B37900" w:rsidRDefault="009A1692" w:rsidP="00015525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 xml:space="preserve">severe </w:t>
            </w:r>
            <w:r w:rsidR="00B37900">
              <w:t xml:space="preserve">irritation </w:t>
            </w:r>
            <w:r>
              <w:t>at 30,000 mg/m</w:t>
            </w:r>
            <w:r>
              <w:rPr>
                <w:vertAlign w:val="superscript"/>
              </w:rPr>
              <w:t>3</w:t>
            </w:r>
            <w:r>
              <w:t xml:space="preserve"> (8,333 ppm) </w:t>
            </w:r>
          </w:p>
          <w:p w14:paraId="77929490" w14:textId="2006BB67" w:rsidR="00AD302B" w:rsidRDefault="005C7EAE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exposed </w:t>
            </w:r>
            <w:r w:rsidRPr="008D4398">
              <w:rPr>
                <w:i/>
              </w:rPr>
              <w:t>via</w:t>
            </w:r>
            <w:r>
              <w:t xml:space="preserve"> inhalation at 0, 800, 4</w:t>
            </w:r>
            <w:r w:rsidR="0097731A">
              <w:t>,</w:t>
            </w:r>
            <w:r>
              <w:t>000 or 8</w:t>
            </w:r>
            <w:r w:rsidR="0097731A">
              <w:t>,</w:t>
            </w:r>
            <w:r>
              <w:t>000 ppm for 13 wk; sub</w:t>
            </w:r>
            <w:r w:rsidR="0097731A">
              <w:t>-</w:t>
            </w:r>
            <w:r>
              <w:t xml:space="preserve">chronic neurotoxicity was measured; study authors reported a </w:t>
            </w:r>
            <w:r w:rsidR="00AD302B">
              <w:t>NOAE</w:t>
            </w:r>
            <w:r w:rsidR="00886423">
              <w:t>C</w:t>
            </w:r>
            <w:r w:rsidR="00AD302B">
              <w:t xml:space="preserve"> of 800 ppm in rats</w:t>
            </w:r>
            <w:r>
              <w:t xml:space="preserve"> for</w:t>
            </w:r>
            <w:r w:rsidR="00AD302B">
              <w:t xml:space="preserve"> persistent or cumulative effects on neurobehavioral function</w:t>
            </w:r>
          </w:p>
          <w:p w14:paraId="33559C99" w14:textId="483ABCC8" w:rsidR="00015525" w:rsidRDefault="000A76C8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24 mo inhalation study in rats</w:t>
            </w:r>
            <w:r w:rsidR="00DE1E1E">
              <w:t xml:space="preserve"> exposed at 0, 400, 3</w:t>
            </w:r>
            <w:r w:rsidR="0097731A">
              <w:t>,</w:t>
            </w:r>
            <w:r w:rsidR="00DE1E1E">
              <w:t>000, or 8</w:t>
            </w:r>
            <w:r w:rsidR="0097731A">
              <w:t>,</w:t>
            </w:r>
            <w:r w:rsidR="00DE1E1E">
              <w:t>000 ppm</w:t>
            </w:r>
            <w:r w:rsidR="00015525">
              <w:t>:</w:t>
            </w:r>
            <w:r>
              <w:t xml:space="preserve"> </w:t>
            </w:r>
          </w:p>
          <w:p w14:paraId="6E2EE315" w14:textId="40E2ECB2" w:rsidR="00015525" w:rsidRDefault="00C869A3" w:rsidP="00015525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 xml:space="preserve">NOAEC </w:t>
            </w:r>
            <w:r w:rsidR="00AD302B">
              <w:t xml:space="preserve">of 400 ppm </w:t>
            </w:r>
            <w:r w:rsidR="00CA05C9">
              <w:t>for</w:t>
            </w:r>
            <w:r w:rsidR="000A76C8">
              <w:t xml:space="preserve"> chronic nephropathy </w:t>
            </w:r>
          </w:p>
          <w:p w14:paraId="3B10409F" w14:textId="77777777" w:rsidR="008D4398" w:rsidRDefault="00C869A3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NOAEC </w:t>
            </w:r>
            <w:r w:rsidR="000A76C8">
              <w:t>of 8,000 ppm for oncogenic effects</w:t>
            </w:r>
            <w:r w:rsidR="00AD302B">
              <w:t xml:space="preserve"> </w:t>
            </w:r>
          </w:p>
          <w:p w14:paraId="050B51D1" w14:textId="399CD874" w:rsidR="000B46DF" w:rsidRDefault="000B46DF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>Male rats exposed for 6 h/d, 5 d/wk for 12 wk at 300, 1</w:t>
            </w:r>
            <w:r w:rsidR="0038305C">
              <w:t>,</w:t>
            </w:r>
            <w:r>
              <w:t>300 or 3</w:t>
            </w:r>
            <w:r w:rsidR="0038305C">
              <w:t>,</w:t>
            </w:r>
            <w:r>
              <w:t>400 ppm were mated to female rats exposed for 3 wk at the same concentrations</w:t>
            </w:r>
            <w:r w:rsidR="00751661">
              <w:t>; exposures continued through the mating period, during subsequent gestation and from days 5 to 21 of lactation</w:t>
            </w:r>
          </w:p>
          <w:p w14:paraId="1EFBA803" w14:textId="470ED4DD" w:rsidR="00AD302B" w:rsidRDefault="000A76C8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renal toxicity</w:t>
            </w:r>
            <w:r w:rsidR="00751661">
              <w:t xml:space="preserve"> as dilated renal pelvi</w:t>
            </w:r>
            <w:r w:rsidR="00B747A0">
              <w:t>s</w:t>
            </w:r>
            <w:r w:rsidR="00751661">
              <w:t xml:space="preserve"> was noted in</w:t>
            </w:r>
            <w:r>
              <w:t xml:space="preserve"> dams</w:t>
            </w:r>
            <w:r w:rsidR="00751661">
              <w:t xml:space="preserve"> at 300 and 3</w:t>
            </w:r>
            <w:r w:rsidR="0038305C">
              <w:t>,</w:t>
            </w:r>
            <w:r w:rsidR="00751661">
              <w:t>400 ppm</w:t>
            </w:r>
            <w:r>
              <w:t xml:space="preserve"> and </w:t>
            </w:r>
            <w:r w:rsidR="00751661">
              <w:t xml:space="preserve">in </w:t>
            </w:r>
            <w:r>
              <w:t>offspring</w:t>
            </w:r>
          </w:p>
          <w:p w14:paraId="64A5EF14" w14:textId="09A87192" w:rsidR="00015525" w:rsidRDefault="00942583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2-</w:t>
            </w:r>
            <w:r w:rsidR="000A76C8">
              <w:t>generation study in rats</w:t>
            </w:r>
            <w:r w:rsidR="000B46DF">
              <w:t>; exposed via inhalation at 0, 400, 3000 or 8000 ppm for 6 h/d for 10 wk</w:t>
            </w:r>
            <w:r w:rsidR="00F200E4">
              <w:t>:</w:t>
            </w:r>
          </w:p>
          <w:p w14:paraId="2096CA78" w14:textId="0B482ADA" w:rsidR="00015525" w:rsidRDefault="00C869A3" w:rsidP="008D4398">
            <w:pPr>
              <w:pStyle w:val="ListBullet"/>
              <w:numPr>
                <w:ilvl w:val="0"/>
                <w:numId w:val="25"/>
              </w:numPr>
              <w:spacing w:before="60" w:after="60"/>
              <w:ind w:left="1094" w:hanging="357"/>
              <w:contextualSpacing w:val="0"/>
            </w:pPr>
            <w:r>
              <w:t xml:space="preserve">NOEC </w:t>
            </w:r>
            <w:r w:rsidR="000A76C8">
              <w:t>of 400 ppm for adults and offspring</w:t>
            </w:r>
          </w:p>
          <w:p w14:paraId="0EABCCDB" w14:textId="553A6F31" w:rsidR="00015525" w:rsidRDefault="000A76C8" w:rsidP="008D4398">
            <w:pPr>
              <w:pStyle w:val="ListBullet"/>
              <w:numPr>
                <w:ilvl w:val="0"/>
                <w:numId w:val="25"/>
              </w:numPr>
              <w:spacing w:before="60" w:after="60"/>
              <w:ind w:left="1094" w:hanging="357"/>
              <w:contextualSpacing w:val="0"/>
            </w:pPr>
            <w:r>
              <w:t xml:space="preserve">no increased risk to the offspring in the absence of adult toxicity </w:t>
            </w:r>
          </w:p>
          <w:p w14:paraId="4EEF29C0" w14:textId="470246B7" w:rsidR="00B37900" w:rsidRDefault="000A76C8" w:rsidP="008D4398">
            <w:pPr>
              <w:pStyle w:val="ListBullet"/>
              <w:numPr>
                <w:ilvl w:val="0"/>
                <w:numId w:val="25"/>
              </w:numPr>
              <w:spacing w:before="60" w:after="60"/>
              <w:ind w:left="1094" w:hanging="357"/>
              <w:contextualSpacing w:val="0"/>
            </w:pPr>
            <w:r>
              <w:t xml:space="preserve">effects identified at higher doses </w:t>
            </w:r>
            <w:r w:rsidR="00DB5C95">
              <w:t>hypoactivity</w:t>
            </w:r>
            <w:r>
              <w:t xml:space="preserve"> ataxia</w:t>
            </w:r>
            <w:r w:rsidR="00015525">
              <w:t xml:space="preserve">, </w:t>
            </w:r>
            <w:r>
              <w:t xml:space="preserve">reduced </w:t>
            </w:r>
            <w:r w:rsidR="00DB5C95">
              <w:t>bw</w:t>
            </w:r>
            <w:r>
              <w:t xml:space="preserve"> gain</w:t>
            </w:r>
            <w:r w:rsidR="000D2DE7">
              <w:t xml:space="preserve"> and food consumption, increased liver weight</w:t>
            </w:r>
            <w:r w:rsidR="00F200E4">
              <w:t>.</w:t>
            </w:r>
          </w:p>
          <w:p w14:paraId="2E96E4D9" w14:textId="77777777" w:rsidR="00F200E4" w:rsidRDefault="00F200E4" w:rsidP="00942583">
            <w:pPr>
              <w:pStyle w:val="Tabletextprimarysource"/>
            </w:pPr>
          </w:p>
          <w:p w14:paraId="37A6837C" w14:textId="7AC69033" w:rsidR="004F32F0" w:rsidRDefault="004F32F0" w:rsidP="00942583">
            <w:pPr>
              <w:pStyle w:val="Tabletextprimarysource"/>
            </w:pPr>
            <w:r>
              <w:t>No skin notation warrant</w:t>
            </w:r>
            <w:r w:rsidR="0053751B">
              <w:t>ed</w:t>
            </w:r>
            <w:r>
              <w:t xml:space="preserve"> based on available data</w:t>
            </w:r>
            <w:r w:rsidR="00942583">
              <w:t>.</w:t>
            </w:r>
          </w:p>
          <w:p w14:paraId="1DCBD412" w14:textId="77777777" w:rsidR="004F32F0" w:rsidRDefault="004F32F0" w:rsidP="00942583">
            <w:pPr>
              <w:pStyle w:val="Tabletextprimarysource"/>
            </w:pPr>
            <w:r>
              <w:t>Insufficient data to recommend a sensitiser notation or a TLV-STEL</w:t>
            </w:r>
            <w:r w:rsidR="00942583">
              <w:t>.</w:t>
            </w:r>
          </w:p>
          <w:p w14:paraId="363EF5B1" w14:textId="4A363CEB" w:rsidR="007755B3" w:rsidRPr="00DA352E" w:rsidRDefault="007755B3" w:rsidP="00942583">
            <w:pPr>
              <w:pStyle w:val="Tabletextprimarysource"/>
            </w:pPr>
          </w:p>
        </w:tc>
      </w:tr>
      <w:tr w:rsidR="00C978F0" w:rsidRPr="00DA352E" w14:paraId="1F821712" w14:textId="77777777" w:rsidTr="00B3790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B60113D" w14:textId="7B124D98" w:rsidR="00C978F0" w:rsidRPr="00DA352E" w:rsidRDefault="00DA352E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A7FD7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A7FD7">
                  <w:t>MAK: 50 ppm (180 mg/m</w:t>
                </w:r>
                <w:r w:rsidR="008A7FD7" w:rsidRPr="008A7FD7">
                  <w:rPr>
                    <w:vertAlign w:val="superscript"/>
                  </w:rPr>
                  <w:t>3</w:t>
                </w:r>
                <w:r w:rsidR="008A7FD7">
                  <w:t>)</w:t>
                </w:r>
              </w:sdtContent>
            </w:sdt>
          </w:p>
        </w:tc>
      </w:tr>
      <w:tr w:rsidR="00C978F0" w:rsidRPr="00DA352E" w14:paraId="2C9D48F5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7C54F1EF" w14:textId="27EFCEE3" w:rsidR="00C978F0" w:rsidRDefault="00743243" w:rsidP="00942583">
            <w:pPr>
              <w:pStyle w:val="Tabletextprimarysource"/>
            </w:pPr>
            <w:r>
              <w:t xml:space="preserve">MAK recommended to protect for irritation and the impairment of </w:t>
            </w:r>
            <w:r w:rsidR="00DB5C95">
              <w:t>CNS</w:t>
            </w:r>
            <w:r>
              <w:t xml:space="preserve"> functions.</w:t>
            </w:r>
          </w:p>
          <w:p w14:paraId="2093F51F" w14:textId="77777777" w:rsidR="00E520E8" w:rsidRDefault="00E520E8" w:rsidP="00942583">
            <w:pPr>
              <w:pStyle w:val="Tabletextprimarysource"/>
            </w:pPr>
            <w:r>
              <w:t>Summary of additional data:</w:t>
            </w:r>
          </w:p>
          <w:p w14:paraId="3236D625" w14:textId="77777777" w:rsidR="00E520E8" w:rsidRDefault="00E520E8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Evidence of tumours in rats following long-term inhalation and oral exposure; not likely relevant to humans; concentrations and doses that do not cause non-neoplastic effects in the target organs are also not associated with an increased cancer risk</w:t>
            </w:r>
          </w:p>
          <w:p w14:paraId="2A827F72" w14:textId="3A83FBF0" w:rsidR="00E520E8" w:rsidRDefault="00A1630D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NOEC </w:t>
            </w:r>
            <w:r w:rsidR="00F76A9E">
              <w:t>of 400 ppm in mice; liver toxicity; long-term study (no further information)</w:t>
            </w:r>
          </w:p>
          <w:p w14:paraId="1F5D4D45" w14:textId="77777777" w:rsidR="00743243" w:rsidRDefault="00D04C06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MAK based on studies with volunteers reporting a threshold value of </w:t>
            </w:r>
            <w:r w:rsidR="00DB5C95">
              <w:t>&gt;</w:t>
            </w:r>
            <w:r>
              <w:t>50 ppm for acute irritation and neuropathy effects (cited by ACGIH, 2018).</w:t>
            </w:r>
          </w:p>
          <w:p w14:paraId="5CBBD312" w14:textId="6AD242E5" w:rsidR="00015525" w:rsidRPr="00DA352E" w:rsidRDefault="00015525" w:rsidP="00015525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35C6A18C" w14:textId="77777777" w:rsidTr="00B3790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04BCAA" w14:textId="52157FC0" w:rsidR="00C978F0" w:rsidRPr="00DA352E" w:rsidRDefault="00DA352E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A7FD7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731DF" w:rsidRPr="001731DF">
                  <w:t>TWA:</w:t>
                </w:r>
                <w:r w:rsidR="001731DF">
                  <w:t xml:space="preserve"> 50 ppm (183.5 mg/m</w:t>
                </w:r>
                <w:r w:rsidR="001731DF" w:rsidRPr="001731DF">
                  <w:rPr>
                    <w:vertAlign w:val="superscript"/>
                  </w:rPr>
                  <w:t>3</w:t>
                </w:r>
                <w:r w:rsidR="00DB5C95">
                  <w:t>); STEL</w:t>
                </w:r>
                <w:r w:rsidR="001731DF">
                  <w:t>: 100 ppm (367 mg/m</w:t>
                </w:r>
                <w:r w:rsidR="001731DF" w:rsidRPr="001731DF">
                  <w:rPr>
                    <w:vertAlign w:val="superscript"/>
                  </w:rPr>
                  <w:t>3</w:t>
                </w:r>
                <w:r w:rsidR="001731DF">
                  <w:t>)</w:t>
                </w:r>
              </w:sdtContent>
            </w:sdt>
          </w:p>
        </w:tc>
      </w:tr>
      <w:tr w:rsidR="00C978F0" w:rsidRPr="00DA352E" w14:paraId="75E99228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660B901B" w14:textId="77777777" w:rsidR="00C978F0" w:rsidRDefault="00843E9E" w:rsidP="00942583">
            <w:pPr>
              <w:pStyle w:val="Tabletextprimarysource"/>
            </w:pPr>
            <w:r>
              <w:t>TWA and STEL recommended to protect for irritation and CNS effects in workers.</w:t>
            </w:r>
          </w:p>
          <w:p w14:paraId="6B40F66C" w14:textId="77777777" w:rsidR="00843E9E" w:rsidRDefault="00843E9E" w:rsidP="00942583">
            <w:pPr>
              <w:pStyle w:val="Tabletextprimarysource"/>
            </w:pPr>
            <w:r>
              <w:t>Summary of additional data:</w:t>
            </w:r>
          </w:p>
          <w:p w14:paraId="5DDE9435" w14:textId="54EE26AA" w:rsidR="00843E9E" w:rsidRDefault="00843E9E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TWA and STEL based on:</w:t>
            </w:r>
          </w:p>
          <w:p w14:paraId="6A12A0E5" w14:textId="7AA770A5" w:rsidR="00843E9E" w:rsidRDefault="00A1630D" w:rsidP="008D439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LOEC </w:t>
            </w:r>
            <w:r w:rsidR="00843E9E">
              <w:t>of 75 ppm in volunteers; 3</w:t>
            </w:r>
            <w:r w:rsidR="00942583">
              <w:t xml:space="preserve"> </w:t>
            </w:r>
            <w:r w:rsidR="00843E9E">
              <w:t>h exposure; effects on simple reaction time, sway posturography, feeling of heaviness in the head and mild mucosal irritation</w:t>
            </w:r>
          </w:p>
          <w:p w14:paraId="7C38E07D" w14:textId="7FE02DE2" w:rsidR="00843E9E" w:rsidRDefault="00A1630D" w:rsidP="008D439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NOEC </w:t>
            </w:r>
            <w:r w:rsidR="00843E9E">
              <w:t xml:space="preserve">for short-term exposure of 50 ppm </w:t>
            </w:r>
            <w:r w:rsidR="00DB5C95">
              <w:t>(c</w:t>
            </w:r>
            <w:r w:rsidR="00843E9E">
              <w:t>ited by ACGIH, 2018)</w:t>
            </w:r>
          </w:p>
          <w:p w14:paraId="3A87E92B" w14:textId="77777777" w:rsidR="00843E9E" w:rsidRDefault="00843E9E" w:rsidP="00DB5C95">
            <w:pPr>
              <w:pStyle w:val="ListBullet"/>
              <w:spacing w:before="60" w:after="60"/>
              <w:ind w:left="720"/>
              <w:contextualSpacing w:val="0"/>
            </w:pPr>
            <w:r>
              <w:t>Available data suggest that the dermal route is of minor importance</w:t>
            </w:r>
            <w:r w:rsidR="00942583">
              <w:t>.</w:t>
            </w:r>
          </w:p>
          <w:p w14:paraId="20303EE5" w14:textId="5811B635" w:rsidR="00015525" w:rsidRPr="00DA352E" w:rsidRDefault="00015525" w:rsidP="00015525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DA352E" w:rsidRPr="00DA352E" w14:paraId="35A9095A" w14:textId="77777777" w:rsidTr="00B3790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C9906DD" w14:textId="372998B0" w:rsidR="00DA352E" w:rsidRPr="00DA352E" w:rsidRDefault="00DA352E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A7FD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A7FD7">
                  <w:t>NA</w:t>
                </w:r>
              </w:sdtContent>
            </w:sdt>
          </w:p>
        </w:tc>
      </w:tr>
      <w:tr w:rsidR="00DA352E" w:rsidRPr="00DA352E" w14:paraId="010A45FD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30D89CF6" w14:textId="1C1A4FF4" w:rsidR="00DA352E" w:rsidRPr="00DA352E" w:rsidRDefault="008A7FD7" w:rsidP="00942583">
            <w:pPr>
              <w:pStyle w:val="Tabletextprimarysource"/>
            </w:pPr>
            <w:r>
              <w:t>No report</w:t>
            </w:r>
            <w:r w:rsidR="00942583">
              <w:t>.</w:t>
            </w:r>
          </w:p>
        </w:tc>
      </w:tr>
      <w:tr w:rsidR="00DA352E" w:rsidRPr="00DA352E" w14:paraId="60804121" w14:textId="77777777" w:rsidTr="00B3790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22BAC5E" w14:textId="3F3A8B9D" w:rsidR="00DA352E" w:rsidRPr="00DA352E" w:rsidRDefault="00DA352E" w:rsidP="00DB5C9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731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731DF">
                  <w:t>NA</w:t>
                </w:r>
              </w:sdtContent>
            </w:sdt>
          </w:p>
        </w:tc>
      </w:tr>
      <w:tr w:rsidR="00DA352E" w:rsidRPr="00DA352E" w14:paraId="098AAB3F" w14:textId="77777777" w:rsidTr="00B37900">
        <w:trPr>
          <w:gridAfter w:val="1"/>
          <w:wAfter w:w="8" w:type="pct"/>
        </w:trPr>
        <w:tc>
          <w:tcPr>
            <w:tcW w:w="4992" w:type="pct"/>
          </w:tcPr>
          <w:p w14:paraId="334F700F" w14:textId="387A0BB9" w:rsidR="00DA352E" w:rsidRPr="00DA352E" w:rsidRDefault="001731DF" w:rsidP="00942583">
            <w:pPr>
              <w:pStyle w:val="Tabletextprimarysource"/>
            </w:pPr>
            <w:r>
              <w:t>No report</w:t>
            </w:r>
            <w:r w:rsidR="00942583">
              <w:t>.</w:t>
            </w:r>
          </w:p>
        </w:tc>
      </w:tr>
    </w:tbl>
    <w:p w14:paraId="27D8416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1DDDD28A" w14:textId="77777777" w:rsidTr="00F00109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2E525BD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89958B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DEE0F2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50C7D90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BC4078" w14:textId="77777777" w:rsidTr="00F00109">
        <w:trPr>
          <w:cantSplit/>
        </w:trPr>
        <w:tc>
          <w:tcPr>
            <w:tcW w:w="1491" w:type="dxa"/>
          </w:tcPr>
          <w:p w14:paraId="648F244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27000C0" w14:textId="6777F27D" w:rsidR="004966BF" w:rsidRPr="00CE617F" w:rsidRDefault="007864A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43E9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DD9A5BB" w14:textId="71A36696" w:rsidR="004966BF" w:rsidRPr="004C23F4" w:rsidRDefault="00843E9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1" w:type="dxa"/>
          </w:tcPr>
          <w:p w14:paraId="43FFE35B" w14:textId="671A2816" w:rsidR="004966BF" w:rsidRDefault="00843E9E" w:rsidP="00DB5C9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DB5C95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&gt;2,000 mg/kg </w:t>
            </w:r>
            <w:r w:rsidR="00DB5C95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rats</w:t>
            </w:r>
            <w:r w:rsidR="00DB5C95">
              <w:rPr>
                <w:rStyle w:val="checkbox"/>
                <w:rFonts w:ascii="Arial" w:hAnsi="Arial" w:cs="Arial"/>
              </w:rPr>
              <w:t>, dermal)</w:t>
            </w:r>
          </w:p>
          <w:p w14:paraId="149A1453" w14:textId="77777777" w:rsidR="00843E9E" w:rsidRDefault="00553B1C" w:rsidP="00DB5C9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553B1C">
              <w:rPr>
                <w:rStyle w:val="checkbox"/>
                <w:rFonts w:ascii="Arial" w:hAnsi="Arial" w:cs="Arial"/>
              </w:rPr>
              <w:t>Negative results for skin sensitisation in animals</w:t>
            </w:r>
          </w:p>
          <w:p w14:paraId="6EA83F09" w14:textId="3FFE67C1" w:rsidR="00553B1C" w:rsidRDefault="00942583" w:rsidP="00DB5C9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1</w:t>
            </w:r>
            <w:r w:rsidR="00553B1C">
              <w:rPr>
                <w:rFonts w:cs="Arial"/>
                <w:color w:val="262626"/>
              </w:rPr>
              <w:t xml:space="preserve">-gen </w:t>
            </w:r>
            <w:r w:rsidR="00553B1C" w:rsidRPr="00DB5C95">
              <w:t>reproductive</w:t>
            </w:r>
            <w:r w:rsidR="00553B1C">
              <w:rPr>
                <w:rFonts w:cs="Arial"/>
                <w:color w:val="262626"/>
              </w:rPr>
              <w:t xml:space="preserve"> toxicity study in rats; </w:t>
            </w:r>
            <w:r w:rsidR="00553B1C">
              <w:rPr>
                <w:rStyle w:val="checkbox"/>
                <w:rFonts w:ascii="Arial" w:hAnsi="Arial" w:cs="Arial"/>
              </w:rPr>
              <w:t>NOAE</w:t>
            </w:r>
            <w:r w:rsidR="00F576B4">
              <w:rPr>
                <w:rStyle w:val="checkbox"/>
                <w:rFonts w:ascii="Arial" w:hAnsi="Arial" w:cs="Arial"/>
              </w:rPr>
              <w:t>C</w:t>
            </w:r>
            <w:r w:rsidR="00553B1C">
              <w:rPr>
                <w:rStyle w:val="checkbox"/>
                <w:rFonts w:ascii="Arial" w:hAnsi="Arial" w:cs="Arial"/>
              </w:rPr>
              <w:t xml:space="preserve"> of 250</w:t>
            </w:r>
            <w:r w:rsidR="00F576B4">
              <w:rPr>
                <w:rStyle w:val="checkbox"/>
                <w:rFonts w:ascii="Arial" w:hAnsi="Arial" w:cs="Arial"/>
              </w:rPr>
              <w:t> </w:t>
            </w:r>
            <w:r w:rsidR="00553B1C">
              <w:rPr>
                <w:rStyle w:val="checkbox"/>
                <w:rFonts w:ascii="Arial" w:hAnsi="Arial" w:cs="Arial"/>
              </w:rPr>
              <w:t>ppm for F1 animals; no further information</w:t>
            </w:r>
          </w:p>
          <w:p w14:paraId="21B7EAED" w14:textId="4A64F4A7" w:rsidR="00553B1C" w:rsidRPr="004C23F4" w:rsidRDefault="00F00109" w:rsidP="00DB5C9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Critical effect </w:t>
            </w:r>
            <w:r w:rsidRPr="00DB5C95">
              <w:t>considered</w:t>
            </w:r>
            <w:r>
              <w:rPr>
                <w:rStyle w:val="checkbox"/>
                <w:rFonts w:ascii="Arial" w:hAnsi="Arial" w:cs="Arial"/>
              </w:rPr>
              <w:t xml:space="preserve"> to be skin irritation</w:t>
            </w:r>
            <w:r w:rsidR="0094258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D9F29AA" w14:textId="77777777" w:rsidR="007E2A4B" w:rsidRDefault="007E2A4B" w:rsidP="00DB5C95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86EAC31" w14:textId="77777777" w:rsidTr="00F00109">
        <w:trPr>
          <w:trHeight w:val="454"/>
          <w:tblHeader/>
        </w:trPr>
        <w:tc>
          <w:tcPr>
            <w:tcW w:w="6603" w:type="dxa"/>
            <w:vAlign w:val="center"/>
          </w:tcPr>
          <w:p w14:paraId="4E0E3719" w14:textId="77777777" w:rsidR="002E0D61" w:rsidRDefault="00B1422A" w:rsidP="00DB5C95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26499D8" w14:textId="1B19066D" w:rsidR="002E0D61" w:rsidRDefault="00F00109" w:rsidP="00DB5C95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1AC80B1" w14:textId="77777777" w:rsidTr="00F0010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F10DC1A" w14:textId="6B04DAB4" w:rsidR="008A36CF" w:rsidRPr="006901A2" w:rsidRDefault="00F00109" w:rsidP="00DB5C95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4D8867F" w14:textId="77777777" w:rsidR="008A36CF" w:rsidRDefault="008A36CF" w:rsidP="00DB5C95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4BA7095" w14:textId="77777777" w:rsidR="00687890" w:rsidRPr="004C23F4" w:rsidRDefault="00B479A9" w:rsidP="0094258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830F3A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F7DC072" w14:textId="77777777" w:rsidR="00687890" w:rsidRPr="004C23F4" w:rsidRDefault="00687890" w:rsidP="00DB5C95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64CB7B9" w14:textId="77777777" w:rsidR="00687890" w:rsidRPr="004C23F4" w:rsidRDefault="00687890" w:rsidP="00DB5C95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119A76" w14:textId="77777777" w:rsidTr="00812887">
        <w:trPr>
          <w:cantSplit/>
        </w:trPr>
        <w:tc>
          <w:tcPr>
            <w:tcW w:w="3227" w:type="dxa"/>
          </w:tcPr>
          <w:p w14:paraId="3900E18E" w14:textId="77777777" w:rsidR="004079B4" w:rsidRPr="004C23F4" w:rsidRDefault="00084513" w:rsidP="00DB5C95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71D9D6C8" w14:textId="29AA55B5" w:rsidR="00687890" w:rsidRPr="00DD2F9B" w:rsidRDefault="001731DF" w:rsidP="00DB5C95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53BAF10C" w14:textId="77777777" w:rsidTr="00812887">
        <w:trPr>
          <w:cantSplit/>
        </w:trPr>
        <w:tc>
          <w:tcPr>
            <w:tcW w:w="3227" w:type="dxa"/>
          </w:tcPr>
          <w:p w14:paraId="375F789C" w14:textId="77777777" w:rsidR="004079B4" w:rsidRPr="004C23F4" w:rsidRDefault="007925F0" w:rsidP="00DB5C95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64A2C70C" w14:textId="59D40A4D" w:rsidR="007925F0" w:rsidRPr="00DD2F9B" w:rsidRDefault="001731DF" w:rsidP="00DB5C95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2FB42931" w14:textId="77777777" w:rsidTr="001731DF">
        <w:trPr>
          <w:cantSplit/>
          <w:trHeight w:val="295"/>
        </w:trPr>
        <w:tc>
          <w:tcPr>
            <w:tcW w:w="3227" w:type="dxa"/>
          </w:tcPr>
          <w:p w14:paraId="45BE4375" w14:textId="77777777" w:rsidR="00AF483F" w:rsidRPr="004C23F4" w:rsidRDefault="00AF483F" w:rsidP="00DB5C95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2F2EC123" w14:textId="15F83986" w:rsidR="00AF483F" w:rsidRPr="00DD2F9B" w:rsidRDefault="001731DF" w:rsidP="00DB5C95">
            <w:pPr>
              <w:pStyle w:val="Tablefont"/>
              <w:keepNext/>
            </w:pPr>
            <w:r>
              <w:t>—</w:t>
            </w:r>
          </w:p>
        </w:tc>
      </w:tr>
      <w:tr w:rsidR="00687890" w:rsidRPr="004C23F4" w14:paraId="3A6385EB" w14:textId="77777777" w:rsidTr="00812887">
        <w:trPr>
          <w:cantSplit/>
        </w:trPr>
        <w:tc>
          <w:tcPr>
            <w:tcW w:w="3227" w:type="dxa"/>
          </w:tcPr>
          <w:p w14:paraId="2D9D0F99" w14:textId="77777777" w:rsidR="004079B4" w:rsidRPr="004C23F4" w:rsidRDefault="00687890" w:rsidP="00DB5C95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7D6C2F67" w14:textId="370573E5" w:rsidR="00687890" w:rsidRPr="00DD2F9B" w:rsidRDefault="001731DF" w:rsidP="00DB5C95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549C3384" w14:textId="77777777" w:rsidTr="00812887">
        <w:trPr>
          <w:cantSplit/>
        </w:trPr>
        <w:tc>
          <w:tcPr>
            <w:tcW w:w="3227" w:type="dxa"/>
          </w:tcPr>
          <w:p w14:paraId="171559D2" w14:textId="77777777" w:rsidR="00E41A26" w:rsidRDefault="00E41A26" w:rsidP="00DB5C95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292391C6" w14:textId="0C7C7839" w:rsidR="00E41A26" w:rsidRPr="00DD2F9B" w:rsidRDefault="001731DF" w:rsidP="00DB5C95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3A3E437A" w14:textId="77777777" w:rsidTr="00812887">
        <w:trPr>
          <w:cantSplit/>
        </w:trPr>
        <w:tc>
          <w:tcPr>
            <w:tcW w:w="3227" w:type="dxa"/>
          </w:tcPr>
          <w:p w14:paraId="07713FF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EAEFD75" w14:textId="1668A837" w:rsidR="002E0D61" w:rsidRPr="00DD2F9B" w:rsidRDefault="001731DF" w:rsidP="00DD2F9B">
            <w:pPr>
              <w:pStyle w:val="Tablefont"/>
            </w:pPr>
            <w:r w:rsidRPr="001731DF">
              <w:t>Carcinogenicity – A3</w:t>
            </w:r>
          </w:p>
        </w:tc>
      </w:tr>
      <w:tr w:rsidR="002E0D61" w:rsidRPr="004C23F4" w14:paraId="037C8F09" w14:textId="77777777" w:rsidTr="00812887">
        <w:trPr>
          <w:cantSplit/>
        </w:trPr>
        <w:tc>
          <w:tcPr>
            <w:tcW w:w="3227" w:type="dxa"/>
          </w:tcPr>
          <w:p w14:paraId="01AF6E3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2243E73" w14:textId="615DB88F" w:rsidR="002E0D61" w:rsidRPr="00DD2F9B" w:rsidRDefault="001731DF" w:rsidP="00DD2F9B">
            <w:pPr>
              <w:pStyle w:val="Tablefont"/>
            </w:pPr>
            <w:r w:rsidRPr="001731DF">
              <w:t>Carcinogenicity – 3B</w:t>
            </w:r>
          </w:p>
        </w:tc>
      </w:tr>
      <w:tr w:rsidR="002E0D61" w:rsidRPr="004C23F4" w14:paraId="00C6100F" w14:textId="77777777" w:rsidTr="00812887">
        <w:trPr>
          <w:cantSplit/>
        </w:trPr>
        <w:tc>
          <w:tcPr>
            <w:tcW w:w="3227" w:type="dxa"/>
          </w:tcPr>
          <w:p w14:paraId="5C87FAC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AD5C98" w14:textId="17292503" w:rsidR="002E0D61" w:rsidRPr="00DD2F9B" w:rsidRDefault="001731D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F88C879" w14:textId="77777777" w:rsidTr="00812887">
        <w:trPr>
          <w:cantSplit/>
        </w:trPr>
        <w:tc>
          <w:tcPr>
            <w:tcW w:w="3227" w:type="dxa"/>
          </w:tcPr>
          <w:p w14:paraId="4962C4F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D2A6C47" w14:textId="14A9A827" w:rsidR="002E0D61" w:rsidRPr="00DD2F9B" w:rsidRDefault="001731D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B1DDCE" w14:textId="77777777" w:rsidTr="00812887">
        <w:trPr>
          <w:cantSplit/>
        </w:trPr>
        <w:tc>
          <w:tcPr>
            <w:tcW w:w="3227" w:type="dxa"/>
          </w:tcPr>
          <w:p w14:paraId="0D7F73F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D91AD4A" w14:textId="489805C5" w:rsidR="00386093" w:rsidRPr="00DD2F9B" w:rsidRDefault="001731DF" w:rsidP="00DD2F9B">
            <w:pPr>
              <w:pStyle w:val="Tablefont"/>
            </w:pPr>
            <w:r w:rsidRPr="001731DF">
              <w:t>Carcinogenicity – Group 3</w:t>
            </w:r>
          </w:p>
        </w:tc>
      </w:tr>
      <w:tr w:rsidR="00386093" w:rsidRPr="004C23F4" w14:paraId="38E41472" w14:textId="77777777" w:rsidTr="00812887">
        <w:trPr>
          <w:cantSplit/>
        </w:trPr>
        <w:tc>
          <w:tcPr>
            <w:tcW w:w="3227" w:type="dxa"/>
          </w:tcPr>
          <w:p w14:paraId="2A96ED4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B1A3EB1" w14:textId="5DE4164E" w:rsidR="00386093" w:rsidRPr="00DD2F9B" w:rsidRDefault="001731D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0F134E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0875370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E0FE85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98E18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E43E43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2877"/>
              <w:gridCol w:w="1896"/>
              <w:gridCol w:w="1896"/>
              <w:gridCol w:w="2141"/>
            </w:tblGrid>
            <w:tr w:rsidR="00F00109" w:rsidRPr="00F00109" w14:paraId="7211F87E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36F76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77F747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650D6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67E6E8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00109" w:rsidRPr="00F00109" w14:paraId="54B9CF5E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76EC0A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4A15A0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C545F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AD91A9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00109" w:rsidRPr="00F00109" w14:paraId="588B291E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553438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137D7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87F160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3A12D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00109" w:rsidRPr="00F00109" w14:paraId="40B00F03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54D2C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5E72B0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62C4BF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22A20F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00109" w:rsidRPr="00F00109" w14:paraId="47A41344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3CBFC8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961F64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3F20F6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E04AD8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00109" w:rsidRPr="00F00109" w14:paraId="7D090CB2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83E686" w14:textId="77777777" w:rsidR="00F00109" w:rsidRPr="00F00109" w:rsidRDefault="00F00109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FA62D" w14:textId="77777777" w:rsidR="00F00109" w:rsidRPr="00F00109" w:rsidRDefault="00F00109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070429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375D75" w14:textId="77777777" w:rsidR="00F00109" w:rsidRPr="00F00109" w:rsidRDefault="00F00109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B5C95" w:rsidRPr="00F00109" w14:paraId="006920F2" w14:textId="77777777" w:rsidTr="00DB5C95">
              <w:trPr>
                <w:trHeight w:val="248"/>
              </w:trPr>
              <w:tc>
                <w:tcPr>
                  <w:tcW w:w="2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38F589" w14:textId="77777777" w:rsidR="00DB5C95" w:rsidRPr="00F00109" w:rsidRDefault="00DB5C95" w:rsidP="00F001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305FC3" w14:textId="77777777" w:rsidR="00DB5C95" w:rsidRPr="00F00109" w:rsidRDefault="00DB5C95" w:rsidP="00F001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A1053" w14:textId="77777777" w:rsidR="00DB5C95" w:rsidRPr="00F00109" w:rsidRDefault="00DB5C95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138F6D84" w14:textId="2739F148" w:rsidR="00DB5C95" w:rsidRPr="00F00109" w:rsidRDefault="00DB5C95" w:rsidP="00F0010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0010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350CFE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D963CD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3625D3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A9B6E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DBE80E" w14:textId="668A4BDB" w:rsidR="00EB3D1B" w:rsidRDefault="001731D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F9FEC9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46964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451BC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74670FD" w14:textId="427EDCFF" w:rsidR="001B79E5" w:rsidRDefault="001731DF" w:rsidP="001B79E5">
                <w:pPr>
                  <w:pStyle w:val="Tablefont"/>
                </w:pPr>
                <w:r w:rsidRPr="001731DF">
                  <w:t>88.15</w:t>
                </w:r>
              </w:p>
            </w:tc>
          </w:sdtContent>
        </w:sdt>
      </w:tr>
      <w:tr w:rsidR="00A31D99" w:rsidRPr="004C23F4" w14:paraId="11CE44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3D18E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4F26309" w14:textId="1BE5A62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731DF">
                  <w:t>3.60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731DF">
                  <w:t>0.28</w:t>
                </w:r>
              </w:sdtContent>
            </w:sdt>
            <w:r w:rsidRPr="001731DF">
              <w:t xml:space="preserve"> </w:t>
            </w:r>
            <w:r>
              <w:t>ppm</w:t>
            </w:r>
          </w:p>
        </w:tc>
      </w:tr>
      <w:tr w:rsidR="00687890" w:rsidRPr="004C23F4" w14:paraId="4993E0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3197E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9C69C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CF95EE0" w14:textId="77777777" w:rsidTr="00EA6243">
        <w:trPr>
          <w:cantSplit/>
        </w:trPr>
        <w:tc>
          <w:tcPr>
            <w:tcW w:w="4077" w:type="dxa"/>
            <w:vAlign w:val="center"/>
          </w:tcPr>
          <w:p w14:paraId="490DC31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0362F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02C364" w14:textId="77777777" w:rsidTr="00EA6243">
        <w:trPr>
          <w:cantSplit/>
        </w:trPr>
        <w:tc>
          <w:tcPr>
            <w:tcW w:w="4077" w:type="dxa"/>
            <w:vAlign w:val="center"/>
          </w:tcPr>
          <w:p w14:paraId="55B97E7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361CF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750724F" w14:textId="77777777" w:rsidTr="00EA6243">
        <w:trPr>
          <w:cantSplit/>
        </w:trPr>
        <w:tc>
          <w:tcPr>
            <w:tcW w:w="4077" w:type="dxa"/>
            <w:vAlign w:val="center"/>
          </w:tcPr>
          <w:p w14:paraId="080EB6F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78EAB5A" w14:textId="77777777" w:rsidR="00E06F40" w:rsidRPr="00A006A0" w:rsidRDefault="007864A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43E400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7309F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2A313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AEF66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A134FE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F66740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87F635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EE4E4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E3ECEF2" w14:textId="2C4D9A9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82F4E18" w14:textId="2B61929F" w:rsidR="001731DF" w:rsidRDefault="001731DF" w:rsidP="00084859">
      <w:r w:rsidRPr="002022B6">
        <w:t>Deutsche Forschungsgemeinschaft (DFG)</w:t>
      </w:r>
      <w:r>
        <w:t xml:space="preserve"> (2002) </w:t>
      </w:r>
      <w:r w:rsidRPr="001731DF">
        <w:t>tert-Butyl methyl ether</w:t>
      </w:r>
      <w:r>
        <w:t xml:space="preserve"> – MAK value documentation.</w:t>
      </w:r>
    </w:p>
    <w:p w14:paraId="1E190A16" w14:textId="77777777" w:rsidR="00DB5C95" w:rsidRDefault="00C64502" w:rsidP="00084859">
      <w:r w:rsidRPr="00C64502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91E1DC5" w14:textId="6AD59098" w:rsidR="001731DF" w:rsidRDefault="001731DF" w:rsidP="00084859">
      <w:r w:rsidRPr="002022B6">
        <w:lastRenderedPageBreak/>
        <w:t>EU Scientific Committee on Occupational Exposure Limits (SCOEL)</w:t>
      </w:r>
      <w:r>
        <w:t xml:space="preserve"> (</w:t>
      </w:r>
      <w:r w:rsidR="00CD212F" w:rsidRPr="00CD212F">
        <w:t>2006</w:t>
      </w:r>
      <w:r>
        <w:t xml:space="preserve">) Recommendation from the Scientific Committee on Occupational Exposure Limits for </w:t>
      </w:r>
      <w:r w:rsidR="00CD212F" w:rsidRPr="00CD212F">
        <w:t>tert-butyl methyl ether</w:t>
      </w:r>
      <w:r>
        <w:t>. SCOEL/</w:t>
      </w:r>
      <w:r w:rsidR="00CD212F" w:rsidRPr="00CD212F">
        <w:t>SUM/110</w:t>
      </w:r>
      <w:r>
        <w:t>.</w:t>
      </w:r>
    </w:p>
    <w:p w14:paraId="5DB47E87" w14:textId="554A24E4" w:rsidR="00DB5C95" w:rsidRDefault="00275029" w:rsidP="00084859">
      <w:r w:rsidRPr="00275029">
        <w:t xml:space="preserve">International Agency for Research on Cancer (IARC) </w:t>
      </w:r>
      <w:r w:rsidR="005F2CEC">
        <w:t>Some c</w:t>
      </w:r>
      <w:r w:rsidR="00F17860" w:rsidRPr="00F17860">
        <w:t xml:space="preserve">hemicals that </w:t>
      </w:r>
      <w:r w:rsidR="005F2CEC">
        <w:t>cause t</w:t>
      </w:r>
      <w:r w:rsidR="00F17860" w:rsidRPr="00F17860">
        <w:t xml:space="preserve">umours of </w:t>
      </w:r>
      <w:r w:rsidR="005F2CEC">
        <w:t>the k</w:t>
      </w:r>
      <w:r w:rsidR="00F17860" w:rsidRPr="00F17860">
        <w:t xml:space="preserve">idney or </w:t>
      </w:r>
      <w:r w:rsidR="005F2CEC">
        <w:t>urinary b</w:t>
      </w:r>
      <w:r w:rsidR="00F17860" w:rsidRPr="00F17860">
        <w:t xml:space="preserve">ladder in </w:t>
      </w:r>
      <w:r w:rsidR="005F2CEC">
        <w:t>r</w:t>
      </w:r>
      <w:r w:rsidR="00F17860" w:rsidRPr="00F17860">
        <w:t xml:space="preserve">odents and </w:t>
      </w:r>
      <w:r w:rsidR="005F2CEC">
        <w:t>some o</w:t>
      </w:r>
      <w:r w:rsidR="00F17860" w:rsidRPr="00F17860">
        <w:t xml:space="preserve">ther </w:t>
      </w:r>
      <w:r w:rsidR="005F2CEC">
        <w:t>s</w:t>
      </w:r>
      <w:r w:rsidR="00F17860" w:rsidRPr="00F17860">
        <w:t>ubstances</w:t>
      </w:r>
      <w:r w:rsidRPr="00275029">
        <w:t>.</w:t>
      </w:r>
      <w:r w:rsidR="00DB5C95">
        <w:t xml:space="preserve"> </w:t>
      </w:r>
      <w:r w:rsidRPr="00275029">
        <w:t xml:space="preserve">IARC Monographs – </w:t>
      </w:r>
      <w:r w:rsidR="00FC544E">
        <w:t>73</w:t>
      </w:r>
      <w:r w:rsidRPr="00275029">
        <w:t>.</w:t>
      </w:r>
    </w:p>
    <w:p w14:paraId="590E932A" w14:textId="65753D10" w:rsidR="001731DF" w:rsidRDefault="001731DF" w:rsidP="00084859">
      <w:r w:rsidRPr="002022B6">
        <w:t>National Industrial Chemicals Notification and Assessment Scheme (NICNAS)</w:t>
      </w:r>
      <w:r>
        <w:t xml:space="preserve"> (</w:t>
      </w:r>
      <w:r w:rsidR="00CD212F" w:rsidRPr="00CD212F">
        <w:t>2014</w:t>
      </w:r>
      <w:r>
        <w:t xml:space="preserve">) </w:t>
      </w:r>
      <w:r w:rsidR="00CD212F" w:rsidRPr="00CD212F">
        <w:t>Propane, 2-methoxy-2-methyl</w:t>
      </w:r>
      <w:r w:rsidRPr="0071660C">
        <w:t xml:space="preserve">: Human health </w:t>
      </w:r>
      <w:r w:rsidR="00CD212F" w:rsidRPr="00CD212F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2EF42EE" w14:textId="77777777" w:rsidR="00CD212F" w:rsidRPr="00351FE0" w:rsidRDefault="00CD212F" w:rsidP="00084859"/>
    <w:sectPr w:rsidR="00CD212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6EAFB" w14:textId="77777777" w:rsidR="00EA1FD4" w:rsidRDefault="00EA1FD4" w:rsidP="00F43AD5">
      <w:pPr>
        <w:spacing w:after="0" w:line="240" w:lineRule="auto"/>
      </w:pPr>
      <w:r>
        <w:separator/>
      </w:r>
    </w:p>
  </w:endnote>
  <w:endnote w:type="continuationSeparator" w:id="0">
    <w:p w14:paraId="7903DB93" w14:textId="77777777" w:rsidR="00EA1FD4" w:rsidRDefault="00EA1FD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9B92B" w14:textId="77777777" w:rsidR="00AC5C8C" w:rsidRDefault="00AC5C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100A0B" w14:textId="5C051AC2" w:rsidR="000B46DF" w:rsidRDefault="000B46DF" w:rsidP="0034744C">
        <w:pPr>
          <w:pStyle w:val="Footer"/>
          <w:rPr>
            <w:sz w:val="18"/>
            <w:szCs w:val="18"/>
          </w:rPr>
        </w:pPr>
        <w:r w:rsidRPr="00024D83">
          <w:rPr>
            <w:b/>
            <w:sz w:val="18"/>
            <w:szCs w:val="18"/>
          </w:rPr>
          <w:t xml:space="preserve">Methyl-tert butyl ether </w:t>
        </w:r>
        <w:r>
          <w:rPr>
            <w:b/>
            <w:sz w:val="18"/>
            <w:szCs w:val="18"/>
          </w:rPr>
          <w:t>(</w:t>
        </w:r>
        <w:r w:rsidRPr="00024D83">
          <w:rPr>
            <w:b/>
            <w:sz w:val="18"/>
            <w:szCs w:val="18"/>
          </w:rPr>
          <w:t>1634-04-4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E5E0C8F" w14:textId="5FCC163F" w:rsidR="000B46DF" w:rsidRPr="00F43AD5" w:rsidRDefault="000B46D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C5C8C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F3A1C" w14:textId="77777777" w:rsidR="00AC5C8C" w:rsidRDefault="00AC5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B3BA6" w14:textId="77777777" w:rsidR="00EA1FD4" w:rsidRDefault="00EA1FD4" w:rsidP="00F43AD5">
      <w:pPr>
        <w:spacing w:after="0" w:line="240" w:lineRule="auto"/>
      </w:pPr>
      <w:r>
        <w:separator/>
      </w:r>
    </w:p>
  </w:footnote>
  <w:footnote w:type="continuationSeparator" w:id="0">
    <w:p w14:paraId="76139D62" w14:textId="77777777" w:rsidR="00EA1FD4" w:rsidRDefault="00EA1FD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230B9" w14:textId="040B235B" w:rsidR="00AC5C8C" w:rsidRDefault="00AC5C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584BE" w14:textId="3A580166" w:rsidR="000B46DF" w:rsidRDefault="000B46D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CA459" w14:textId="4E468FE5" w:rsidR="00AC5C8C" w:rsidRDefault="00AC5C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C12D" w14:textId="249D5028" w:rsidR="00AC5C8C" w:rsidRDefault="00AC5C8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3A65B" w14:textId="4218C66E" w:rsidR="000B46DF" w:rsidRDefault="00AC5C8C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F2190D0" wp14:editId="05BD4E5D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7B085" w14:textId="5D3A6764" w:rsidR="00AC5C8C" w:rsidRDefault="00AC5C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7044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E94B83"/>
    <w:multiLevelType w:val="hybridMultilevel"/>
    <w:tmpl w:val="30B0585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4E2D05"/>
    <w:multiLevelType w:val="hybridMultilevel"/>
    <w:tmpl w:val="B3788896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3507DB"/>
    <w:multiLevelType w:val="hybridMultilevel"/>
    <w:tmpl w:val="3F6A115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2F0712"/>
    <w:multiLevelType w:val="hybridMultilevel"/>
    <w:tmpl w:val="DBF041B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C224A0"/>
    <w:multiLevelType w:val="hybridMultilevel"/>
    <w:tmpl w:val="7868A7D6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674617"/>
    <w:multiLevelType w:val="hybridMultilevel"/>
    <w:tmpl w:val="6A84C79A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4CC614DE"/>
    <w:multiLevelType w:val="hybridMultilevel"/>
    <w:tmpl w:val="6EE8400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9827F4"/>
    <w:multiLevelType w:val="hybridMultilevel"/>
    <w:tmpl w:val="E3B2B5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8B1221"/>
    <w:multiLevelType w:val="hybridMultilevel"/>
    <w:tmpl w:val="4B289A1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2179064">
    <w:abstractNumId w:val="0"/>
  </w:num>
  <w:num w:numId="2" w16cid:durableId="1908303134">
    <w:abstractNumId w:val="8"/>
  </w:num>
  <w:num w:numId="3" w16cid:durableId="1912082865">
    <w:abstractNumId w:val="0"/>
  </w:num>
  <w:num w:numId="4" w16cid:durableId="1925450480">
    <w:abstractNumId w:val="0"/>
  </w:num>
  <w:num w:numId="5" w16cid:durableId="2101484579">
    <w:abstractNumId w:val="0"/>
  </w:num>
  <w:num w:numId="6" w16cid:durableId="534775120">
    <w:abstractNumId w:val="0"/>
  </w:num>
  <w:num w:numId="7" w16cid:durableId="1687245425">
    <w:abstractNumId w:val="0"/>
  </w:num>
  <w:num w:numId="8" w16cid:durableId="873226132">
    <w:abstractNumId w:val="0"/>
  </w:num>
  <w:num w:numId="9" w16cid:durableId="920481511">
    <w:abstractNumId w:val="0"/>
  </w:num>
  <w:num w:numId="10" w16cid:durableId="933781563">
    <w:abstractNumId w:val="0"/>
  </w:num>
  <w:num w:numId="11" w16cid:durableId="1201631351">
    <w:abstractNumId w:val="0"/>
  </w:num>
  <w:num w:numId="12" w16cid:durableId="509947837">
    <w:abstractNumId w:val="0"/>
  </w:num>
  <w:num w:numId="13" w16cid:durableId="893272587">
    <w:abstractNumId w:val="0"/>
  </w:num>
  <w:num w:numId="14" w16cid:durableId="133567083">
    <w:abstractNumId w:val="0"/>
  </w:num>
  <w:num w:numId="15" w16cid:durableId="702900709">
    <w:abstractNumId w:val="0"/>
  </w:num>
  <w:num w:numId="16" w16cid:durableId="252665405">
    <w:abstractNumId w:val="0"/>
  </w:num>
  <w:num w:numId="17" w16cid:durableId="1833793774">
    <w:abstractNumId w:val="0"/>
  </w:num>
  <w:num w:numId="18" w16cid:durableId="598221051">
    <w:abstractNumId w:val="0"/>
  </w:num>
  <w:num w:numId="19" w16cid:durableId="145783726">
    <w:abstractNumId w:val="5"/>
  </w:num>
  <w:num w:numId="20" w16cid:durableId="2055689224">
    <w:abstractNumId w:val="7"/>
  </w:num>
  <w:num w:numId="21" w16cid:durableId="1672218072">
    <w:abstractNumId w:val="3"/>
  </w:num>
  <w:num w:numId="22" w16cid:durableId="2012642179">
    <w:abstractNumId w:val="4"/>
  </w:num>
  <w:num w:numId="23" w16cid:durableId="1656835109">
    <w:abstractNumId w:val="1"/>
  </w:num>
  <w:num w:numId="24" w16cid:durableId="237832603">
    <w:abstractNumId w:val="9"/>
  </w:num>
  <w:num w:numId="25" w16cid:durableId="1280450129">
    <w:abstractNumId w:val="2"/>
  </w:num>
  <w:num w:numId="26" w16cid:durableId="1895189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525"/>
    <w:rsid w:val="00017C82"/>
    <w:rsid w:val="00024D8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EE4"/>
    <w:rsid w:val="00084513"/>
    <w:rsid w:val="00084859"/>
    <w:rsid w:val="00086C50"/>
    <w:rsid w:val="00091720"/>
    <w:rsid w:val="00092D94"/>
    <w:rsid w:val="000A76C8"/>
    <w:rsid w:val="000B0868"/>
    <w:rsid w:val="000B3E12"/>
    <w:rsid w:val="000B3E78"/>
    <w:rsid w:val="000B46DF"/>
    <w:rsid w:val="000B7B48"/>
    <w:rsid w:val="000C096D"/>
    <w:rsid w:val="000C139A"/>
    <w:rsid w:val="000C2053"/>
    <w:rsid w:val="000C248C"/>
    <w:rsid w:val="000D291C"/>
    <w:rsid w:val="000D2DE7"/>
    <w:rsid w:val="000E5A54"/>
    <w:rsid w:val="000E63D3"/>
    <w:rsid w:val="000E67CF"/>
    <w:rsid w:val="0010461E"/>
    <w:rsid w:val="00106FAA"/>
    <w:rsid w:val="00113443"/>
    <w:rsid w:val="001269A7"/>
    <w:rsid w:val="001271B3"/>
    <w:rsid w:val="00131092"/>
    <w:rsid w:val="00140E6A"/>
    <w:rsid w:val="00146545"/>
    <w:rsid w:val="00146B75"/>
    <w:rsid w:val="0015266D"/>
    <w:rsid w:val="0015288A"/>
    <w:rsid w:val="00160F47"/>
    <w:rsid w:val="00165975"/>
    <w:rsid w:val="001731DF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CD5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2285"/>
    <w:rsid w:val="00275029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4B1"/>
    <w:rsid w:val="00347192"/>
    <w:rsid w:val="0034744C"/>
    <w:rsid w:val="00351FE0"/>
    <w:rsid w:val="0035244F"/>
    <w:rsid w:val="00352615"/>
    <w:rsid w:val="0035412B"/>
    <w:rsid w:val="003567A8"/>
    <w:rsid w:val="00362895"/>
    <w:rsid w:val="00370DBF"/>
    <w:rsid w:val="0038305C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0E7"/>
    <w:rsid w:val="003E51FB"/>
    <w:rsid w:val="003E577F"/>
    <w:rsid w:val="003E6B39"/>
    <w:rsid w:val="003F07E1"/>
    <w:rsid w:val="003F7D07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6F1"/>
    <w:rsid w:val="00485BFD"/>
    <w:rsid w:val="004867A2"/>
    <w:rsid w:val="004873F2"/>
    <w:rsid w:val="00490D4C"/>
    <w:rsid w:val="0049296C"/>
    <w:rsid w:val="00493A35"/>
    <w:rsid w:val="0049527A"/>
    <w:rsid w:val="004966BF"/>
    <w:rsid w:val="00497984"/>
    <w:rsid w:val="004A2AAC"/>
    <w:rsid w:val="004A5088"/>
    <w:rsid w:val="004C1E3F"/>
    <w:rsid w:val="004C23F4"/>
    <w:rsid w:val="004C2DCC"/>
    <w:rsid w:val="004C3475"/>
    <w:rsid w:val="004C58B6"/>
    <w:rsid w:val="004D16A3"/>
    <w:rsid w:val="004D4AA1"/>
    <w:rsid w:val="004D6D68"/>
    <w:rsid w:val="004E5EDD"/>
    <w:rsid w:val="004F32F0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CE1"/>
    <w:rsid w:val="00534B10"/>
    <w:rsid w:val="0053751B"/>
    <w:rsid w:val="005446A2"/>
    <w:rsid w:val="00544D2F"/>
    <w:rsid w:val="00551BD8"/>
    <w:rsid w:val="00553B1C"/>
    <w:rsid w:val="005738F5"/>
    <w:rsid w:val="00581055"/>
    <w:rsid w:val="00591E38"/>
    <w:rsid w:val="005A19C5"/>
    <w:rsid w:val="005A3034"/>
    <w:rsid w:val="005A462D"/>
    <w:rsid w:val="005B253B"/>
    <w:rsid w:val="005B771D"/>
    <w:rsid w:val="005C5D16"/>
    <w:rsid w:val="005C7EAE"/>
    <w:rsid w:val="005D3193"/>
    <w:rsid w:val="005D4A6E"/>
    <w:rsid w:val="005E6979"/>
    <w:rsid w:val="005E75CB"/>
    <w:rsid w:val="005F2C92"/>
    <w:rsid w:val="005F2CEC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DC5"/>
    <w:rsid w:val="00677D9B"/>
    <w:rsid w:val="00684D4B"/>
    <w:rsid w:val="006867F3"/>
    <w:rsid w:val="00687890"/>
    <w:rsid w:val="00687A76"/>
    <w:rsid w:val="006901A2"/>
    <w:rsid w:val="00690368"/>
    <w:rsid w:val="0069079C"/>
    <w:rsid w:val="00690B53"/>
    <w:rsid w:val="00695B72"/>
    <w:rsid w:val="006B160A"/>
    <w:rsid w:val="006B4E6C"/>
    <w:rsid w:val="006B50B6"/>
    <w:rsid w:val="006D2FF4"/>
    <w:rsid w:val="006D79EA"/>
    <w:rsid w:val="006E5D05"/>
    <w:rsid w:val="00701053"/>
    <w:rsid w:val="00701507"/>
    <w:rsid w:val="00714021"/>
    <w:rsid w:val="00716A0F"/>
    <w:rsid w:val="0071756F"/>
    <w:rsid w:val="00717D45"/>
    <w:rsid w:val="007208F7"/>
    <w:rsid w:val="007218AF"/>
    <w:rsid w:val="007365D1"/>
    <w:rsid w:val="00740E0E"/>
    <w:rsid w:val="00743243"/>
    <w:rsid w:val="00750212"/>
    <w:rsid w:val="00751661"/>
    <w:rsid w:val="00754779"/>
    <w:rsid w:val="0075716D"/>
    <w:rsid w:val="00765F14"/>
    <w:rsid w:val="00770E31"/>
    <w:rsid w:val="007755B3"/>
    <w:rsid w:val="007770F1"/>
    <w:rsid w:val="00783FB1"/>
    <w:rsid w:val="00785CDD"/>
    <w:rsid w:val="007864A8"/>
    <w:rsid w:val="00791847"/>
    <w:rsid w:val="007925F0"/>
    <w:rsid w:val="007939B3"/>
    <w:rsid w:val="0079509C"/>
    <w:rsid w:val="00796708"/>
    <w:rsid w:val="007A5AF1"/>
    <w:rsid w:val="007B1B42"/>
    <w:rsid w:val="007C30EB"/>
    <w:rsid w:val="007C630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426"/>
    <w:rsid w:val="00812887"/>
    <w:rsid w:val="00826F21"/>
    <w:rsid w:val="00834CC8"/>
    <w:rsid w:val="00835E00"/>
    <w:rsid w:val="00837113"/>
    <w:rsid w:val="008414E4"/>
    <w:rsid w:val="00843E21"/>
    <w:rsid w:val="00843E9E"/>
    <w:rsid w:val="00844604"/>
    <w:rsid w:val="0084508E"/>
    <w:rsid w:val="00857A8A"/>
    <w:rsid w:val="008630EE"/>
    <w:rsid w:val="00864D13"/>
    <w:rsid w:val="008715AA"/>
    <w:rsid w:val="00871CD5"/>
    <w:rsid w:val="008745A2"/>
    <w:rsid w:val="008768A8"/>
    <w:rsid w:val="00886423"/>
    <w:rsid w:val="0088798F"/>
    <w:rsid w:val="00887E4B"/>
    <w:rsid w:val="008915C8"/>
    <w:rsid w:val="008A36CF"/>
    <w:rsid w:val="008A3BC4"/>
    <w:rsid w:val="008A7FD7"/>
    <w:rsid w:val="008B403C"/>
    <w:rsid w:val="008B7983"/>
    <w:rsid w:val="008C2511"/>
    <w:rsid w:val="008C47DE"/>
    <w:rsid w:val="008D026D"/>
    <w:rsid w:val="008D23AB"/>
    <w:rsid w:val="008D4398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583"/>
    <w:rsid w:val="00946044"/>
    <w:rsid w:val="0094660B"/>
    <w:rsid w:val="00946A33"/>
    <w:rsid w:val="0095260E"/>
    <w:rsid w:val="009578DD"/>
    <w:rsid w:val="00961124"/>
    <w:rsid w:val="009621B6"/>
    <w:rsid w:val="00974F2D"/>
    <w:rsid w:val="0097731A"/>
    <w:rsid w:val="00977524"/>
    <w:rsid w:val="00977E88"/>
    <w:rsid w:val="00984920"/>
    <w:rsid w:val="0099303A"/>
    <w:rsid w:val="009971C2"/>
    <w:rsid w:val="009A1254"/>
    <w:rsid w:val="009A1692"/>
    <w:rsid w:val="009B1DF6"/>
    <w:rsid w:val="009B2FF2"/>
    <w:rsid w:val="009B380C"/>
    <w:rsid w:val="009B4843"/>
    <w:rsid w:val="009B5E7F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30D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8C1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3902"/>
    <w:rsid w:val="00AB43C4"/>
    <w:rsid w:val="00AC32E7"/>
    <w:rsid w:val="00AC3A9F"/>
    <w:rsid w:val="00AC5C8C"/>
    <w:rsid w:val="00AC6D2F"/>
    <w:rsid w:val="00AD302B"/>
    <w:rsid w:val="00AE222B"/>
    <w:rsid w:val="00AE2745"/>
    <w:rsid w:val="00AE2F64"/>
    <w:rsid w:val="00AF42CB"/>
    <w:rsid w:val="00AF483F"/>
    <w:rsid w:val="00AF5E07"/>
    <w:rsid w:val="00AF5F06"/>
    <w:rsid w:val="00B00A25"/>
    <w:rsid w:val="00B10CCB"/>
    <w:rsid w:val="00B1422A"/>
    <w:rsid w:val="00B1765C"/>
    <w:rsid w:val="00B213C4"/>
    <w:rsid w:val="00B37900"/>
    <w:rsid w:val="00B40C60"/>
    <w:rsid w:val="00B42DD5"/>
    <w:rsid w:val="00B479A9"/>
    <w:rsid w:val="00B52EDF"/>
    <w:rsid w:val="00B71188"/>
    <w:rsid w:val="00B747A0"/>
    <w:rsid w:val="00B76A41"/>
    <w:rsid w:val="00B87D4C"/>
    <w:rsid w:val="00B93646"/>
    <w:rsid w:val="00BA0B38"/>
    <w:rsid w:val="00BA1DBB"/>
    <w:rsid w:val="00BA4510"/>
    <w:rsid w:val="00BA529A"/>
    <w:rsid w:val="00BB612A"/>
    <w:rsid w:val="00BC5934"/>
    <w:rsid w:val="00BD499F"/>
    <w:rsid w:val="00BD56DE"/>
    <w:rsid w:val="00BE0E0B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4502"/>
    <w:rsid w:val="00C6594B"/>
    <w:rsid w:val="00C67FFB"/>
    <w:rsid w:val="00C7155E"/>
    <w:rsid w:val="00C71D1E"/>
    <w:rsid w:val="00C71D7D"/>
    <w:rsid w:val="00C74833"/>
    <w:rsid w:val="00C850A0"/>
    <w:rsid w:val="00C85A86"/>
    <w:rsid w:val="00C869A3"/>
    <w:rsid w:val="00C93DE4"/>
    <w:rsid w:val="00C978F0"/>
    <w:rsid w:val="00CA002D"/>
    <w:rsid w:val="00CA05C9"/>
    <w:rsid w:val="00CA58FE"/>
    <w:rsid w:val="00CB1CB1"/>
    <w:rsid w:val="00CB6BC1"/>
    <w:rsid w:val="00CB6CB8"/>
    <w:rsid w:val="00CC1A68"/>
    <w:rsid w:val="00CC2123"/>
    <w:rsid w:val="00CC7032"/>
    <w:rsid w:val="00CD212F"/>
    <w:rsid w:val="00CD2BFD"/>
    <w:rsid w:val="00CE5AD6"/>
    <w:rsid w:val="00CE617F"/>
    <w:rsid w:val="00CE78EF"/>
    <w:rsid w:val="00D048F7"/>
    <w:rsid w:val="00D04C06"/>
    <w:rsid w:val="00D0517E"/>
    <w:rsid w:val="00D140FC"/>
    <w:rsid w:val="00D150DE"/>
    <w:rsid w:val="00D21D8C"/>
    <w:rsid w:val="00D2348A"/>
    <w:rsid w:val="00D31357"/>
    <w:rsid w:val="00D33220"/>
    <w:rsid w:val="00D334D1"/>
    <w:rsid w:val="00D407AC"/>
    <w:rsid w:val="00D44C89"/>
    <w:rsid w:val="00D516CD"/>
    <w:rsid w:val="00D6681E"/>
    <w:rsid w:val="00D668E6"/>
    <w:rsid w:val="00D70670"/>
    <w:rsid w:val="00D74D80"/>
    <w:rsid w:val="00D76624"/>
    <w:rsid w:val="00D87570"/>
    <w:rsid w:val="00D87E04"/>
    <w:rsid w:val="00D91CB9"/>
    <w:rsid w:val="00D97989"/>
    <w:rsid w:val="00D97D8D"/>
    <w:rsid w:val="00DA352E"/>
    <w:rsid w:val="00DB5C95"/>
    <w:rsid w:val="00DC7694"/>
    <w:rsid w:val="00DD1BF6"/>
    <w:rsid w:val="00DD2F9B"/>
    <w:rsid w:val="00DE1E1E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0E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FD4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109"/>
    <w:rsid w:val="00F01B08"/>
    <w:rsid w:val="00F01C4D"/>
    <w:rsid w:val="00F053FA"/>
    <w:rsid w:val="00F06005"/>
    <w:rsid w:val="00F10C97"/>
    <w:rsid w:val="00F11C71"/>
    <w:rsid w:val="00F16019"/>
    <w:rsid w:val="00F17860"/>
    <w:rsid w:val="00F200E4"/>
    <w:rsid w:val="00F20E68"/>
    <w:rsid w:val="00F22093"/>
    <w:rsid w:val="00F2351B"/>
    <w:rsid w:val="00F236DF"/>
    <w:rsid w:val="00F253BE"/>
    <w:rsid w:val="00F43AD5"/>
    <w:rsid w:val="00F4402E"/>
    <w:rsid w:val="00F56DD0"/>
    <w:rsid w:val="00F576B4"/>
    <w:rsid w:val="00F6491C"/>
    <w:rsid w:val="00F67BBB"/>
    <w:rsid w:val="00F76A9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817"/>
    <w:rsid w:val="00FC544E"/>
    <w:rsid w:val="00FC60A2"/>
    <w:rsid w:val="00FD1871"/>
    <w:rsid w:val="00FD3110"/>
    <w:rsid w:val="00FF045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F045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5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52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52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52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B6C0212DFC4FE694D686A89DB1D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8655C-71A5-4B69-B54B-75462BE47F1E}"/>
      </w:docPartPr>
      <w:docPartBody>
        <w:p w:rsidR="009E77BD" w:rsidRDefault="00480894" w:rsidP="00480894">
          <w:pPr>
            <w:pStyle w:val="81B6C0212DFC4FE694D686A89DB1D47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E50E7"/>
    <w:rsid w:val="00480894"/>
    <w:rsid w:val="00491230"/>
    <w:rsid w:val="009E77BD"/>
    <w:rsid w:val="00C905E4"/>
    <w:rsid w:val="00D21A9F"/>
    <w:rsid w:val="00F5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089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1B6C0212DFC4FE694D686A89DB1D476">
    <w:name w:val="81B6C0212DFC4FE694D686A89DB1D476"/>
    <w:rsid w:val="004808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E79A00-925B-41A5-A720-8DF3A527EF37}"/>
</file>

<file path=customXml/itemProps2.xml><?xml version="1.0" encoding="utf-8"?>
<ds:datastoreItem xmlns:ds="http://schemas.openxmlformats.org/officeDocument/2006/customXml" ds:itemID="{EE739AD6-72FE-4014-A493-170C6AB499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D74D6-A18C-4BAC-A629-7182002732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6C49B7-696D-476E-A56E-77F0BAA5F8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2020-01-22T00:31:00Z</dcterms:created>
  <dcterms:modified xsi:type="dcterms:W3CDTF">2025-12-24T00:11:00Z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2025-12-24T00:11:06Z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5db9f31f-447b-4536-a336-89fa5b4f308c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