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2501FE4" w14:textId="7BD92328" w:rsidR="00BD499F" w:rsidRPr="004C23F4" w:rsidRDefault="00071883" w:rsidP="00B40C60">
          <w:pPr>
            <w:pStyle w:val="Heading1"/>
            <w:jc w:val="center"/>
            <w:rPr>
              <w:rFonts w:ascii="Arial" w:hAnsi="Arial" w:cs="Arial"/>
            </w:rPr>
          </w:pPr>
          <w:r w:rsidRPr="0009442C">
            <w:rPr>
              <w:rFonts w:ascii="Arial" w:hAnsi="Arial" w:cs="Arial"/>
            </w:rPr>
            <w:t xml:space="preserve">Methyl </w:t>
          </w:r>
          <w:r>
            <w:rPr>
              <w:rFonts w:ascii="Arial" w:hAnsi="Arial" w:cs="Arial"/>
            </w:rPr>
            <w:t>propyl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4B460565" w14:textId="77777777" w:rsidTr="001D4438">
        <w:trPr>
          <w:cantSplit/>
          <w:tblHeader/>
        </w:trPr>
        <w:tc>
          <w:tcPr>
            <w:tcW w:w="3987" w:type="dxa"/>
          </w:tcPr>
          <w:p w14:paraId="56E4157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07185373" w14:textId="67F9F6DB" w:rsidR="00F43AD5" w:rsidRPr="00717D45" w:rsidRDefault="00071883" w:rsidP="00B76A41">
            <w:pPr>
              <w:pStyle w:val="Tablefont"/>
            </w:pPr>
            <w:r>
              <w:t>107-87-9</w:t>
            </w:r>
          </w:p>
        </w:tc>
      </w:tr>
      <w:tr w:rsidR="00F43AD5" w:rsidRPr="004C23F4" w14:paraId="0D6EF540" w14:textId="77777777" w:rsidTr="001D4438">
        <w:trPr>
          <w:cantSplit/>
        </w:trPr>
        <w:tc>
          <w:tcPr>
            <w:tcW w:w="3987" w:type="dxa"/>
          </w:tcPr>
          <w:p w14:paraId="5849CA6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21E5F183" w14:textId="200DEF2C" w:rsidR="00F43AD5" w:rsidRPr="00717D45" w:rsidRDefault="00CC204E" w:rsidP="00B76A41">
            <w:pPr>
              <w:pStyle w:val="Tablefont"/>
            </w:pPr>
            <w:r>
              <w:t>2-Pentanone, ethyl acetone</w:t>
            </w:r>
            <w:r w:rsidR="00F10CB8">
              <w:t>, MPK</w:t>
            </w:r>
          </w:p>
        </w:tc>
      </w:tr>
      <w:tr w:rsidR="00F43AD5" w:rsidRPr="004C23F4" w14:paraId="264821EB" w14:textId="77777777" w:rsidTr="001D4438">
        <w:trPr>
          <w:cantSplit/>
        </w:trPr>
        <w:tc>
          <w:tcPr>
            <w:tcW w:w="3987" w:type="dxa"/>
          </w:tcPr>
          <w:p w14:paraId="74C356B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04E37D3C" w14:textId="4B190280" w:rsidR="00F43AD5" w:rsidRPr="00717D45" w:rsidRDefault="00EE5DC5" w:rsidP="00B76A41">
            <w:pPr>
              <w:pStyle w:val="Tablefont"/>
            </w:pPr>
            <w:r>
              <w:t>C</w:t>
            </w:r>
            <w:r w:rsidR="00071883">
              <w:rPr>
                <w:vertAlign w:val="subscript"/>
              </w:rPr>
              <w:t>5</w:t>
            </w:r>
            <w:r>
              <w:t>H</w:t>
            </w:r>
            <w:r w:rsidRPr="00EE5DC5">
              <w:rPr>
                <w:vertAlign w:val="subscript"/>
              </w:rPr>
              <w:t>10</w:t>
            </w:r>
            <w:r>
              <w:t>O</w:t>
            </w:r>
            <w:r w:rsidRPr="00EE5DC5">
              <w:rPr>
                <w:vertAlign w:val="subscript"/>
              </w:rPr>
              <w:t>5</w:t>
            </w:r>
          </w:p>
        </w:tc>
      </w:tr>
    </w:tbl>
    <w:p w14:paraId="0399BB7D" w14:textId="73FEE7D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D4F0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F34D54D" w14:textId="77777777" w:rsidTr="00F929E6">
        <w:trPr>
          <w:cantSplit/>
          <w:tblHeader/>
        </w:trPr>
        <w:tc>
          <w:tcPr>
            <w:tcW w:w="4005" w:type="dxa"/>
            <w:vAlign w:val="center"/>
          </w:tcPr>
          <w:p w14:paraId="3BBA584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6D908D5" w14:textId="036C4F3E" w:rsidR="002C7AFE" w:rsidRPr="00071883" w:rsidRDefault="00271E3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FBBADD4" w14:textId="77777777" w:rsidTr="00F929E6">
        <w:trPr>
          <w:cantSplit/>
        </w:trPr>
        <w:tc>
          <w:tcPr>
            <w:tcW w:w="4005" w:type="dxa"/>
            <w:vAlign w:val="center"/>
          </w:tcPr>
          <w:p w14:paraId="28E7E9F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407F129" w14:textId="5C2F9F8A" w:rsidR="002C7AFE" w:rsidRPr="00271E32" w:rsidRDefault="00271E3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150 ppm (529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2986288" w14:textId="77777777" w:rsidTr="00F929E6">
        <w:trPr>
          <w:cantSplit/>
        </w:trPr>
        <w:tc>
          <w:tcPr>
            <w:tcW w:w="4005" w:type="dxa"/>
            <w:vAlign w:val="center"/>
          </w:tcPr>
          <w:p w14:paraId="7E08621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2A943BD" w14:textId="46A15EF1" w:rsidR="002C7AFE" w:rsidRPr="00071883" w:rsidRDefault="00271E3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139F3E2" w14:textId="77777777" w:rsidTr="00F929E6">
        <w:trPr>
          <w:cantSplit/>
        </w:trPr>
        <w:tc>
          <w:tcPr>
            <w:tcW w:w="4005" w:type="dxa"/>
          </w:tcPr>
          <w:p w14:paraId="3B08D01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C234C7B" w14:textId="1827F917" w:rsidR="002C7AFE" w:rsidRPr="00071883" w:rsidRDefault="00271E3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D659BC8" w14:textId="77777777" w:rsidTr="00F929E6">
        <w:trPr>
          <w:cantSplit/>
        </w:trPr>
        <w:tc>
          <w:tcPr>
            <w:tcW w:w="4005" w:type="dxa"/>
            <w:vAlign w:val="center"/>
          </w:tcPr>
          <w:p w14:paraId="374DFFD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465CB3AC" w14:textId="47C0368D" w:rsidR="002C7AFE" w:rsidRPr="00071883" w:rsidRDefault="0022651D" w:rsidP="00017C82">
            <w:pPr>
              <w:pStyle w:val="Tablefon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1,500 ppm (10% LEL)</w:t>
            </w:r>
          </w:p>
        </w:tc>
      </w:tr>
      <w:tr w:rsidR="00F929E6" w:rsidRPr="004C23F4" w14:paraId="35631912" w14:textId="77777777" w:rsidTr="00AD4D9B">
        <w:trPr>
          <w:cantSplit/>
        </w:trPr>
        <w:tc>
          <w:tcPr>
            <w:tcW w:w="9026" w:type="dxa"/>
            <w:gridSpan w:val="2"/>
            <w:vAlign w:val="center"/>
          </w:tcPr>
          <w:p w14:paraId="66BE80E1" w14:textId="27186D17" w:rsidR="00F929E6" w:rsidRPr="00C257B1" w:rsidRDefault="007E4C35" w:rsidP="00017C82">
            <w:pPr>
              <w:pStyle w:val="Tablefont"/>
              <w:rPr>
                <w:b/>
                <w:color w:val="000000" w:themeColor="text1"/>
              </w:rPr>
            </w:pPr>
            <w:r w:rsidRPr="00C257B1">
              <w:rPr>
                <w:b/>
                <w:color w:val="000000" w:themeColor="text1"/>
              </w:rPr>
              <w:t xml:space="preserve">Sampling and analysis: </w:t>
            </w:r>
            <w:sdt>
              <w:sdtPr>
                <w:rPr>
                  <w:rStyle w:val="WESstatus"/>
                  <w:color w:val="000000" w:themeColor="text1"/>
                </w:rPr>
                <w:id w:val="-2105258949"/>
                <w:placeholder>
                  <w:docPart w:val="881B7DB9CADD4907A1318CAACEE20E1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C257B1">
                  <w:rPr>
                    <w:rStyle w:val="WESstatus"/>
                    <w:color w:val="000000" w:themeColor="text1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5C59F8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DB1760" w14:textId="46D72DDF" w:rsidR="006D4F0D" w:rsidRPr="004C23F4" w:rsidRDefault="006D4F0D" w:rsidP="006D4F0D">
      <w:pPr>
        <w:rPr>
          <w:rFonts w:cs="Arial"/>
        </w:rPr>
      </w:pPr>
      <w:r>
        <w:rPr>
          <w:rFonts w:cs="Arial"/>
        </w:rPr>
        <w:t>There are i</w:t>
      </w:r>
      <w:r w:rsidRPr="00271E32">
        <w:rPr>
          <w:rFonts w:cs="Arial"/>
        </w:rPr>
        <w:t>nsuffici</w:t>
      </w:r>
      <w:r>
        <w:rPr>
          <w:rFonts w:cs="Arial"/>
        </w:rPr>
        <w:t xml:space="preserve">ent data available to recommend </w:t>
      </w:r>
      <w:r w:rsidRPr="00271E32">
        <w:rPr>
          <w:rFonts w:cs="Arial"/>
        </w:rPr>
        <w:t>a TWA</w:t>
      </w:r>
      <w:r w:rsidR="001D4438">
        <w:rPr>
          <w:rFonts w:cs="Arial"/>
        </w:rPr>
        <w:t xml:space="preserve"> and a TWA is recommended to be withdrawn.</w:t>
      </w:r>
    </w:p>
    <w:p w14:paraId="7FFDF80C" w14:textId="6745459B" w:rsidR="007A4BAA" w:rsidRDefault="00271E32" w:rsidP="000C139A">
      <w:pPr>
        <w:rPr>
          <w:rFonts w:cs="Arial"/>
        </w:rPr>
      </w:pPr>
      <w:r w:rsidRPr="00271E32">
        <w:rPr>
          <w:rFonts w:cs="Arial"/>
        </w:rPr>
        <w:t xml:space="preserve">A STEL of </w:t>
      </w:r>
      <w:r>
        <w:rPr>
          <w:rFonts w:cs="Arial"/>
        </w:rPr>
        <w:t>150</w:t>
      </w:r>
      <w:r w:rsidRPr="00271E32">
        <w:rPr>
          <w:rFonts w:cs="Arial"/>
        </w:rPr>
        <w:t xml:space="preserve"> ppm (</w:t>
      </w:r>
      <w:r>
        <w:rPr>
          <w:rFonts w:cs="Arial"/>
        </w:rPr>
        <w:t>529</w:t>
      </w:r>
      <w:r w:rsidRPr="00271E32">
        <w:rPr>
          <w:rFonts w:cs="Arial"/>
        </w:rPr>
        <w:t xml:space="preserve"> mg/m</w:t>
      </w:r>
      <w:r w:rsidRPr="00271E32">
        <w:rPr>
          <w:rFonts w:cs="Arial"/>
          <w:vertAlign w:val="superscript"/>
        </w:rPr>
        <w:t>3</w:t>
      </w:r>
      <w:r w:rsidRPr="00271E32">
        <w:rPr>
          <w:rFonts w:cs="Arial"/>
        </w:rPr>
        <w:t xml:space="preserve">) is recommended to protect for </w:t>
      </w:r>
      <w:r w:rsidR="006D4F0D">
        <w:rPr>
          <w:rFonts w:cs="Arial"/>
        </w:rPr>
        <w:t xml:space="preserve">acute </w:t>
      </w:r>
      <w:r>
        <w:rPr>
          <w:rFonts w:cs="Arial"/>
        </w:rPr>
        <w:t xml:space="preserve">respiratory impairment and </w:t>
      </w:r>
      <w:r w:rsidR="001D4438">
        <w:rPr>
          <w:rFonts w:cs="Arial"/>
        </w:rPr>
        <w:t xml:space="preserve">irritation of the </w:t>
      </w:r>
      <w:r>
        <w:rPr>
          <w:rFonts w:cs="Arial"/>
        </w:rPr>
        <w:t>eye</w:t>
      </w:r>
      <w:r w:rsidR="001D4438">
        <w:rPr>
          <w:rFonts w:cs="Arial"/>
        </w:rPr>
        <w:t>s</w:t>
      </w:r>
      <w:r>
        <w:rPr>
          <w:rFonts w:cs="Arial"/>
        </w:rPr>
        <w:t xml:space="preserve"> and upper respiratory tract in exposed workers. </w:t>
      </w:r>
    </w:p>
    <w:p w14:paraId="5D58DAC4" w14:textId="376229A1" w:rsidR="006D4F0D" w:rsidRDefault="006D4F0D" w:rsidP="000C139A">
      <w:pPr>
        <w:rPr>
          <w:rFonts w:cs="Arial"/>
        </w:rPr>
      </w:pPr>
      <w:r w:rsidRPr="006D4F0D">
        <w:rPr>
          <w:rFonts w:cs="Arial"/>
        </w:rPr>
        <w:t>Given the limited data available from the primary sources, it is recommended that a review of additional sources be conducted at the next scheduled review</w:t>
      </w:r>
      <w:r w:rsidR="00055958">
        <w:rPr>
          <w:rFonts w:cs="Arial"/>
        </w:rPr>
        <w:t>.</w:t>
      </w:r>
    </w:p>
    <w:p w14:paraId="7DA387C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1F7CDA9" w14:textId="0A3C9375" w:rsidR="006D4F0D" w:rsidRDefault="00FD3CCF" w:rsidP="006639B4">
      <w:pPr>
        <w:rPr>
          <w:rFonts w:cs="Arial"/>
        </w:rPr>
      </w:pPr>
      <w:r>
        <w:rPr>
          <w:rFonts w:cs="Arial"/>
        </w:rPr>
        <w:t>Methyl propyl ketone</w:t>
      </w:r>
      <w:r w:rsidR="006D4F0D">
        <w:rPr>
          <w:rFonts w:cs="Arial"/>
        </w:rPr>
        <w:t xml:space="preserve"> (MPK)</w:t>
      </w:r>
      <w:r w:rsidR="00055958">
        <w:rPr>
          <w:rFonts w:cs="Arial"/>
        </w:rPr>
        <w:t xml:space="preserve"> is used as a solvent, reagent</w:t>
      </w:r>
      <w:r>
        <w:rPr>
          <w:rFonts w:cs="Arial"/>
        </w:rPr>
        <w:t xml:space="preserve"> and flavouring agent. </w:t>
      </w:r>
    </w:p>
    <w:p w14:paraId="60D4E371" w14:textId="1F88C620" w:rsidR="006D4F0D" w:rsidRDefault="00FD3CCF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6D4F0D">
        <w:rPr>
          <w:rFonts w:cs="Arial"/>
        </w:rPr>
        <w:t xml:space="preserve">of exposure </w:t>
      </w:r>
      <w:r>
        <w:rPr>
          <w:rFonts w:cs="Arial"/>
        </w:rPr>
        <w:t xml:space="preserve">are respiratory impairment and irritation </w:t>
      </w:r>
      <w:r w:rsidR="001D4438">
        <w:rPr>
          <w:rFonts w:cs="Arial"/>
        </w:rPr>
        <w:t>of</w:t>
      </w:r>
      <w:r>
        <w:rPr>
          <w:rFonts w:cs="Arial"/>
        </w:rPr>
        <w:t xml:space="preserve"> the eyes and upper respiratory tract.</w:t>
      </w:r>
      <w:r w:rsidR="006D4F0D">
        <w:rPr>
          <w:rFonts w:cs="Arial"/>
        </w:rPr>
        <w:t xml:space="preserve"> </w:t>
      </w:r>
      <w:r>
        <w:rPr>
          <w:rFonts w:cs="Arial"/>
        </w:rPr>
        <w:t xml:space="preserve">The toxicological </w:t>
      </w:r>
      <w:r w:rsidR="001019B0">
        <w:rPr>
          <w:rFonts w:cs="Arial"/>
        </w:rPr>
        <w:t xml:space="preserve">database </w:t>
      </w:r>
      <w:r w:rsidR="006D4F0D">
        <w:rPr>
          <w:rFonts w:cs="Arial"/>
        </w:rPr>
        <w:t xml:space="preserve">for MPK </w:t>
      </w:r>
      <w:r w:rsidR="001019B0">
        <w:rPr>
          <w:rFonts w:cs="Arial"/>
        </w:rPr>
        <w:t xml:space="preserve">is limited. Non-atopic volunteers showed no signs of irritation at </w:t>
      </w:r>
      <w:r w:rsidR="007A4BAA">
        <w:rPr>
          <w:rFonts w:cs="Arial"/>
        </w:rPr>
        <w:t>200 </w:t>
      </w:r>
      <w:r w:rsidR="001019B0">
        <w:rPr>
          <w:rFonts w:cs="Arial"/>
        </w:rPr>
        <w:t>ppm over brief exposures</w:t>
      </w:r>
      <w:r w:rsidR="006D4F0D">
        <w:rPr>
          <w:rFonts w:cs="Arial"/>
        </w:rPr>
        <w:t>.</w:t>
      </w:r>
      <w:r w:rsidR="001019B0">
        <w:rPr>
          <w:rFonts w:cs="Arial"/>
        </w:rPr>
        <w:t xml:space="preserve"> </w:t>
      </w:r>
      <w:proofErr w:type="gramStart"/>
      <w:r w:rsidR="006D4F0D">
        <w:rPr>
          <w:rFonts w:cs="Arial"/>
        </w:rPr>
        <w:t>W</w:t>
      </w:r>
      <w:r w:rsidR="001019B0">
        <w:rPr>
          <w:rFonts w:cs="Arial"/>
        </w:rPr>
        <w:t>hereas</w:t>
      </w:r>
      <w:r w:rsidR="006D4F0D">
        <w:rPr>
          <w:rFonts w:cs="Arial"/>
        </w:rPr>
        <w:t>,</w:t>
      </w:r>
      <w:proofErr w:type="gramEnd"/>
      <w:r w:rsidR="001019B0">
        <w:rPr>
          <w:rFonts w:cs="Arial"/>
        </w:rPr>
        <w:t xml:space="preserve"> this concentration </w:t>
      </w:r>
      <w:r w:rsidR="00AA3D89">
        <w:rPr>
          <w:rFonts w:cs="Arial"/>
        </w:rPr>
        <w:t xml:space="preserve">caused bronchoconstriction </w:t>
      </w:r>
      <w:r w:rsidR="00ED2267">
        <w:rPr>
          <w:rFonts w:cs="Arial"/>
        </w:rPr>
        <w:t xml:space="preserve">in an atopic </w:t>
      </w:r>
      <w:proofErr w:type="gramStart"/>
      <w:r w:rsidR="00ED2267">
        <w:rPr>
          <w:rFonts w:cs="Arial"/>
        </w:rPr>
        <w:t>volunteer</w:t>
      </w:r>
      <w:proofErr w:type="gramEnd"/>
      <w:r w:rsidR="00ED2267">
        <w:rPr>
          <w:rFonts w:cs="Arial"/>
        </w:rPr>
        <w:t xml:space="preserve"> </w:t>
      </w:r>
      <w:r w:rsidR="001D4438">
        <w:rPr>
          <w:rFonts w:cs="Arial"/>
        </w:rPr>
        <w:t xml:space="preserve">and </w:t>
      </w:r>
      <w:r w:rsidR="0090632F">
        <w:rPr>
          <w:rFonts w:cs="Arial"/>
        </w:rPr>
        <w:t>a</w:t>
      </w:r>
      <w:r w:rsidR="004B7D15">
        <w:rPr>
          <w:rFonts w:cs="Arial"/>
        </w:rPr>
        <w:t xml:space="preserve"> NOAE</w:t>
      </w:r>
      <w:r w:rsidR="001D4438">
        <w:rPr>
          <w:rFonts w:cs="Arial"/>
        </w:rPr>
        <w:t>C</w:t>
      </w:r>
      <w:r w:rsidR="004B7D15">
        <w:rPr>
          <w:rFonts w:cs="Arial"/>
        </w:rPr>
        <w:t xml:space="preserve"> </w:t>
      </w:r>
      <w:r w:rsidR="0090632F">
        <w:rPr>
          <w:rFonts w:cs="Arial"/>
        </w:rPr>
        <w:t>was not</w:t>
      </w:r>
      <w:r w:rsidR="004B7D15">
        <w:rPr>
          <w:rFonts w:cs="Arial"/>
        </w:rPr>
        <w:t xml:space="preserve"> established </w:t>
      </w:r>
      <w:r w:rsidR="001019B0">
        <w:rPr>
          <w:rFonts w:cs="Arial"/>
        </w:rPr>
        <w:t xml:space="preserve">(ACGIH, 2018). </w:t>
      </w:r>
      <w:r w:rsidR="004B7D15">
        <w:rPr>
          <w:rFonts w:cs="Arial"/>
        </w:rPr>
        <w:t>H</w:t>
      </w:r>
      <w:r w:rsidR="001019B0">
        <w:rPr>
          <w:rFonts w:cs="Arial"/>
        </w:rPr>
        <w:t xml:space="preserve">uman exposure data are </w:t>
      </w:r>
      <w:r w:rsidR="00ED2267">
        <w:rPr>
          <w:rFonts w:cs="Arial"/>
        </w:rPr>
        <w:t>consistent with</w:t>
      </w:r>
      <w:r w:rsidR="001019B0">
        <w:rPr>
          <w:rFonts w:cs="Arial"/>
        </w:rPr>
        <w:t xml:space="preserve"> NOAE</w:t>
      </w:r>
      <w:r w:rsidR="001D4438">
        <w:rPr>
          <w:rFonts w:cs="Arial"/>
        </w:rPr>
        <w:t>C</w:t>
      </w:r>
      <w:r w:rsidR="001019B0">
        <w:rPr>
          <w:rFonts w:cs="Arial"/>
        </w:rPr>
        <w:t xml:space="preserve"> of 178 and 564 ppm for decreased tidal volume and respiratory rate</w:t>
      </w:r>
      <w:r w:rsidR="00B616D1">
        <w:rPr>
          <w:rFonts w:cs="Arial"/>
        </w:rPr>
        <w:t xml:space="preserve">, respectively, </w:t>
      </w:r>
      <w:r w:rsidR="001019B0">
        <w:rPr>
          <w:rFonts w:cs="Arial"/>
        </w:rPr>
        <w:t xml:space="preserve">in acutely exposed mice (ACGIH, 2018). </w:t>
      </w:r>
    </w:p>
    <w:p w14:paraId="56029290" w14:textId="06A05DD1" w:rsidR="001019B0" w:rsidRDefault="0090632F" w:rsidP="006639B4">
      <w:pPr>
        <w:rPr>
          <w:rFonts w:cs="Arial"/>
        </w:rPr>
      </w:pPr>
      <w:r>
        <w:rPr>
          <w:rFonts w:cs="Arial"/>
        </w:rPr>
        <w:t xml:space="preserve">Based on </w:t>
      </w:r>
      <w:r w:rsidR="00B616D1">
        <w:rPr>
          <w:rFonts w:cs="Arial"/>
        </w:rPr>
        <w:t>t</w:t>
      </w:r>
      <w:r>
        <w:rPr>
          <w:rFonts w:cs="Arial"/>
        </w:rPr>
        <w:t xml:space="preserve">he weight of evidence, the </w:t>
      </w:r>
      <w:r w:rsidR="001019B0">
        <w:rPr>
          <w:rFonts w:cs="Arial"/>
        </w:rPr>
        <w:t>TWA of 200</w:t>
      </w:r>
      <w:r w:rsidR="004B7D15">
        <w:rPr>
          <w:rFonts w:cs="Arial"/>
        </w:rPr>
        <w:t> </w:t>
      </w:r>
      <w:r w:rsidR="001019B0">
        <w:rPr>
          <w:rFonts w:cs="Arial"/>
        </w:rPr>
        <w:t xml:space="preserve">ppm is considered insufficiently protective of these effects and </w:t>
      </w:r>
      <w:r w:rsidR="004B7D15">
        <w:rPr>
          <w:rFonts w:cs="Arial"/>
        </w:rPr>
        <w:t xml:space="preserve">is </w:t>
      </w:r>
      <w:r w:rsidR="006D4F0D">
        <w:rPr>
          <w:rFonts w:cs="Arial"/>
        </w:rPr>
        <w:t xml:space="preserve">recommended to be </w:t>
      </w:r>
      <w:r w:rsidR="001019B0">
        <w:rPr>
          <w:rFonts w:cs="Arial"/>
        </w:rPr>
        <w:t>withdrawn</w:t>
      </w:r>
      <w:r w:rsidR="00254CA3">
        <w:rPr>
          <w:rFonts w:cs="Arial"/>
        </w:rPr>
        <w:t xml:space="preserve"> consistent with </w:t>
      </w:r>
      <w:r>
        <w:rPr>
          <w:rFonts w:cs="Arial"/>
        </w:rPr>
        <w:t>DFG (2000)</w:t>
      </w:r>
      <w:r w:rsidR="00254CA3">
        <w:rPr>
          <w:rFonts w:cs="Arial"/>
        </w:rPr>
        <w:t xml:space="preserve">, ACGIH (2018) </w:t>
      </w:r>
      <w:r w:rsidR="00B616D1">
        <w:rPr>
          <w:rFonts w:cs="Arial"/>
        </w:rPr>
        <w:t xml:space="preserve">and </w:t>
      </w:r>
      <w:r w:rsidR="001019B0">
        <w:rPr>
          <w:rFonts w:cs="Arial"/>
        </w:rPr>
        <w:t>HCOTN (2004</w:t>
      </w:r>
      <w:r w:rsidR="00254CA3">
        <w:rPr>
          <w:rFonts w:cs="Arial"/>
        </w:rPr>
        <w:t>)</w:t>
      </w:r>
      <w:r w:rsidR="001D4438">
        <w:rPr>
          <w:rFonts w:cs="Arial"/>
        </w:rPr>
        <w:t>.</w:t>
      </w:r>
      <w:r w:rsidR="00271E32">
        <w:rPr>
          <w:rFonts w:cs="Arial"/>
        </w:rPr>
        <w:t xml:space="preserve"> A detailed examination of the available </w:t>
      </w:r>
      <w:proofErr w:type="spellStart"/>
      <w:r w:rsidR="00CC204E">
        <w:rPr>
          <w:rFonts w:cs="Arial"/>
        </w:rPr>
        <w:t>subchronic</w:t>
      </w:r>
      <w:proofErr w:type="spellEnd"/>
      <w:r w:rsidR="00CC204E">
        <w:rPr>
          <w:rFonts w:cs="Arial"/>
        </w:rPr>
        <w:t xml:space="preserve"> and chronic exposure</w:t>
      </w:r>
      <w:r w:rsidR="00271E32">
        <w:rPr>
          <w:rFonts w:cs="Arial"/>
        </w:rPr>
        <w:t xml:space="preserve"> </w:t>
      </w:r>
      <w:r w:rsidR="00CC204E">
        <w:rPr>
          <w:rFonts w:cs="Arial"/>
        </w:rPr>
        <w:t xml:space="preserve">data </w:t>
      </w:r>
      <w:r w:rsidR="00271E32">
        <w:rPr>
          <w:rFonts w:cs="Arial"/>
        </w:rPr>
        <w:t>should be prioritised during subsequent reviews of the WES.</w:t>
      </w:r>
    </w:p>
    <w:p w14:paraId="5E0C390C" w14:textId="55B725B6" w:rsidR="00271E32" w:rsidRPr="004C23F4" w:rsidRDefault="001019B0" w:rsidP="006639B4">
      <w:pPr>
        <w:rPr>
          <w:rFonts w:cs="Arial"/>
        </w:rPr>
      </w:pPr>
      <w:r>
        <w:rPr>
          <w:rFonts w:cs="Arial"/>
        </w:rPr>
        <w:t xml:space="preserve">Based on the </w:t>
      </w:r>
      <w:r w:rsidR="00271E32">
        <w:rPr>
          <w:rFonts w:cs="Arial"/>
        </w:rPr>
        <w:t xml:space="preserve">acute </w:t>
      </w:r>
      <w:r w:rsidR="001D4438">
        <w:rPr>
          <w:rFonts w:cs="Arial"/>
        </w:rPr>
        <w:t xml:space="preserve">and </w:t>
      </w:r>
      <w:r w:rsidR="00271E32">
        <w:rPr>
          <w:rFonts w:cs="Arial"/>
        </w:rPr>
        <w:t xml:space="preserve">transient nature of irritation reported </w:t>
      </w:r>
      <w:r w:rsidR="00ED2267">
        <w:rPr>
          <w:rFonts w:cs="Arial"/>
        </w:rPr>
        <w:t>near</w:t>
      </w:r>
      <w:r w:rsidR="00271E32">
        <w:rPr>
          <w:rFonts w:cs="Arial"/>
        </w:rPr>
        <w:t xml:space="preserve"> 200 ppm in </w:t>
      </w:r>
      <w:r w:rsidR="00ED2267">
        <w:rPr>
          <w:rFonts w:cs="Arial"/>
        </w:rPr>
        <w:t xml:space="preserve">atopic individuals and </w:t>
      </w:r>
      <w:r w:rsidR="00271E32">
        <w:rPr>
          <w:rFonts w:cs="Arial"/>
        </w:rPr>
        <w:t xml:space="preserve">animals, </w:t>
      </w:r>
      <w:r w:rsidR="00254CA3">
        <w:rPr>
          <w:rFonts w:cs="Arial"/>
        </w:rPr>
        <w:t xml:space="preserve">the </w:t>
      </w:r>
      <w:r w:rsidR="00271E32">
        <w:rPr>
          <w:rFonts w:cs="Arial"/>
        </w:rPr>
        <w:t xml:space="preserve">STEL of 150 ppm </w:t>
      </w:r>
      <w:r w:rsidR="001D4438">
        <w:rPr>
          <w:rFonts w:cs="Arial"/>
        </w:rPr>
        <w:t xml:space="preserve">assigned </w:t>
      </w:r>
      <w:r w:rsidR="00254CA3">
        <w:rPr>
          <w:rFonts w:cs="Arial"/>
        </w:rPr>
        <w:t>by ACGIH</w:t>
      </w:r>
      <w:r w:rsidR="001D4438">
        <w:rPr>
          <w:rFonts w:cs="Arial"/>
        </w:rPr>
        <w:t xml:space="preserve"> (2018)</w:t>
      </w:r>
      <w:r w:rsidR="00254CA3">
        <w:rPr>
          <w:rFonts w:cs="Arial"/>
        </w:rPr>
        <w:t xml:space="preserve"> </w:t>
      </w:r>
      <w:r w:rsidR="00271E32">
        <w:rPr>
          <w:rFonts w:cs="Arial"/>
        </w:rPr>
        <w:t xml:space="preserve">is </w:t>
      </w:r>
      <w:r w:rsidR="00254CA3">
        <w:rPr>
          <w:rFonts w:cs="Arial"/>
        </w:rPr>
        <w:t xml:space="preserve">expected to be protective of these critical effects and is </w:t>
      </w:r>
      <w:r w:rsidR="00271E32">
        <w:rPr>
          <w:rFonts w:cs="Arial"/>
        </w:rPr>
        <w:t xml:space="preserve">recommended </w:t>
      </w:r>
      <w:r w:rsidR="00254CA3">
        <w:rPr>
          <w:rFonts w:cs="Arial"/>
        </w:rPr>
        <w:t>to be adopted</w:t>
      </w:r>
      <w:r w:rsidR="00271E32">
        <w:rPr>
          <w:rFonts w:cs="Arial"/>
        </w:rPr>
        <w:t xml:space="preserve">. </w:t>
      </w:r>
    </w:p>
    <w:p w14:paraId="59860DBD" w14:textId="77777777" w:rsidR="004529F0" w:rsidRPr="004C23F4" w:rsidRDefault="004529F0" w:rsidP="007A4BAA">
      <w:pPr>
        <w:pStyle w:val="Heading2"/>
      </w:pPr>
      <w:r>
        <w:lastRenderedPageBreak/>
        <w:t>Recommendation for notations</w:t>
      </w:r>
    </w:p>
    <w:p w14:paraId="6489E8E0" w14:textId="645115FD" w:rsidR="00EE5DC5" w:rsidRDefault="00EE5DC5" w:rsidP="003B2E41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 Classification an</w:t>
      </w:r>
      <w:r w:rsidR="00271E32">
        <w:rPr>
          <w:rFonts w:cs="Arial"/>
        </w:rPr>
        <w:t>d Labelling o</w:t>
      </w:r>
      <w:r w:rsidR="007A4BAA">
        <w:rPr>
          <w:rFonts w:cs="Arial"/>
        </w:rPr>
        <w:t>f</w:t>
      </w:r>
      <w:r w:rsidR="00271E32">
        <w:rPr>
          <w:rFonts w:cs="Arial"/>
        </w:rPr>
        <w:t xml:space="preserve"> Chemicals (GHS).</w:t>
      </w:r>
    </w:p>
    <w:p w14:paraId="19B7BFBB" w14:textId="4D19FEA3" w:rsidR="00EE5DC5" w:rsidRDefault="00EE5DC5" w:rsidP="003B2E41">
      <w:pPr>
        <w:keepNext/>
        <w:rPr>
          <w:rFonts w:cs="Arial"/>
        </w:rPr>
      </w:pPr>
      <w:r>
        <w:rPr>
          <w:rFonts w:cs="Arial"/>
        </w:rPr>
        <w:t xml:space="preserve">Not classified as a skin </w:t>
      </w:r>
      <w:r w:rsidR="007A4BAA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3943210E" w14:textId="5185E21C" w:rsidR="00EE5DC5" w:rsidRDefault="000F5F82" w:rsidP="003B2E41">
      <w:pPr>
        <w:keepNext/>
        <w:rPr>
          <w:rFonts w:cs="Arial"/>
        </w:rPr>
      </w:pPr>
      <w:r>
        <w:rPr>
          <w:rFonts w:cs="Arial"/>
        </w:rPr>
        <w:t xml:space="preserve">There are </w:t>
      </w:r>
      <w:r w:rsidR="007E4C35">
        <w:rPr>
          <w:rFonts w:cs="Arial"/>
        </w:rPr>
        <w:t>i</w:t>
      </w:r>
      <w:r w:rsidR="00EE5DC5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EE5DC5">
        <w:rPr>
          <w:rFonts w:cs="Arial"/>
        </w:rPr>
        <w:t>to recommend a skin notation.</w:t>
      </w:r>
    </w:p>
    <w:p w14:paraId="0FA61DED" w14:textId="443D1370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2D6BAA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2C3834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370F65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1909A0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63FDBC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FA69F73" w14:textId="7BEF13A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E5DC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E5DC5">
                  <w:t xml:space="preserve">TWA: </w:t>
                </w:r>
                <w:r w:rsidR="00071883">
                  <w:t>200 ppm (705</w:t>
                </w:r>
                <w:r w:rsidR="00EE5DC5">
                  <w:t xml:space="preserve"> mg/m</w:t>
                </w:r>
                <w:r w:rsidR="00EE5DC5" w:rsidRPr="00EE5DC5">
                  <w:rPr>
                    <w:vertAlign w:val="superscript"/>
                  </w:rPr>
                  <w:t>3</w:t>
                </w:r>
                <w:r w:rsidR="00071883">
                  <w:t>); STEL: 250 ppm (881 mg/m</w:t>
                </w:r>
                <w:r w:rsidR="00071883">
                  <w:rPr>
                    <w:vertAlign w:val="superscript"/>
                  </w:rPr>
                  <w:t>3</w:t>
                </w:r>
                <w:r w:rsidR="00071883">
                  <w:t>)</w:t>
                </w:r>
              </w:sdtContent>
            </w:sdt>
          </w:p>
        </w:tc>
      </w:tr>
      <w:tr w:rsidR="00C978F0" w:rsidRPr="00DA352E" w14:paraId="6C51A65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DEB1A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3BF0F5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670F35" w14:textId="7C1B463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01342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13645">
                  <w:t>TLV-</w:t>
                </w:r>
                <w:r w:rsidR="00071883">
                  <w:t>STEL</w:t>
                </w:r>
                <w:r w:rsidR="00913645">
                  <w:t xml:space="preserve">: </w:t>
                </w:r>
                <w:r w:rsidR="00071883">
                  <w:t>150 ppm (529</w:t>
                </w:r>
                <w:r w:rsidR="00913645">
                  <w:t xml:space="preserve"> mg/m</w:t>
                </w:r>
                <w:r w:rsidR="00913645" w:rsidRPr="00913645">
                  <w:rPr>
                    <w:vertAlign w:val="superscript"/>
                  </w:rPr>
                  <w:t>3</w:t>
                </w:r>
                <w:r w:rsidR="00071883">
                  <w:t>)</w:t>
                </w:r>
              </w:sdtContent>
            </w:sdt>
          </w:p>
        </w:tc>
      </w:tr>
      <w:tr w:rsidR="00C978F0" w:rsidRPr="00DA352E" w14:paraId="6819EA1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3FBD67" w14:textId="7FAA969E" w:rsidR="00C978F0" w:rsidRDefault="00071883" w:rsidP="003365A5">
            <w:pPr>
              <w:pStyle w:val="Tabletextprimarysource"/>
            </w:pPr>
            <w:r>
              <w:t xml:space="preserve">TLV-STEL intended to protect for bronchoconstriction, decreased respiratory rate and irritation to the eyes. </w:t>
            </w:r>
          </w:p>
          <w:p w14:paraId="1218E94C" w14:textId="77777777" w:rsidR="00071883" w:rsidRDefault="00071883" w:rsidP="003365A5">
            <w:pPr>
              <w:pStyle w:val="Tabletextprimarysource"/>
            </w:pPr>
            <w:r>
              <w:t>Summary of data:</w:t>
            </w:r>
          </w:p>
          <w:p w14:paraId="030B54BA" w14:textId="45C37302" w:rsidR="006D4F0D" w:rsidRDefault="009A59B8" w:rsidP="003365A5">
            <w:pPr>
              <w:pStyle w:val="Tabletextprimarysource"/>
            </w:pPr>
            <w:r>
              <w:t xml:space="preserve">TLV-STEL </w:t>
            </w:r>
            <w:r w:rsidR="00B616D1">
              <w:t xml:space="preserve">of 150 ppm </w:t>
            </w:r>
            <w:r>
              <w:t>based on weight of evidence from limited human and animal data including respective NOAE</w:t>
            </w:r>
            <w:r w:rsidR="001D4438">
              <w:t>C</w:t>
            </w:r>
            <w:r>
              <w:t xml:space="preserve"> of 178 ppm and 564 ppm for reversible decreases in tidal volume and respiratory rate, and bronchoconstriction</w:t>
            </w:r>
            <w:r w:rsidR="00B616D1">
              <w:t>, respectively,</w:t>
            </w:r>
            <w:r>
              <w:t xml:space="preserve"> in an atopic volunteer at 200 ppm. </w:t>
            </w:r>
          </w:p>
          <w:p w14:paraId="1B093890" w14:textId="1804966B" w:rsidR="00071883" w:rsidRDefault="009A59B8" w:rsidP="003365A5">
            <w:pPr>
              <w:pStyle w:val="Tabletextprimarysource"/>
            </w:pPr>
            <w:r>
              <w:t>Critical effects observed in the atopic volunteer are considered in the TLV-STEL recommendation as 25–30% of the population</w:t>
            </w:r>
            <w:r w:rsidR="00F10CB8">
              <w:t xml:space="preserve"> are</w:t>
            </w:r>
            <w:r>
              <w:t xml:space="preserve"> atopic.</w:t>
            </w:r>
          </w:p>
          <w:p w14:paraId="6FCCBC8A" w14:textId="77777777" w:rsidR="00071883" w:rsidRDefault="00071883" w:rsidP="003365A5">
            <w:pPr>
              <w:pStyle w:val="Tabletextprimarysource"/>
            </w:pPr>
            <w:r>
              <w:t>Human data:</w:t>
            </w:r>
          </w:p>
          <w:p w14:paraId="2DF110AA" w14:textId="38804FDD" w:rsidR="00071883" w:rsidRDefault="00071883" w:rsidP="00071883">
            <w:pPr>
              <w:pStyle w:val="Tabletextprimarysource"/>
              <w:numPr>
                <w:ilvl w:val="0"/>
                <w:numId w:val="1"/>
              </w:numPr>
            </w:pPr>
            <w:r>
              <w:t>Odour threshold: 11 ppm</w:t>
            </w:r>
          </w:p>
          <w:p w14:paraId="28B1B7A6" w14:textId="69FFA355" w:rsidR="008F7C6F" w:rsidRDefault="008F7C6F" w:rsidP="008F7C6F">
            <w:pPr>
              <w:pStyle w:val="Tabletextprimarysource"/>
              <w:numPr>
                <w:ilvl w:val="0"/>
                <w:numId w:val="1"/>
              </w:numPr>
            </w:pPr>
            <w:r>
              <w:t>Upper respiratory tract and eye irritation at 1,500 ppm (no further details provided)</w:t>
            </w:r>
          </w:p>
          <w:p w14:paraId="0B91BC48" w14:textId="525C6655" w:rsidR="008F7C6F" w:rsidRDefault="008F402E" w:rsidP="00071883">
            <w:pPr>
              <w:pStyle w:val="Tabletextprimarysource"/>
              <w:numPr>
                <w:ilvl w:val="0"/>
                <w:numId w:val="1"/>
              </w:numPr>
            </w:pPr>
            <w:r>
              <w:t>Eye irritation at 400 ppm, no irritation at 200 ppm in volu</w:t>
            </w:r>
            <w:r w:rsidR="003B2E41">
              <w:t>nteer inhalation study (n=2, 15 </w:t>
            </w:r>
            <w:r>
              <w:t>s</w:t>
            </w:r>
            <w:r w:rsidR="003B2E41">
              <w:t>ec</w:t>
            </w:r>
            <w:r>
              <w:t>)</w:t>
            </w:r>
          </w:p>
          <w:p w14:paraId="1CF33B43" w14:textId="5E110D13" w:rsidR="004400C5" w:rsidRDefault="004400C5" w:rsidP="00071883">
            <w:pPr>
              <w:pStyle w:val="Tabletextprimarysource"/>
              <w:numPr>
                <w:ilvl w:val="0"/>
                <w:numId w:val="1"/>
              </w:numPr>
            </w:pPr>
            <w:r>
              <w:t>Uptake rate of inhaled dose at 100 ppm reported as 53% in inhalational study with healthy volunteers (n=4, 10 min)</w:t>
            </w:r>
          </w:p>
          <w:p w14:paraId="2187D175" w14:textId="77777777" w:rsidR="008F402E" w:rsidRDefault="008F7C6F" w:rsidP="0007188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Bronchoconstriction measured by airway resistance </w:t>
            </w:r>
            <w:r w:rsidR="008F402E">
              <w:t xml:space="preserve">reported in small volunteer </w:t>
            </w:r>
            <w:proofErr w:type="gramStart"/>
            <w:r w:rsidR="008F402E">
              <w:t>study;</w:t>
            </w:r>
            <w:proofErr w:type="gramEnd"/>
          </w:p>
          <w:p w14:paraId="2D84A26F" w14:textId="434575B3" w:rsidR="0046587C" w:rsidRDefault="008F402E" w:rsidP="003B2E41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200 ppm produced 29.4% airway resistance, and 57.4% resistance at 400 ppm in </w:t>
            </w:r>
            <w:r w:rsidR="00B616D1">
              <w:t xml:space="preserve">one </w:t>
            </w:r>
            <w:r>
              <w:t>volunteer</w:t>
            </w:r>
            <w:r w:rsidR="009A59B8">
              <w:t xml:space="preserve"> (durations not specified, but </w:t>
            </w:r>
            <w:r w:rsidR="004B7D15">
              <w:t>cited as</w:t>
            </w:r>
            <w:r w:rsidR="009A59B8">
              <w:t xml:space="preserve"> </w:t>
            </w:r>
            <w:r w:rsidR="004B7D15">
              <w:t>short-term</w:t>
            </w:r>
            <w:r w:rsidR="009A59B8">
              <w:t>)</w:t>
            </w:r>
          </w:p>
          <w:p w14:paraId="77FC3CA2" w14:textId="0BE6CE9F" w:rsidR="008F402E" w:rsidRDefault="00B616D1" w:rsidP="003B2E41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one </w:t>
            </w:r>
            <w:r w:rsidR="008F402E">
              <w:t xml:space="preserve">other volunteer </w:t>
            </w:r>
            <w:r>
              <w:t xml:space="preserve">had a </w:t>
            </w:r>
            <w:r w:rsidR="008F402E">
              <w:t xml:space="preserve">slight increase in resistance (1.6%) at 400 ppm; </w:t>
            </w:r>
            <w:r w:rsidR="007A4BAA">
              <w:t>2</w:t>
            </w:r>
            <w:r w:rsidR="008F402E">
              <w:t xml:space="preserve"> others showed no</w:t>
            </w:r>
            <w:r w:rsidR="00A70EFA">
              <w:t>ne</w:t>
            </w:r>
          </w:p>
          <w:p w14:paraId="441FED72" w14:textId="292D67E7" w:rsidR="008F402E" w:rsidRDefault="00B616D1" w:rsidP="003B2E41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one </w:t>
            </w:r>
            <w:r w:rsidR="008F402E">
              <w:t xml:space="preserve">non-atopic volunteer </w:t>
            </w:r>
            <w:r>
              <w:t xml:space="preserve">had a </w:t>
            </w:r>
            <w:r w:rsidR="008F402E">
              <w:t>37.2% resistance at 600 ppm; both atopic and non-atopic volunteers (n=2) exhibited bronchoconstriction at 800 ppm</w:t>
            </w:r>
            <w:r w:rsidR="007A4BAA">
              <w:t>.</w:t>
            </w:r>
          </w:p>
          <w:p w14:paraId="7DDF53C8" w14:textId="77777777" w:rsidR="00071883" w:rsidRDefault="00071883" w:rsidP="003365A5">
            <w:pPr>
              <w:pStyle w:val="Tabletextprimarysource"/>
            </w:pPr>
            <w:r>
              <w:t>Animal data:</w:t>
            </w:r>
          </w:p>
          <w:p w14:paraId="71683967" w14:textId="4E612FF2" w:rsidR="00E24711" w:rsidRDefault="00D01342" w:rsidP="00071883">
            <w:pPr>
              <w:pStyle w:val="Tabletextprimarysource"/>
              <w:numPr>
                <w:ilvl w:val="0"/>
                <w:numId w:val="1"/>
              </w:numPr>
            </w:pPr>
            <w:r>
              <w:t>Lethal pulmonary oedema at 50,000 ppm (50 min) and 13,000 ppm (300 min)</w:t>
            </w:r>
            <w:r w:rsidR="00E24711">
              <w:t xml:space="preserve">; lachrymation, coughing and nasal discharge at 10,000 ppm (10 min), necropsy showed pulmonary and adrenal congestion, </w:t>
            </w:r>
            <w:proofErr w:type="spellStart"/>
            <w:r w:rsidR="00E24711">
              <w:t>haemosiderosis</w:t>
            </w:r>
            <w:proofErr w:type="spellEnd"/>
            <w:r w:rsidR="00E24711">
              <w:t>, splenic haemorrhaging and fatty liver</w:t>
            </w:r>
          </w:p>
          <w:p w14:paraId="27A2106A" w14:textId="1308419A" w:rsidR="00071883" w:rsidRDefault="00D01342" w:rsidP="003B2E41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non-lethal at 5,000 ppm (810</w:t>
            </w:r>
            <w:r w:rsidR="007A4BAA">
              <w:t xml:space="preserve"> </w:t>
            </w:r>
            <w:r>
              <w:t>min) with narcotic effects after 460–710 min resulting in coma, eye irritation after 3 min (guinea pigs)</w:t>
            </w:r>
          </w:p>
          <w:p w14:paraId="491B65F0" w14:textId="3EC96E0D" w:rsidR="00D01342" w:rsidRDefault="00D01342" w:rsidP="003B2E41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slight or no signs of gross pathology at 5,000 ppm (1 h) or 2,000 ppm (8 h)</w:t>
            </w:r>
          </w:p>
          <w:p w14:paraId="79D4AB9B" w14:textId="5F2EFDDD" w:rsidR="00D01342" w:rsidRDefault="00D01342" w:rsidP="00D01342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&gt;2,000 ppm (rats, 4 h); narcosis, cardiac/respiratory rate depression reported</w:t>
            </w:r>
          </w:p>
          <w:p w14:paraId="4F09FD80" w14:textId="39B1BEED" w:rsidR="00D01342" w:rsidRDefault="00E24711" w:rsidP="00D01342">
            <w:pPr>
              <w:pStyle w:val="Tabletextprimarysource"/>
              <w:numPr>
                <w:ilvl w:val="0"/>
                <w:numId w:val="1"/>
              </w:numPr>
            </w:pPr>
            <w:r>
              <w:t>Median respiratory depression (RD</w:t>
            </w:r>
            <w:r>
              <w:rPr>
                <w:vertAlign w:val="subscript"/>
              </w:rPr>
              <w:t>50</w:t>
            </w:r>
            <w:r>
              <w:t>): 12,832 ppm (mice, 10 min); NOAE</w:t>
            </w:r>
            <w:r w:rsidR="001D4438">
              <w:t>C</w:t>
            </w:r>
            <w:r>
              <w:t xml:space="preserve"> 970 ppm (2 min)</w:t>
            </w:r>
            <w:r w:rsidR="00ED0D29">
              <w:t>; concentration dependent decrease in tidal volume within 30 min with NOAE</w:t>
            </w:r>
            <w:r w:rsidR="001D4438">
              <w:t>C</w:t>
            </w:r>
            <w:r w:rsidR="00ED0D29">
              <w:t xml:space="preserve">s: 340 ppm (10 min), 178 ppm (30 min); effects reversible (recovery period not specified) </w:t>
            </w:r>
          </w:p>
          <w:p w14:paraId="3885D7AD" w14:textId="01793D32" w:rsidR="00ED0D29" w:rsidRDefault="0046587C" w:rsidP="00D0134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Potentiation of kidney and liver toxicity from </w:t>
            </w:r>
            <w:r w:rsidR="006D4F0D">
              <w:t xml:space="preserve">IP </w:t>
            </w:r>
            <w:r>
              <w:t>injected chloroform in single dose study, and is consistent with such potentiation seen for other ketones</w:t>
            </w:r>
          </w:p>
          <w:p w14:paraId="39EE6321" w14:textId="3819D366" w:rsidR="0046587C" w:rsidRDefault="0046587C" w:rsidP="00D0134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Negative genotoxicity in standardised </w:t>
            </w:r>
            <w:r>
              <w:rPr>
                <w:i/>
              </w:rPr>
              <w:t>in vitro</w:t>
            </w:r>
            <w:r>
              <w:t xml:space="preserve"> assays in bacteria</w:t>
            </w:r>
            <w:r w:rsidR="007A4BAA">
              <w:t>.</w:t>
            </w:r>
          </w:p>
          <w:p w14:paraId="51CFD0C9" w14:textId="77777777" w:rsidR="006D4F0D" w:rsidRDefault="006D4F0D" w:rsidP="00CF0191">
            <w:pPr>
              <w:pStyle w:val="Tabletextprimarysource"/>
            </w:pPr>
          </w:p>
          <w:p w14:paraId="16CE4437" w14:textId="232D5852" w:rsidR="00071883" w:rsidRDefault="00071883" w:rsidP="003365A5">
            <w:pPr>
              <w:pStyle w:val="Tabletextprimarysource"/>
            </w:pPr>
            <w:r>
              <w:t>Insufficient data to recommend notations for carcinogenicity, skin absorption and sensitisation.</w:t>
            </w:r>
          </w:p>
          <w:p w14:paraId="03BC4118" w14:textId="0D191884" w:rsidR="006D4F0D" w:rsidRPr="00DA352E" w:rsidRDefault="006D4F0D" w:rsidP="003365A5">
            <w:pPr>
              <w:pStyle w:val="Tabletextprimarysource"/>
            </w:pPr>
          </w:p>
        </w:tc>
      </w:tr>
      <w:tr w:rsidR="00C978F0" w:rsidRPr="00DA352E" w14:paraId="54F185D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367349" w14:textId="6164FEA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6587C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6587C">
                  <w:t>not established</w:t>
                </w:r>
              </w:sdtContent>
            </w:sdt>
          </w:p>
        </w:tc>
      </w:tr>
      <w:tr w:rsidR="00C978F0" w:rsidRPr="00DA352E" w14:paraId="4918E6F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D37620" w14:textId="0A0A0E5A" w:rsidR="00A96A72" w:rsidRDefault="00A96A72" w:rsidP="003365A5">
            <w:pPr>
              <w:pStyle w:val="Tabletextprimarysource"/>
            </w:pPr>
            <w:r>
              <w:t>Summary of additional data:</w:t>
            </w:r>
          </w:p>
          <w:p w14:paraId="61D02BAC" w14:textId="77777777" w:rsidR="006D4F0D" w:rsidRDefault="00A96A72" w:rsidP="003365A5">
            <w:pPr>
              <w:pStyle w:val="Tabletextprimarysource"/>
            </w:pPr>
            <w:r>
              <w:t xml:space="preserve">Previous 1958 MAK of 200 ppm withdrawn due to lack of suitable human and animal data. </w:t>
            </w:r>
          </w:p>
          <w:p w14:paraId="5BF416F3" w14:textId="48C2CDEF" w:rsidR="006D4F0D" w:rsidRDefault="00A96A72" w:rsidP="003365A5">
            <w:pPr>
              <w:pStyle w:val="Tabletextprimarysource"/>
            </w:pPr>
            <w:r>
              <w:t xml:space="preserve">Critical effects are eye and upper respiratory and </w:t>
            </w:r>
            <w:r w:rsidR="006D4F0D">
              <w:t>CNS</w:t>
            </w:r>
            <w:r>
              <w:t xml:space="preserve"> depression; a threshold for these effects cannot be determined from the available data.</w:t>
            </w:r>
            <w:r w:rsidR="008D3985">
              <w:t xml:space="preserve"> </w:t>
            </w:r>
          </w:p>
          <w:p w14:paraId="64BB6AE7" w14:textId="61B0F000" w:rsidR="00A96A72" w:rsidRDefault="008D3985" w:rsidP="003365A5">
            <w:pPr>
              <w:pStyle w:val="Tabletextprimarysource"/>
            </w:pPr>
            <w:r>
              <w:t xml:space="preserve">Toxic effects likely caused by non-covalent interactions of the substance with mucosal and neuronal membranes; systemically available substance is mostly eliminated </w:t>
            </w:r>
            <w:r w:rsidRPr="00CF0191">
              <w:rPr>
                <w:i/>
              </w:rPr>
              <w:t>via</w:t>
            </w:r>
            <w:r>
              <w:t xml:space="preserve"> the lungs.</w:t>
            </w:r>
          </w:p>
          <w:p w14:paraId="1FD25D7B" w14:textId="6CBD8473" w:rsidR="00A96A72" w:rsidRDefault="00A96A72" w:rsidP="003365A5">
            <w:pPr>
              <w:pStyle w:val="Tabletextprimarysource"/>
            </w:pPr>
            <w:r>
              <w:t>Human data:</w:t>
            </w:r>
          </w:p>
          <w:p w14:paraId="6FC75B09" w14:textId="46AEF409" w:rsidR="008D3985" w:rsidRDefault="000D4791" w:rsidP="00951DAF">
            <w:pPr>
              <w:pStyle w:val="Tabletextprimarysource"/>
              <w:numPr>
                <w:ilvl w:val="0"/>
                <w:numId w:val="1"/>
              </w:numPr>
            </w:pPr>
            <w:r>
              <w:t>Acute exposure causes irritation to the mucous membranes of the eyes and upper respiratory tract</w:t>
            </w:r>
            <w:r w:rsidR="007A4BAA">
              <w:t>.</w:t>
            </w:r>
          </w:p>
          <w:p w14:paraId="0BD164E4" w14:textId="49ED7736" w:rsidR="00A96A72" w:rsidRDefault="00A96A72" w:rsidP="003365A5">
            <w:pPr>
              <w:pStyle w:val="Tabletextprimarysource"/>
            </w:pPr>
            <w:r>
              <w:t>Animal data:</w:t>
            </w:r>
          </w:p>
          <w:p w14:paraId="070FA9A3" w14:textId="463AE640" w:rsidR="00951DAF" w:rsidRDefault="001019B0" w:rsidP="00951DAF">
            <w:pPr>
              <w:pStyle w:val="Tabletextprimarysource"/>
              <w:numPr>
                <w:ilvl w:val="0"/>
                <w:numId w:val="1"/>
              </w:numPr>
            </w:pPr>
            <w:r>
              <w:t>Concentration-</w:t>
            </w:r>
            <w:r w:rsidR="008D3985">
              <w:t xml:space="preserve">dependent decrease in rest periods </w:t>
            </w:r>
            <w:r>
              <w:t>during</w:t>
            </w:r>
            <w:r w:rsidR="008D3985">
              <w:t xml:space="preserve"> swimming test </w:t>
            </w:r>
            <w:r>
              <w:t xml:space="preserve">in acute inhalational study </w:t>
            </w:r>
            <w:r w:rsidR="008D3985">
              <w:t>with treatment range: 976–1965 ppm (mice, 4 h); 50% decrease at 1,346</w:t>
            </w:r>
            <w:r>
              <w:t> </w:t>
            </w:r>
            <w:r w:rsidR="008D3985">
              <w:t>ppm</w:t>
            </w:r>
          </w:p>
          <w:p w14:paraId="20D43681" w14:textId="74632A41" w:rsidR="00951DAF" w:rsidRDefault="00951DAF" w:rsidP="00951DA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Co-administration with methyl butyl ketone in a </w:t>
            </w:r>
            <w:proofErr w:type="spellStart"/>
            <w:r>
              <w:t>subchronic</w:t>
            </w:r>
            <w:proofErr w:type="spellEnd"/>
            <w:r>
              <w:t xml:space="preserve"> </w:t>
            </w:r>
            <w:proofErr w:type="gramStart"/>
            <w:r>
              <w:t>repeat</w:t>
            </w:r>
            <w:proofErr w:type="gramEnd"/>
            <w:r>
              <w:t xml:space="preserve"> subcutaneous injection study increased susceptibility to neurotoxic effects of </w:t>
            </w:r>
            <w:r w:rsidR="006D4F0D">
              <w:t>MPK</w:t>
            </w:r>
            <w:r>
              <w:t xml:space="preserve"> (rats, 5 d/</w:t>
            </w:r>
            <w:proofErr w:type="spellStart"/>
            <w:r>
              <w:t>wk</w:t>
            </w:r>
            <w:proofErr w:type="spellEnd"/>
            <w:r>
              <w:t>, 20 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69C17399" w14:textId="40D4DC34" w:rsidR="000D4791" w:rsidRDefault="000D4791" w:rsidP="000D479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</w:t>
            </w:r>
            <w:r>
              <w:rPr>
                <w:i/>
              </w:rPr>
              <w:t>Salmonella</w:t>
            </w:r>
            <w:r w:rsidR="00951DAF">
              <w:t xml:space="preserve">, increased aneuploidy reported </w:t>
            </w:r>
            <w:r w:rsidR="009E62B5">
              <w:t xml:space="preserve">in </w:t>
            </w:r>
            <w:r w:rsidR="009E62B5">
              <w:rPr>
                <w:i/>
              </w:rPr>
              <w:t xml:space="preserve">S. cerevisiae </w:t>
            </w:r>
            <w:r w:rsidR="00951DAF">
              <w:t>at excessive concentrations in the test medium (1.48%)</w:t>
            </w:r>
            <w:r w:rsidR="007A4BAA">
              <w:t>.</w:t>
            </w:r>
          </w:p>
          <w:p w14:paraId="11DBFF57" w14:textId="77777777" w:rsidR="006D4F0D" w:rsidRDefault="006D4F0D" w:rsidP="003365A5">
            <w:pPr>
              <w:pStyle w:val="Tabletextprimarysource"/>
            </w:pPr>
          </w:p>
          <w:p w14:paraId="4F5043CC" w14:textId="77777777" w:rsidR="00A96A72" w:rsidRDefault="00A96A72" w:rsidP="003365A5">
            <w:pPr>
              <w:pStyle w:val="Tabletextprimarysource"/>
            </w:pPr>
            <w:r>
              <w:t>Insufficient data to assign notations for carcinogenicity, skin absorption, and sensitisation.</w:t>
            </w:r>
          </w:p>
          <w:p w14:paraId="50A79C02" w14:textId="5B1BA9DC" w:rsidR="006D4F0D" w:rsidRPr="00DA352E" w:rsidRDefault="006D4F0D" w:rsidP="003365A5">
            <w:pPr>
              <w:pStyle w:val="Tabletextprimarysource"/>
            </w:pPr>
          </w:p>
        </w:tc>
      </w:tr>
      <w:tr w:rsidR="00C978F0" w:rsidRPr="00DA352E" w14:paraId="27C66FF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60B32B" w14:textId="04EE3D8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1364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13645">
                  <w:t>NA</w:t>
                </w:r>
                <w:proofErr w:type="spellEnd"/>
              </w:sdtContent>
            </w:sdt>
          </w:p>
        </w:tc>
      </w:tr>
      <w:tr w:rsidR="00C978F0" w:rsidRPr="00DA352E" w14:paraId="07D5627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2C2D797" w14:textId="4110960D" w:rsidR="00C978F0" w:rsidRPr="00DA352E" w:rsidRDefault="00913645" w:rsidP="003365A5">
            <w:pPr>
              <w:pStyle w:val="Tabletextprimarysource"/>
            </w:pPr>
            <w:r>
              <w:t>No report</w:t>
            </w:r>
            <w:r w:rsidR="007A4BAA">
              <w:t>.</w:t>
            </w:r>
          </w:p>
        </w:tc>
      </w:tr>
      <w:tr w:rsidR="00DA352E" w:rsidRPr="00DA352E" w14:paraId="31B6A9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2E77CD" w14:textId="765B94F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1364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13645">
                  <w:t>NA</w:t>
                </w:r>
              </w:sdtContent>
            </w:sdt>
          </w:p>
        </w:tc>
      </w:tr>
      <w:tr w:rsidR="00DA352E" w:rsidRPr="00DA352E" w14:paraId="2F173D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8E09B5" w14:textId="34593E6D" w:rsidR="00DA352E" w:rsidRPr="00DA352E" w:rsidRDefault="00913645" w:rsidP="003365A5">
            <w:pPr>
              <w:pStyle w:val="Tabletextprimarysource"/>
            </w:pPr>
            <w:r>
              <w:t>No report</w:t>
            </w:r>
            <w:r w:rsidR="007A4BAA">
              <w:t>.</w:t>
            </w:r>
          </w:p>
        </w:tc>
      </w:tr>
      <w:tr w:rsidR="00DA352E" w:rsidRPr="00DA352E" w14:paraId="1DD1024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AAF04A" w14:textId="2EB8134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F7C6F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F7C6F">
                  <w:t>TWA: 200 ppm (700 mg/m</w:t>
                </w:r>
                <w:r w:rsidR="008F7C6F">
                  <w:rPr>
                    <w:vertAlign w:val="superscript"/>
                  </w:rPr>
                  <w:t>3</w:t>
                </w:r>
                <w:r w:rsidR="008F7C6F">
                  <w:t>)</w:t>
                </w:r>
              </w:sdtContent>
            </w:sdt>
          </w:p>
        </w:tc>
      </w:tr>
      <w:tr w:rsidR="00DA352E" w:rsidRPr="00DA352E" w14:paraId="478AE3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24E1FC" w14:textId="162B9BAA" w:rsidR="00DA352E" w:rsidRDefault="004400C5" w:rsidP="003365A5">
            <w:pPr>
              <w:pStyle w:val="Tabletextprimarysource"/>
            </w:pPr>
            <w:r>
              <w:t>Summary of additional data:</w:t>
            </w:r>
          </w:p>
          <w:p w14:paraId="21FF8C45" w14:textId="3F06D9AA" w:rsidR="009E62B5" w:rsidRDefault="009E62B5" w:rsidP="003365A5">
            <w:pPr>
              <w:pStyle w:val="Tabletextprimarysource"/>
            </w:pPr>
            <w:r>
              <w:t>Current administrative OEL is set at 200 ppm</w:t>
            </w:r>
            <w:r w:rsidR="004B7D15">
              <w:t xml:space="preserve">; </w:t>
            </w:r>
            <w:r>
              <w:t>available toxicological database is however too limited to recommend a health-based value or comment on the suitability of the current administrative OEL.</w:t>
            </w:r>
          </w:p>
          <w:p w14:paraId="0D2513CF" w14:textId="77777777" w:rsidR="004400C5" w:rsidRDefault="004400C5" w:rsidP="003365A5">
            <w:pPr>
              <w:pStyle w:val="Tabletextprimarysource"/>
            </w:pPr>
            <w:r>
              <w:t>Human data:</w:t>
            </w:r>
          </w:p>
          <w:p w14:paraId="7DE9CD05" w14:textId="41CFC3CE" w:rsidR="004400C5" w:rsidRDefault="004400C5" w:rsidP="004400C5">
            <w:pPr>
              <w:pStyle w:val="Tabletextprimarysource"/>
              <w:numPr>
                <w:ilvl w:val="0"/>
                <w:numId w:val="1"/>
              </w:numPr>
            </w:pPr>
            <w:r>
              <w:t>Very irritating at 2,000–4,000 ppm; strong odour, and eye and nose irritation at 1,500</w:t>
            </w:r>
            <w:r w:rsidR="007E4C35">
              <w:t> </w:t>
            </w:r>
            <w:r>
              <w:t>ppm (no further details provided, also cited in ACGIH, 2018)</w:t>
            </w:r>
          </w:p>
          <w:p w14:paraId="3F28373D" w14:textId="135AC07A" w:rsidR="004400C5" w:rsidRDefault="004400C5" w:rsidP="004400C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Separate study reported eye irritation threshold </w:t>
            </w:r>
            <w:r w:rsidR="007E4C35">
              <w:t xml:space="preserve">at </w:t>
            </w:r>
            <w:r>
              <w:t>10,000 ppm (n=6 males, 4 females, age 19–30, duration not specified)</w:t>
            </w:r>
            <w:r w:rsidR="007A4BAA">
              <w:t>.</w:t>
            </w:r>
          </w:p>
          <w:p w14:paraId="7BC4423A" w14:textId="77777777" w:rsidR="004400C5" w:rsidRDefault="009E62B5" w:rsidP="009E62B5">
            <w:pPr>
              <w:pStyle w:val="Tabletextprimarysource"/>
            </w:pPr>
            <w:r>
              <w:t>Animal data:</w:t>
            </w:r>
          </w:p>
          <w:p w14:paraId="76521F62" w14:textId="5A979FDC" w:rsidR="009E62B5" w:rsidRPr="00DA352E" w:rsidRDefault="009E62B5" w:rsidP="009E62B5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6,472 mg/kg (rabbits</w:t>
            </w:r>
            <w:r w:rsidR="007E4C35">
              <w:t>, dermal</w:t>
            </w:r>
            <w:r>
              <w:t>)</w:t>
            </w:r>
            <w:r w:rsidR="00271E32">
              <w:t>.</w:t>
            </w:r>
          </w:p>
        </w:tc>
      </w:tr>
    </w:tbl>
    <w:p w14:paraId="364734F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2"/>
        <w:gridCol w:w="661"/>
        <w:gridCol w:w="6454"/>
      </w:tblGrid>
      <w:tr w:rsidR="004966BF" w:rsidRPr="00263255" w14:paraId="0E8F41C3" w14:textId="77777777" w:rsidTr="003B2E41">
        <w:trPr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64C7C4C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ED56A2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C561BC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4E758C2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C0A7B78" w14:textId="77777777" w:rsidTr="00CF0191">
        <w:tc>
          <w:tcPr>
            <w:tcW w:w="1489" w:type="dxa"/>
          </w:tcPr>
          <w:p w14:paraId="62B90188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6E7CA97A" w14:textId="7CD7D4FD" w:rsidR="004966BF" w:rsidRPr="00CE617F" w:rsidRDefault="00823F6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D3CC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F7E9CD0" w14:textId="474D713E" w:rsidR="004966BF" w:rsidRPr="004C23F4" w:rsidRDefault="0022651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4" w:type="dxa"/>
          </w:tcPr>
          <w:p w14:paraId="34E26FCF" w14:textId="08FA2D12" w:rsidR="004966BF" w:rsidRDefault="00980DE2" w:rsidP="00980DE2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DNEL for acute exposures derived from LOAEC of 7,235 ppm for increased respiration rate and ataxia in an acute inhalation study (rats, 4 h, nose only)</w:t>
            </w:r>
          </w:p>
          <w:p w14:paraId="0DF6FA4E" w14:textId="009FBCD9" w:rsidR="00980DE2" w:rsidRDefault="006D4F0D" w:rsidP="003B2E41">
            <w:pPr>
              <w:pStyle w:val="Tabletextprimarysource"/>
              <w:numPr>
                <w:ilvl w:val="1"/>
                <w:numId w:val="1"/>
              </w:numPr>
              <w:ind w:left="1156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>o</w:t>
            </w:r>
            <w:r w:rsidR="00980DE2">
              <w:rPr>
                <w:rStyle w:val="checkbox"/>
                <w:rFonts w:ascii="Arial" w:hAnsi="Arial" w:cs="Arial"/>
              </w:rPr>
              <w:t xml:space="preserve">verall UF </w:t>
            </w:r>
            <w:r w:rsidR="00FD3CCF">
              <w:rPr>
                <w:rStyle w:val="checkbox"/>
                <w:rFonts w:ascii="Arial" w:hAnsi="Arial" w:cs="Arial"/>
              </w:rPr>
              <w:t xml:space="preserve">of 9 applied to account for inter- and intraspecies differences and absence of an </w:t>
            </w:r>
            <w:r w:rsidR="00FD3CCF" w:rsidRPr="003B2E41">
              <w:t>experimentally</w:t>
            </w:r>
            <w:r w:rsidR="00FD3CCF">
              <w:rPr>
                <w:rStyle w:val="checkbox"/>
                <w:rFonts w:ascii="Arial" w:hAnsi="Arial" w:cs="Arial"/>
              </w:rPr>
              <w:t xml:space="preserve"> determined NOAEC to afford acute DNEL of 1</w:t>
            </w:r>
            <w:r w:rsidR="004B7D15">
              <w:rPr>
                <w:rStyle w:val="checkbox"/>
                <w:rFonts w:ascii="Arial" w:hAnsi="Arial" w:cs="Arial"/>
              </w:rPr>
              <w:t>,</w:t>
            </w:r>
            <w:r w:rsidR="00FD3CCF">
              <w:rPr>
                <w:rStyle w:val="checkbox"/>
                <w:rFonts w:ascii="Arial" w:hAnsi="Arial" w:cs="Arial"/>
              </w:rPr>
              <w:t>357 ppm</w:t>
            </w:r>
            <w:r w:rsidR="007A4BAA">
              <w:rPr>
                <w:rStyle w:val="checkbox"/>
                <w:rFonts w:ascii="Arial" w:hAnsi="Arial" w:cs="Arial"/>
              </w:rPr>
              <w:t>.</w:t>
            </w:r>
          </w:p>
          <w:p w14:paraId="77FFDE93" w14:textId="2E51015B" w:rsidR="00FD3CCF" w:rsidRDefault="00FD3CCF" w:rsidP="00FD3CCF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DNEL for long-term exposures derived from NOAEC of 750 ppm for systemic effects including organ weight changes in a </w:t>
            </w:r>
            <w:proofErr w:type="spellStart"/>
            <w:r>
              <w:rPr>
                <w:rStyle w:val="checkbox"/>
                <w:rFonts w:ascii="Arial" w:hAnsi="Arial" w:cs="Arial"/>
              </w:rPr>
              <w:t>subchronic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inhalation study (rats, 6 h/d,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13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</w:p>
          <w:p w14:paraId="7752BC30" w14:textId="0B1C71E1" w:rsidR="00FD3CCF" w:rsidRPr="00FD3CCF" w:rsidRDefault="006D4F0D" w:rsidP="003B2E41">
            <w:pPr>
              <w:pStyle w:val="Tabletextprimarysource"/>
              <w:numPr>
                <w:ilvl w:val="1"/>
                <w:numId w:val="1"/>
              </w:numPr>
              <w:ind w:left="1156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o</w:t>
            </w:r>
            <w:r w:rsidR="00FD3CCF">
              <w:rPr>
                <w:rStyle w:val="checkbox"/>
                <w:rFonts w:ascii="Arial" w:hAnsi="Arial" w:cs="Arial"/>
              </w:rPr>
              <w:t>verall UF of 6 applied to account for inter- and intraspecies differences and differences in exposure duration to afford the chronic DNEL of 60 ppm</w:t>
            </w:r>
            <w:r w:rsidR="007A4BAA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565E29C" w14:textId="77777777" w:rsidTr="003B2E41">
        <w:trPr>
          <w:cantSplit/>
        </w:trPr>
        <w:tc>
          <w:tcPr>
            <w:tcW w:w="1489" w:type="dxa"/>
          </w:tcPr>
          <w:p w14:paraId="2B33AEBE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2" w:type="dxa"/>
          </w:tcPr>
          <w:p w14:paraId="78C383EA" w14:textId="003981A4" w:rsidR="004966BF" w:rsidRDefault="00823F6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2651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FA8A07D" w14:textId="22ABF732" w:rsidR="004966BF" w:rsidRPr="004C23F4" w:rsidRDefault="0022651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4" w:type="dxa"/>
          </w:tcPr>
          <w:p w14:paraId="0321DE9D" w14:textId="564314D2" w:rsidR="004966BF" w:rsidRPr="004C23F4" w:rsidRDefault="0022651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22651D">
              <w:rPr>
                <w:rFonts w:cs="Arial"/>
              </w:rPr>
              <w:t>IDLH based on acute inhalation toxicity data in humans</w:t>
            </w:r>
            <w:r>
              <w:rPr>
                <w:rFonts w:cs="Arial"/>
              </w:rPr>
              <w:t xml:space="preserve"> and on 10% of the lower explosive limit of 1.5%.</w:t>
            </w:r>
          </w:p>
        </w:tc>
      </w:tr>
    </w:tbl>
    <w:bookmarkEnd w:id="0"/>
    <w:p w14:paraId="2A0336A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94A81EA" w14:textId="77777777" w:rsidTr="0022651D">
        <w:trPr>
          <w:trHeight w:val="454"/>
          <w:tblHeader/>
        </w:trPr>
        <w:tc>
          <w:tcPr>
            <w:tcW w:w="6603" w:type="dxa"/>
            <w:vAlign w:val="center"/>
          </w:tcPr>
          <w:p w14:paraId="5855342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7BDD969" w14:textId="590DBFD0" w:rsidR="002E0D61" w:rsidRDefault="0022651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EBDEA1F" w14:textId="77777777" w:rsidTr="0022651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0E27959" w14:textId="57A4EC96" w:rsidR="008A36CF" w:rsidRPr="006901A2" w:rsidRDefault="0022651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B5609A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ED1E6F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023BDD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5974B7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8368F4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96DAF9E" w14:textId="77777777" w:rsidTr="00812887">
        <w:trPr>
          <w:cantSplit/>
        </w:trPr>
        <w:tc>
          <w:tcPr>
            <w:tcW w:w="3227" w:type="dxa"/>
          </w:tcPr>
          <w:p w14:paraId="4635835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DFBA175" w14:textId="7A48EBEB" w:rsidR="00687890" w:rsidRPr="00DD2F9B" w:rsidRDefault="00071883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5C73C728" w14:textId="77777777" w:rsidTr="00812887">
        <w:trPr>
          <w:cantSplit/>
        </w:trPr>
        <w:tc>
          <w:tcPr>
            <w:tcW w:w="3227" w:type="dxa"/>
          </w:tcPr>
          <w:p w14:paraId="4FF6F70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06F649D" w14:textId="16B67085" w:rsidR="007925F0" w:rsidRPr="00DD2F9B" w:rsidRDefault="0022651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31B3573" w14:textId="77777777" w:rsidTr="00812887">
        <w:trPr>
          <w:cantSplit/>
        </w:trPr>
        <w:tc>
          <w:tcPr>
            <w:tcW w:w="3227" w:type="dxa"/>
          </w:tcPr>
          <w:p w14:paraId="60AC277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773DE12" w14:textId="7D9ACC34" w:rsidR="00AF483F" w:rsidRPr="00DD2F9B" w:rsidRDefault="0022651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E3CD7CE" w14:textId="77777777" w:rsidTr="00812887">
        <w:trPr>
          <w:cantSplit/>
        </w:trPr>
        <w:tc>
          <w:tcPr>
            <w:tcW w:w="3227" w:type="dxa"/>
          </w:tcPr>
          <w:p w14:paraId="05DE5F9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F06AD8D" w14:textId="774912CD" w:rsidR="00687890" w:rsidRPr="00DD2F9B" w:rsidRDefault="0022651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1218A21" w14:textId="77777777" w:rsidTr="00812887">
        <w:trPr>
          <w:cantSplit/>
        </w:trPr>
        <w:tc>
          <w:tcPr>
            <w:tcW w:w="3227" w:type="dxa"/>
          </w:tcPr>
          <w:p w14:paraId="7F2FF50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DD78BF8" w14:textId="5D8C3C29" w:rsidR="00E41A26" w:rsidRPr="00DD2F9B" w:rsidRDefault="0022651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4010B2A" w14:textId="77777777" w:rsidTr="00812887">
        <w:trPr>
          <w:cantSplit/>
        </w:trPr>
        <w:tc>
          <w:tcPr>
            <w:tcW w:w="3227" w:type="dxa"/>
          </w:tcPr>
          <w:p w14:paraId="7EBCD02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C8A62E7" w14:textId="39BB1304" w:rsidR="002E0D61" w:rsidRPr="00DD2F9B" w:rsidRDefault="0007188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8BC928B" w14:textId="77777777" w:rsidTr="00812887">
        <w:trPr>
          <w:cantSplit/>
        </w:trPr>
        <w:tc>
          <w:tcPr>
            <w:tcW w:w="3227" w:type="dxa"/>
          </w:tcPr>
          <w:p w14:paraId="47161C8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65151D1" w14:textId="21C74B94" w:rsidR="002E0D61" w:rsidRPr="00DD2F9B" w:rsidRDefault="0022651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1035699" w14:textId="77777777" w:rsidTr="00812887">
        <w:trPr>
          <w:cantSplit/>
        </w:trPr>
        <w:tc>
          <w:tcPr>
            <w:tcW w:w="3227" w:type="dxa"/>
          </w:tcPr>
          <w:p w14:paraId="254ED39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C18DDD7" w14:textId="2CB1D0EC" w:rsidR="002E0D61" w:rsidRPr="00DD2F9B" w:rsidRDefault="0022651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876E691" w14:textId="77777777" w:rsidTr="00812887">
        <w:trPr>
          <w:cantSplit/>
        </w:trPr>
        <w:tc>
          <w:tcPr>
            <w:tcW w:w="3227" w:type="dxa"/>
          </w:tcPr>
          <w:p w14:paraId="381E0F1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435A138" w14:textId="0BBB2467" w:rsidR="002E0D61" w:rsidRPr="00DD2F9B" w:rsidRDefault="0022651D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09ED4B3" w14:textId="77777777" w:rsidTr="00812887">
        <w:trPr>
          <w:cantSplit/>
        </w:trPr>
        <w:tc>
          <w:tcPr>
            <w:tcW w:w="3227" w:type="dxa"/>
          </w:tcPr>
          <w:p w14:paraId="1478210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F977636" w14:textId="4E319883" w:rsidR="00386093" w:rsidRPr="00DD2F9B" w:rsidRDefault="0022651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BA79F27" w14:textId="77777777" w:rsidTr="00812887">
        <w:trPr>
          <w:cantSplit/>
        </w:trPr>
        <w:tc>
          <w:tcPr>
            <w:tcW w:w="3227" w:type="dxa"/>
          </w:tcPr>
          <w:p w14:paraId="7852C41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3AC516" w14:textId="0737212B" w:rsidR="00386093" w:rsidRPr="00DD2F9B" w:rsidRDefault="0022651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89183E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17EA5A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D666CF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2A635B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ECCC26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D700DC2" w14:textId="71201F76" w:rsidR="00932DCE" w:rsidRPr="004C23F4" w:rsidRDefault="00271E32" w:rsidP="00F9496B">
            <w:pPr>
              <w:pStyle w:val="Tablefont"/>
            </w:pPr>
            <w:r>
              <w:t>Insufficient data to assign a skin notation</w:t>
            </w:r>
            <w:r w:rsidR="006D4F0D">
              <w:t>.</w:t>
            </w:r>
          </w:p>
        </w:tc>
      </w:tr>
    </w:tbl>
    <w:bookmarkEnd w:id="3"/>
    <w:p w14:paraId="004A33EC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2251566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9B6A40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EC04CDC" w14:textId="5D867AF2" w:rsidR="00EB3D1B" w:rsidRDefault="0022651D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256BCBD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5D1E4C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78A41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63BF926" w14:textId="5E25FFBE" w:rsidR="001B79E5" w:rsidRDefault="00071883" w:rsidP="001B79E5">
                <w:pPr>
                  <w:pStyle w:val="Tablefont"/>
                </w:pPr>
                <w:r>
                  <w:t>86.17</w:t>
                </w:r>
              </w:p>
            </w:tc>
          </w:sdtContent>
        </w:sdt>
      </w:tr>
      <w:tr w:rsidR="00A31D99" w:rsidRPr="004C23F4" w14:paraId="6CE29B6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423BB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7FA001A" w14:textId="5C4960F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71883">
                  <w:t>3.52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71883">
                  <w:t>0.284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56FCE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C70432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CC80A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1D53C2" w14:textId="77777777" w:rsidTr="00EA6243">
        <w:trPr>
          <w:cantSplit/>
        </w:trPr>
        <w:tc>
          <w:tcPr>
            <w:tcW w:w="4077" w:type="dxa"/>
            <w:vAlign w:val="center"/>
          </w:tcPr>
          <w:p w14:paraId="2D5C487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53C79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D182899" w14:textId="77777777" w:rsidTr="00EA6243">
        <w:trPr>
          <w:cantSplit/>
        </w:trPr>
        <w:tc>
          <w:tcPr>
            <w:tcW w:w="4077" w:type="dxa"/>
            <w:vAlign w:val="center"/>
          </w:tcPr>
          <w:p w14:paraId="6D231A2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6AE705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8FED593" w14:textId="77777777" w:rsidTr="00EA6243">
        <w:trPr>
          <w:cantSplit/>
        </w:trPr>
        <w:tc>
          <w:tcPr>
            <w:tcW w:w="4077" w:type="dxa"/>
            <w:vAlign w:val="center"/>
          </w:tcPr>
          <w:p w14:paraId="42DA469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AD2832B" w14:textId="77777777" w:rsidR="00E06F40" w:rsidRPr="00A006A0" w:rsidRDefault="00823F6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35430C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B37F79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FE0545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C0FF50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132FC4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D21505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213EB3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C065B6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AED9699" w14:textId="5C21C90A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72A7A20" w14:textId="2D62A712" w:rsidR="006F7BF6" w:rsidRDefault="006F7BF6" w:rsidP="00084859">
      <w:r w:rsidRPr="006F7BF6">
        <w:t xml:space="preserve">Deutsche </w:t>
      </w:r>
      <w:proofErr w:type="spellStart"/>
      <w:r w:rsidRPr="006F7BF6">
        <w:t>Forschungsgemeinschaft</w:t>
      </w:r>
      <w:proofErr w:type="spellEnd"/>
      <w:r w:rsidRPr="006F7BF6">
        <w:t xml:space="preserve"> (DFG) (</w:t>
      </w:r>
      <w:r>
        <w:t>2000</w:t>
      </w:r>
      <w:r w:rsidRPr="006F7BF6">
        <w:t xml:space="preserve">) </w:t>
      </w:r>
      <w:r>
        <w:t>Pentan-2-on</w:t>
      </w:r>
      <w:r w:rsidRPr="006F7BF6">
        <w:t xml:space="preserve"> – MAK value documentation</w:t>
      </w:r>
      <w:r>
        <w:t>, German language edition</w:t>
      </w:r>
      <w:r w:rsidRPr="006F7BF6">
        <w:t>.</w:t>
      </w:r>
    </w:p>
    <w:p w14:paraId="59DA2A05" w14:textId="0377F089" w:rsidR="00913645" w:rsidRDefault="00362189" w:rsidP="00084859">
      <w:r>
        <w:t xml:space="preserve">European Chemicals Agency (ECHA) (2019) </w:t>
      </w:r>
      <w:r w:rsidR="0022651D" w:rsidRPr="0022651D">
        <w:t>Pentan-2-one</w:t>
      </w:r>
      <w:r>
        <w:t xml:space="preserve"> – REACH assessment.</w:t>
      </w:r>
    </w:p>
    <w:p w14:paraId="6453FA69" w14:textId="6E20662D" w:rsidR="0099018E" w:rsidRDefault="0099018E" w:rsidP="00084859">
      <w:r w:rsidRPr="00DB0A36">
        <w:t>Health Council of the Netherlands (HCOTN) (</w:t>
      </w:r>
      <w:r>
        <w:t>2004</w:t>
      </w:r>
      <w:r w:rsidRPr="00DB0A36">
        <w:t xml:space="preserve">) </w:t>
      </w:r>
      <w:r>
        <w:t>Pentan-2-one</w:t>
      </w:r>
      <w:r w:rsidRPr="00DB0A36">
        <w:t xml:space="preserve">. Health-based recommendation on occupational exposure limits. The Hague: Health Council of the Netherlands; publication no. </w:t>
      </w:r>
      <w:r>
        <w:t>2000/15OSH/136</w:t>
      </w:r>
      <w:r w:rsidRPr="00DB0A36">
        <w:t>.</w:t>
      </w:r>
    </w:p>
    <w:p w14:paraId="6FC01B83" w14:textId="7D034E62" w:rsidR="006F7BF6" w:rsidRDefault="006F7BF6" w:rsidP="006F7BF6"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406080AA4D474C63A7EE7CF77A09878F"/>
          </w:placeholder>
          <w:temporary/>
          <w:showingPlcHdr/>
        </w:sdtPr>
        <w:sdtEndPr/>
        <w:sdtContent>
          <w:r w:rsidRPr="00FE0C94">
            <w:t>1994</w:t>
          </w:r>
        </w:sdtContent>
      </w:sdt>
      <w:r>
        <w:t xml:space="preserve">) Immediately dangerous to life or health concentrations – </w:t>
      </w:r>
      <w:r w:rsidRPr="006F7BF6">
        <w:t>2-Pentanone</w:t>
      </w:r>
      <w:r>
        <w:t>.</w:t>
      </w:r>
    </w:p>
    <w:p w14:paraId="0D316289" w14:textId="4C804411" w:rsidR="00362189" w:rsidRPr="00351FE0" w:rsidRDefault="00362189" w:rsidP="006F7BF6"/>
    <w:sectPr w:rsidR="00362189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96DA8" w14:textId="77777777" w:rsidR="00454CFC" w:rsidRDefault="00454CFC" w:rsidP="00F43AD5">
      <w:pPr>
        <w:spacing w:after="0" w:line="240" w:lineRule="auto"/>
      </w:pPr>
      <w:r>
        <w:separator/>
      </w:r>
    </w:p>
  </w:endnote>
  <w:endnote w:type="continuationSeparator" w:id="0">
    <w:p w14:paraId="592AAFD9" w14:textId="77777777" w:rsidR="00454CFC" w:rsidRDefault="00454CF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F82E7" w14:textId="77777777" w:rsidR="00EF3FB0" w:rsidRDefault="00EF3F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28A9DC6" w14:textId="5BE89716" w:rsidR="006F7BF6" w:rsidRDefault="006F7BF6" w:rsidP="0034744C">
        <w:pPr>
          <w:pStyle w:val="Footer"/>
          <w:rPr>
            <w:sz w:val="18"/>
            <w:szCs w:val="18"/>
          </w:rPr>
        </w:pPr>
        <w:r w:rsidRPr="0009442C">
          <w:rPr>
            <w:b/>
            <w:sz w:val="18"/>
            <w:szCs w:val="18"/>
          </w:rPr>
          <w:t xml:space="preserve">Methyl </w:t>
        </w:r>
        <w:r>
          <w:rPr>
            <w:b/>
            <w:sz w:val="18"/>
            <w:szCs w:val="18"/>
          </w:rPr>
          <w:t>propyl ketone</w:t>
        </w:r>
        <w:r w:rsidRPr="0009442C">
          <w:rPr>
            <w:b/>
            <w:sz w:val="18"/>
            <w:szCs w:val="18"/>
          </w:rPr>
          <w:t xml:space="preserve"> </w:t>
        </w:r>
        <w:r>
          <w:rPr>
            <w:b/>
            <w:sz w:val="18"/>
            <w:szCs w:val="18"/>
          </w:rPr>
          <w:t>(107-87-9)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AD3851B" w14:textId="3B396CD8" w:rsidR="006F7BF6" w:rsidRPr="00F43AD5" w:rsidRDefault="006F7BF6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F3FB0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FFD91" w14:textId="77777777" w:rsidR="00EF3FB0" w:rsidRDefault="00EF3F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3D569" w14:textId="77777777" w:rsidR="00454CFC" w:rsidRDefault="00454CFC" w:rsidP="00F43AD5">
      <w:pPr>
        <w:spacing w:after="0" w:line="240" w:lineRule="auto"/>
      </w:pPr>
      <w:r>
        <w:separator/>
      </w:r>
    </w:p>
  </w:footnote>
  <w:footnote w:type="continuationSeparator" w:id="0">
    <w:p w14:paraId="2F013263" w14:textId="77777777" w:rsidR="00454CFC" w:rsidRDefault="00454CF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5172C" w14:textId="77777777" w:rsidR="00EF3FB0" w:rsidRDefault="00EF3F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B7565" w14:textId="387719AF" w:rsidR="00EF3FB0" w:rsidRDefault="00EF3FB0" w:rsidP="00EF3FB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33E186A" wp14:editId="0919E187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680D9" w14:textId="2F428F48" w:rsidR="006F7BF6" w:rsidRPr="00EF3FB0" w:rsidRDefault="006F7BF6" w:rsidP="00EF3F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0DE28" w14:textId="77777777" w:rsidR="00EF3FB0" w:rsidRDefault="00EF3FB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E7A10" w14:textId="35A0F242" w:rsidR="00EF3FB0" w:rsidRDefault="00EF3FB0" w:rsidP="00EF3FB0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34843B" wp14:editId="034B2B71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6DB7BA" w14:textId="77777777" w:rsidR="006F7BF6" w:rsidRDefault="006F7BF6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312D0"/>
    <w:multiLevelType w:val="hybridMultilevel"/>
    <w:tmpl w:val="FD2287CC"/>
    <w:lvl w:ilvl="0" w:tplc="9DB0FF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667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D51"/>
    <w:rsid w:val="00007B80"/>
    <w:rsid w:val="00013A22"/>
    <w:rsid w:val="00014C3F"/>
    <w:rsid w:val="00017C82"/>
    <w:rsid w:val="00032B88"/>
    <w:rsid w:val="00046DF5"/>
    <w:rsid w:val="00052060"/>
    <w:rsid w:val="000533D6"/>
    <w:rsid w:val="0005574A"/>
    <w:rsid w:val="00055958"/>
    <w:rsid w:val="00055FE1"/>
    <w:rsid w:val="00056EC2"/>
    <w:rsid w:val="00060B48"/>
    <w:rsid w:val="00067F32"/>
    <w:rsid w:val="00071807"/>
    <w:rsid w:val="00071883"/>
    <w:rsid w:val="000803E1"/>
    <w:rsid w:val="00084513"/>
    <w:rsid w:val="00084859"/>
    <w:rsid w:val="00092D94"/>
    <w:rsid w:val="0009442C"/>
    <w:rsid w:val="000B0483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4791"/>
    <w:rsid w:val="000E5A54"/>
    <w:rsid w:val="000E63D3"/>
    <w:rsid w:val="000E67CF"/>
    <w:rsid w:val="000F5177"/>
    <w:rsid w:val="000F5F82"/>
    <w:rsid w:val="001019B0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05CA"/>
    <w:rsid w:val="001B79E5"/>
    <w:rsid w:val="001D4438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51D"/>
    <w:rsid w:val="00227EC7"/>
    <w:rsid w:val="00244AD1"/>
    <w:rsid w:val="002463BC"/>
    <w:rsid w:val="002465CE"/>
    <w:rsid w:val="00254CA3"/>
    <w:rsid w:val="0025734A"/>
    <w:rsid w:val="00263255"/>
    <w:rsid w:val="00271E32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189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2E41"/>
    <w:rsid w:val="003B387D"/>
    <w:rsid w:val="003C0D58"/>
    <w:rsid w:val="003D4FA3"/>
    <w:rsid w:val="003E0807"/>
    <w:rsid w:val="003E51FB"/>
    <w:rsid w:val="003E639F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00C5"/>
    <w:rsid w:val="004414B5"/>
    <w:rsid w:val="00444482"/>
    <w:rsid w:val="00444B42"/>
    <w:rsid w:val="00445E44"/>
    <w:rsid w:val="004509E2"/>
    <w:rsid w:val="004515EE"/>
    <w:rsid w:val="004529F0"/>
    <w:rsid w:val="00454CFC"/>
    <w:rsid w:val="00460A03"/>
    <w:rsid w:val="0046587C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D15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717C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4F0D"/>
    <w:rsid w:val="006D79EA"/>
    <w:rsid w:val="006E2A05"/>
    <w:rsid w:val="006E5D05"/>
    <w:rsid w:val="006F7BF6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4BAA"/>
    <w:rsid w:val="007B1B42"/>
    <w:rsid w:val="007B63EA"/>
    <w:rsid w:val="007C30EB"/>
    <w:rsid w:val="007E063C"/>
    <w:rsid w:val="007E2A4B"/>
    <w:rsid w:val="007E307D"/>
    <w:rsid w:val="007E4C35"/>
    <w:rsid w:val="007E6A4E"/>
    <w:rsid w:val="007E6C94"/>
    <w:rsid w:val="007F1005"/>
    <w:rsid w:val="007F25E0"/>
    <w:rsid w:val="007F5328"/>
    <w:rsid w:val="00804F5A"/>
    <w:rsid w:val="00810C6D"/>
    <w:rsid w:val="00812887"/>
    <w:rsid w:val="00823F6B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47E9"/>
    <w:rsid w:val="0088798F"/>
    <w:rsid w:val="00887E4B"/>
    <w:rsid w:val="008915C8"/>
    <w:rsid w:val="008A36CF"/>
    <w:rsid w:val="008A3BC4"/>
    <w:rsid w:val="008A3DA1"/>
    <w:rsid w:val="008B403C"/>
    <w:rsid w:val="008B7983"/>
    <w:rsid w:val="008C2511"/>
    <w:rsid w:val="008D026D"/>
    <w:rsid w:val="008D23AB"/>
    <w:rsid w:val="008D3985"/>
    <w:rsid w:val="008D4B8B"/>
    <w:rsid w:val="008D5A78"/>
    <w:rsid w:val="008E7B64"/>
    <w:rsid w:val="008F402E"/>
    <w:rsid w:val="008F5DCD"/>
    <w:rsid w:val="008F7C6F"/>
    <w:rsid w:val="00900951"/>
    <w:rsid w:val="0090632F"/>
    <w:rsid w:val="009118A6"/>
    <w:rsid w:val="00913645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DAF"/>
    <w:rsid w:val="0095260E"/>
    <w:rsid w:val="009578DD"/>
    <w:rsid w:val="00961124"/>
    <w:rsid w:val="009621B6"/>
    <w:rsid w:val="00974F2D"/>
    <w:rsid w:val="00977524"/>
    <w:rsid w:val="00977E88"/>
    <w:rsid w:val="00980DE2"/>
    <w:rsid w:val="00984920"/>
    <w:rsid w:val="0099018E"/>
    <w:rsid w:val="0099303A"/>
    <w:rsid w:val="009971C2"/>
    <w:rsid w:val="009A1254"/>
    <w:rsid w:val="009A59B8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2B5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0EFA"/>
    <w:rsid w:val="00A84504"/>
    <w:rsid w:val="00A8672F"/>
    <w:rsid w:val="00A93057"/>
    <w:rsid w:val="00A968B0"/>
    <w:rsid w:val="00A96A72"/>
    <w:rsid w:val="00AA3D89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16D1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57B1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04E"/>
    <w:rsid w:val="00CC2123"/>
    <w:rsid w:val="00CD2BFD"/>
    <w:rsid w:val="00CE5AD6"/>
    <w:rsid w:val="00CE617F"/>
    <w:rsid w:val="00CE78EF"/>
    <w:rsid w:val="00CF0191"/>
    <w:rsid w:val="00D01342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17D2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4711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0D29"/>
    <w:rsid w:val="00ED1D89"/>
    <w:rsid w:val="00ED2267"/>
    <w:rsid w:val="00ED66BC"/>
    <w:rsid w:val="00EE5DC5"/>
    <w:rsid w:val="00EF233A"/>
    <w:rsid w:val="00EF303E"/>
    <w:rsid w:val="00EF3A40"/>
    <w:rsid w:val="00EF3FB0"/>
    <w:rsid w:val="00EF7F78"/>
    <w:rsid w:val="00F01B08"/>
    <w:rsid w:val="00F01C4D"/>
    <w:rsid w:val="00F053FA"/>
    <w:rsid w:val="00F10C97"/>
    <w:rsid w:val="00F10CB8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29E6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3CC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7A4B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B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4BA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B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BAA"/>
    <w:rPr>
      <w:b/>
      <w:bCs/>
      <w:szCs w:val="20"/>
    </w:rPr>
  </w:style>
  <w:style w:type="paragraph" w:styleId="Revision">
    <w:name w:val="Revision"/>
    <w:hidden/>
    <w:uiPriority w:val="99"/>
    <w:semiHidden/>
    <w:rsid w:val="007E4C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06080AA4D474C63A7EE7CF77A098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A36581-3018-4809-AC4C-6E89D8FF5868}"/>
      </w:docPartPr>
      <w:docPartBody>
        <w:p w:rsidR="006A2561" w:rsidRDefault="006A2561" w:rsidP="006A2561">
          <w:pPr>
            <w:pStyle w:val="406080AA4D474C63A7EE7CF77A09878F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881B7DB9CADD4907A1318CAACEE20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D2228F-8E7B-405D-8405-EADD6A5D0399}"/>
      </w:docPartPr>
      <w:docPartBody>
        <w:p w:rsidR="00036EE3" w:rsidRDefault="00694EAF" w:rsidP="00694EAF">
          <w:pPr>
            <w:pStyle w:val="881B7DB9CADD4907A1318CAACEE20E1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6EE3"/>
    <w:rsid w:val="00346ADE"/>
    <w:rsid w:val="00694EAF"/>
    <w:rsid w:val="006A2561"/>
    <w:rsid w:val="006E2A05"/>
    <w:rsid w:val="00AF3DCF"/>
    <w:rsid w:val="00B47457"/>
    <w:rsid w:val="00D21A9F"/>
    <w:rsid w:val="00D6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EAF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06080AA4D474C63A7EE7CF77A09878F">
    <w:name w:val="406080AA4D474C63A7EE7CF77A09878F"/>
    <w:rsid w:val="006A2561"/>
  </w:style>
  <w:style w:type="paragraph" w:customStyle="1" w:styleId="881B7DB9CADD4907A1318CAACEE20E1F">
    <w:name w:val="881B7DB9CADD4907A1318CAACEE20E1F"/>
    <w:rsid w:val="00694E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91EEC4-2040-4BB7-A111-B96C50445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1c567317-0c4d-4a62-8516-c22afd1b5354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E8A09BC-3FDD-4DEA-AA67-2D47600EFC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20</cp:revision>
  <cp:lastPrinted>2018-10-22T22:41:00Z</cp:lastPrinted>
  <dcterms:created xsi:type="dcterms:W3CDTF">2019-11-13T05:09:00Z</dcterms:created>
  <dcterms:modified xsi:type="dcterms:W3CDTF">2026-01-08T23:58:00Z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2025-12-23T04:51:03Z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6ec79ea8-8e2e-4e1a-abb6-45aef098b123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