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E5859" w14:textId="139B8B95" w:rsidR="00BD499F" w:rsidRPr="004C23F4" w:rsidRDefault="008675EE" w:rsidP="00B40C60">
      <w:pPr>
        <w:pStyle w:val="Heading1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sdt>
        <w:sdtPr>
          <w:rPr>
            <w:rFonts w:ascii="Arial" w:hAnsi="Arial" w:cs="Arial"/>
          </w:rPr>
          <w:alias w:val="NameofChemical"/>
          <w:tag w:val="NameofChemical"/>
          <w:id w:val="1425919599"/>
          <w:lock w:val="sdtLocked"/>
          <w:placeholder>
            <w:docPart w:val="CE1736E50B02464986D1BEC8B7ACDE96"/>
          </w:placeholder>
          <w:text/>
        </w:sdtPr>
        <w:sdtEndPr/>
        <w:sdtContent>
          <w:r w:rsidR="00CF27B2">
            <w:rPr>
              <w:rFonts w:ascii="Arial" w:hAnsi="Arial" w:cs="Arial"/>
            </w:rPr>
            <w:t>methyl n-butyl ketone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4"/>
        <w:gridCol w:w="5042"/>
      </w:tblGrid>
      <w:tr w:rsidR="00F43AD5" w:rsidRPr="004C23F4" w14:paraId="3A5B15CA" w14:textId="77777777" w:rsidTr="00B76A41">
        <w:trPr>
          <w:cantSplit/>
          <w:tblHeader/>
        </w:trPr>
        <w:tc>
          <w:tcPr>
            <w:tcW w:w="4077" w:type="dxa"/>
          </w:tcPr>
          <w:p w14:paraId="5F201B95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6DCF0761" w14:textId="67DE56CA" w:rsidR="00F43AD5" w:rsidRPr="00717D45" w:rsidRDefault="00E27760" w:rsidP="00B76A41">
            <w:pPr>
              <w:pStyle w:val="Tablefont"/>
            </w:pPr>
            <w:r>
              <w:t>591-78-6</w:t>
            </w:r>
          </w:p>
        </w:tc>
      </w:tr>
      <w:tr w:rsidR="00F43AD5" w:rsidRPr="004C23F4" w14:paraId="70B3F758" w14:textId="77777777" w:rsidTr="00B76A41">
        <w:trPr>
          <w:cantSplit/>
        </w:trPr>
        <w:tc>
          <w:tcPr>
            <w:tcW w:w="4077" w:type="dxa"/>
          </w:tcPr>
          <w:p w14:paraId="535FC278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1BB45880" w14:textId="77777777" w:rsidR="00F43AD5" w:rsidRPr="00717D45" w:rsidRDefault="00CF27B2" w:rsidP="00B76A41">
            <w:pPr>
              <w:pStyle w:val="Tablefont"/>
            </w:pPr>
            <w:r>
              <w:t>Butyl methyl ketone, 2-hexanone, hexan-2-one, ketone,butyl methyl, MnBK, propylacetone</w:t>
            </w:r>
          </w:p>
        </w:tc>
      </w:tr>
      <w:tr w:rsidR="00F43AD5" w:rsidRPr="004C23F4" w14:paraId="79EA5CB5" w14:textId="77777777" w:rsidTr="00B76A41">
        <w:trPr>
          <w:cantSplit/>
        </w:trPr>
        <w:tc>
          <w:tcPr>
            <w:tcW w:w="4077" w:type="dxa"/>
          </w:tcPr>
          <w:p w14:paraId="4324EACC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7A506973" w14:textId="77777777" w:rsidR="00F43AD5" w:rsidRPr="00717D45" w:rsidRDefault="00AF3816" w:rsidP="00B76A41">
            <w:pPr>
              <w:pStyle w:val="Tablefont"/>
            </w:pPr>
            <w:r>
              <w:t>C</w:t>
            </w:r>
            <w:r w:rsidRPr="00AF3816">
              <w:rPr>
                <w:vertAlign w:val="subscript"/>
              </w:rPr>
              <w:t>6</w:t>
            </w:r>
            <w:r>
              <w:t>H</w:t>
            </w:r>
            <w:r w:rsidRPr="00AF3816">
              <w:rPr>
                <w:vertAlign w:val="subscript"/>
              </w:rPr>
              <w:t>12</w:t>
            </w:r>
            <w:r>
              <w:t>O</w:t>
            </w:r>
          </w:p>
        </w:tc>
      </w:tr>
      <w:tr w:rsidR="00F43AD5" w:rsidRPr="004C23F4" w14:paraId="26F81099" w14:textId="77777777" w:rsidTr="00B76A41">
        <w:trPr>
          <w:cantSplit/>
        </w:trPr>
        <w:tc>
          <w:tcPr>
            <w:tcW w:w="4077" w:type="dxa"/>
          </w:tcPr>
          <w:p w14:paraId="2EF37661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4D112CFF" w14:textId="77777777" w:rsidR="00F43AD5" w:rsidRPr="00B40C60" w:rsidRDefault="00AF3816" w:rsidP="00B76A41">
            <w:pPr>
              <w:pStyle w:val="Tablerowheading"/>
              <w:rPr>
                <w:b w:val="0"/>
              </w:rPr>
            </w:pPr>
            <w:r w:rsidRPr="00AF3816">
              <w:rPr>
                <w:b w:val="0"/>
              </w:rPr>
              <w:t>—</w:t>
            </w:r>
          </w:p>
        </w:tc>
      </w:tr>
    </w:tbl>
    <w:p w14:paraId="15A18EE2" w14:textId="5ECAB154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FA1CCB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1"/>
        <w:gridCol w:w="5015"/>
      </w:tblGrid>
      <w:tr w:rsidR="00AF3816" w:rsidRPr="004C23F4" w14:paraId="66A9D9AB" w14:textId="77777777" w:rsidTr="00AF3816">
        <w:trPr>
          <w:cantSplit/>
          <w:tblHeader/>
        </w:trPr>
        <w:tc>
          <w:tcPr>
            <w:tcW w:w="4011" w:type="dxa"/>
            <w:vAlign w:val="center"/>
          </w:tcPr>
          <w:p w14:paraId="71F32AA6" w14:textId="77777777" w:rsidR="00AF3816" w:rsidRPr="002C58FF" w:rsidRDefault="00AF3816" w:rsidP="00AF3816">
            <w:pPr>
              <w:pStyle w:val="Tablerowright"/>
            </w:pPr>
            <w:r>
              <w:t>TWA:</w:t>
            </w:r>
          </w:p>
        </w:tc>
        <w:tc>
          <w:tcPr>
            <w:tcW w:w="5015" w:type="dxa"/>
          </w:tcPr>
          <w:p w14:paraId="18B80523" w14:textId="00436F1A" w:rsidR="00AF3816" w:rsidRPr="005154CE" w:rsidRDefault="005154CE" w:rsidP="00AF3816">
            <w:pPr>
              <w:pStyle w:val="Tablerowheading"/>
            </w:pPr>
            <w:r>
              <w:t>5 ppm (20 mg/m</w:t>
            </w:r>
            <w:r>
              <w:rPr>
                <w:vertAlign w:val="superscript"/>
              </w:rPr>
              <w:t>3</w:t>
            </w:r>
            <w:r>
              <w:t>)</w:t>
            </w:r>
          </w:p>
        </w:tc>
      </w:tr>
      <w:tr w:rsidR="00AF3816" w:rsidRPr="004C23F4" w14:paraId="02CD5064" w14:textId="77777777" w:rsidTr="00AF3816">
        <w:trPr>
          <w:cantSplit/>
        </w:trPr>
        <w:tc>
          <w:tcPr>
            <w:tcW w:w="4011" w:type="dxa"/>
            <w:vAlign w:val="center"/>
          </w:tcPr>
          <w:p w14:paraId="1D1059AD" w14:textId="77777777" w:rsidR="00AF3816" w:rsidRPr="002C58FF" w:rsidRDefault="00AF3816" w:rsidP="00AF3816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5" w:type="dxa"/>
          </w:tcPr>
          <w:p w14:paraId="174D128C" w14:textId="3ECC0719" w:rsidR="00AF3816" w:rsidRPr="00AF3816" w:rsidRDefault="00FA1CCB" w:rsidP="00AF3816">
            <w:pPr>
              <w:pStyle w:val="Tablerowheading"/>
            </w:pPr>
            <w:r>
              <w:t>10 ppm (40 mg/m</w:t>
            </w:r>
            <w:r>
              <w:rPr>
                <w:vertAlign w:val="superscript"/>
              </w:rPr>
              <w:t>3</w:t>
            </w:r>
            <w:r w:rsidRPr="00FA1CCB">
              <w:t>)</w:t>
            </w:r>
          </w:p>
        </w:tc>
      </w:tr>
      <w:tr w:rsidR="00AF3816" w:rsidRPr="004C23F4" w14:paraId="51C52D5F" w14:textId="77777777" w:rsidTr="00AF3816">
        <w:trPr>
          <w:cantSplit/>
        </w:trPr>
        <w:tc>
          <w:tcPr>
            <w:tcW w:w="4011" w:type="dxa"/>
            <w:vAlign w:val="center"/>
          </w:tcPr>
          <w:p w14:paraId="1991C367" w14:textId="77777777" w:rsidR="00AF3816" w:rsidRPr="002C58FF" w:rsidRDefault="00AF3816" w:rsidP="00AF3816">
            <w:pPr>
              <w:pStyle w:val="Tablerowright"/>
            </w:pPr>
            <w:r>
              <w:t>Peak limitation:</w:t>
            </w:r>
          </w:p>
        </w:tc>
        <w:tc>
          <w:tcPr>
            <w:tcW w:w="5015" w:type="dxa"/>
          </w:tcPr>
          <w:p w14:paraId="08020D4E" w14:textId="77777777" w:rsidR="00AF3816" w:rsidRPr="00AF3816" w:rsidRDefault="00AF3816" w:rsidP="00AF3816">
            <w:pPr>
              <w:pStyle w:val="Tablerowheading"/>
            </w:pPr>
            <w:r w:rsidRPr="00AF3816">
              <w:t>—</w:t>
            </w:r>
          </w:p>
        </w:tc>
      </w:tr>
      <w:tr w:rsidR="00AF3816" w:rsidRPr="004C23F4" w14:paraId="45DA8879" w14:textId="77777777" w:rsidTr="00AF3816">
        <w:trPr>
          <w:cantSplit/>
        </w:trPr>
        <w:tc>
          <w:tcPr>
            <w:tcW w:w="4011" w:type="dxa"/>
          </w:tcPr>
          <w:p w14:paraId="146A6CA8" w14:textId="77777777" w:rsidR="00AF3816" w:rsidRPr="002C58FF" w:rsidRDefault="00AF3816" w:rsidP="00AF3816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5" w:type="dxa"/>
          </w:tcPr>
          <w:p w14:paraId="51D72606" w14:textId="2BB70377" w:rsidR="00AF3816" w:rsidRPr="00AF3816" w:rsidRDefault="009C1DEA" w:rsidP="00AF3816">
            <w:pPr>
              <w:pStyle w:val="Tablerowheading"/>
            </w:pPr>
            <w:r>
              <w:t>Sk.</w:t>
            </w:r>
          </w:p>
        </w:tc>
      </w:tr>
      <w:tr w:rsidR="00AF3816" w:rsidRPr="004C23F4" w14:paraId="4875BAC5" w14:textId="77777777" w:rsidTr="00AF3816">
        <w:trPr>
          <w:cantSplit/>
        </w:trPr>
        <w:tc>
          <w:tcPr>
            <w:tcW w:w="4011" w:type="dxa"/>
            <w:vAlign w:val="center"/>
          </w:tcPr>
          <w:p w14:paraId="6BB2710E" w14:textId="77777777" w:rsidR="00AF3816" w:rsidRPr="002C58FF" w:rsidRDefault="00AF3816" w:rsidP="00AF3816">
            <w:pPr>
              <w:pStyle w:val="Tablerowright"/>
            </w:pPr>
            <w:r>
              <w:t>IDLH:</w:t>
            </w:r>
          </w:p>
        </w:tc>
        <w:tc>
          <w:tcPr>
            <w:tcW w:w="5015" w:type="dxa"/>
          </w:tcPr>
          <w:p w14:paraId="37A823E4" w14:textId="45AFEAEC" w:rsidR="00AF3816" w:rsidRPr="00AF3816" w:rsidRDefault="00DE7AD6" w:rsidP="00AF3816">
            <w:pPr>
              <w:pStyle w:val="Tablerowheading"/>
            </w:pPr>
            <w:r>
              <w:t>1,600 ppm</w:t>
            </w:r>
          </w:p>
        </w:tc>
      </w:tr>
      <w:tr w:rsidR="001A55C0" w:rsidRPr="004C23F4" w14:paraId="4574BB82" w14:textId="77777777" w:rsidTr="00B72469">
        <w:trPr>
          <w:cantSplit/>
        </w:trPr>
        <w:tc>
          <w:tcPr>
            <w:tcW w:w="9026" w:type="dxa"/>
            <w:gridSpan w:val="2"/>
            <w:vAlign w:val="center"/>
          </w:tcPr>
          <w:p w14:paraId="561A2E72" w14:textId="5339E5BA" w:rsidR="001A55C0" w:rsidRPr="00AF3816" w:rsidRDefault="001A55C0" w:rsidP="00AF3816">
            <w:pPr>
              <w:pStyle w:val="Tablerowheading"/>
            </w:pPr>
            <w:r>
              <w:t xml:space="preserve">Sampling and analysis: </w:t>
            </w:r>
            <w:sdt>
              <w:sdtPr>
                <w:rPr>
                  <w:rStyle w:val="WESstatus"/>
                  <w:b w:val="0"/>
                  <w:color w:val="auto"/>
                </w:rPr>
                <w:id w:val="-2105258949"/>
                <w:placeholder>
                  <w:docPart w:val="CF732CA0B9C24BEC886F2C0FB82846DE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DF76E3">
                  <w:rPr>
                    <w:rStyle w:val="WESstatus"/>
                    <w:b w:val="0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2A4A39E1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6BCFB224" w14:textId="0AA4CEA0" w:rsidR="00FA1CCB" w:rsidRDefault="008D192C" w:rsidP="000C139A">
      <w:r>
        <w:rPr>
          <w:rFonts w:cs="Arial"/>
        </w:rPr>
        <w:t xml:space="preserve">A </w:t>
      </w:r>
      <w:r>
        <w:t xml:space="preserve">TWA of </w:t>
      </w:r>
      <w:r w:rsidR="00ED13B1">
        <w:t>5</w:t>
      </w:r>
      <w:r>
        <w:t xml:space="preserve"> ppm (</w:t>
      </w:r>
      <w:r w:rsidR="00ED13B1">
        <w:t>20</w:t>
      </w:r>
      <w:r>
        <w:t xml:space="preserve"> mg/m</w:t>
      </w:r>
      <w:r>
        <w:rPr>
          <w:vertAlign w:val="superscript"/>
        </w:rPr>
        <w:t>3</w:t>
      </w:r>
      <w:r>
        <w:t xml:space="preserve">) </w:t>
      </w:r>
      <w:r w:rsidR="00E27760">
        <w:t xml:space="preserve">is </w:t>
      </w:r>
      <w:r>
        <w:t xml:space="preserve">recommended to protect </w:t>
      </w:r>
      <w:r w:rsidR="00F34D85">
        <w:t>for</w:t>
      </w:r>
      <w:r>
        <w:t xml:space="preserve"> neurotoxic effects in exposed workers.</w:t>
      </w:r>
    </w:p>
    <w:p w14:paraId="620D502E" w14:textId="116EF2F5" w:rsidR="00D204F9" w:rsidRPr="00E1114A" w:rsidRDefault="00D204F9" w:rsidP="000C139A">
      <w:r>
        <w:t>A STEL of 10 ppm (40 mg/m</w:t>
      </w:r>
      <w:r w:rsidRPr="00021C3D">
        <w:rPr>
          <w:vertAlign w:val="superscript"/>
        </w:rPr>
        <w:t>3</w:t>
      </w:r>
      <w:r>
        <w:t>) is recommended to protect for acute adverse effects including testicular toxicity in exposed workers.</w:t>
      </w:r>
    </w:p>
    <w:p w14:paraId="66AB4A17" w14:textId="77777777" w:rsidR="00C7155E" w:rsidRPr="004C23F4" w:rsidRDefault="00F10C97" w:rsidP="003365A5">
      <w:pPr>
        <w:pStyle w:val="Heading2"/>
      </w:pPr>
      <w:r>
        <w:t>Discussion and conclusions</w:t>
      </w:r>
    </w:p>
    <w:p w14:paraId="1806F3B6" w14:textId="77777777" w:rsidR="004E3F45" w:rsidRDefault="008D192C" w:rsidP="006639B4">
      <w:r>
        <w:t xml:space="preserve">Methyl n-butyl ketone (MnBK) is used in paints, lacquers, ink thinners, </w:t>
      </w:r>
      <w:r w:rsidRPr="00E1114A">
        <w:t>glues, resins, oils and waxes.</w:t>
      </w:r>
      <w:r w:rsidR="00E27760" w:rsidRPr="00E1114A">
        <w:t xml:space="preserve"> </w:t>
      </w:r>
    </w:p>
    <w:p w14:paraId="0164C059" w14:textId="439ED720" w:rsidR="00186F33" w:rsidRDefault="00966CF8" w:rsidP="006639B4">
      <w:r w:rsidRPr="00E1114A">
        <w:t>The critical effect</w:t>
      </w:r>
      <w:r w:rsidR="004E3F45">
        <w:t>s</w:t>
      </w:r>
      <w:r w:rsidRPr="00E1114A">
        <w:t xml:space="preserve"> </w:t>
      </w:r>
      <w:r>
        <w:t xml:space="preserve">of exposure </w:t>
      </w:r>
      <w:r w:rsidR="004E3F45">
        <w:t>include</w:t>
      </w:r>
      <w:r w:rsidR="004E3F45" w:rsidRPr="00E1114A">
        <w:t xml:space="preserve"> </w:t>
      </w:r>
      <w:r w:rsidRPr="00E1114A">
        <w:t>neurotoxicity</w:t>
      </w:r>
      <w:r w:rsidR="004E3F45">
        <w:t xml:space="preserve"> in humans and testicular toxicity in animals</w:t>
      </w:r>
      <w:r w:rsidRPr="00E1114A">
        <w:t>.</w:t>
      </w:r>
    </w:p>
    <w:p w14:paraId="2613C220" w14:textId="5720B5E1" w:rsidR="008F2C74" w:rsidRDefault="00DF76E3" w:rsidP="006639B4">
      <w:r w:rsidRPr="00E1114A">
        <w:t>D</w:t>
      </w:r>
      <w:r w:rsidR="00E27760" w:rsidRPr="00E1114A">
        <w:t xml:space="preserve">istal polyneuropathy </w:t>
      </w:r>
      <w:r w:rsidR="00186F33">
        <w:t>is</w:t>
      </w:r>
      <w:r w:rsidRPr="00E1114A">
        <w:t xml:space="preserve"> </w:t>
      </w:r>
      <w:r w:rsidR="00E27760" w:rsidRPr="00E1114A">
        <w:t>reported in exposed workers</w:t>
      </w:r>
      <w:r w:rsidR="00186F33">
        <w:t>.</w:t>
      </w:r>
      <w:r w:rsidR="00BF2A33" w:rsidRPr="00E1114A">
        <w:t xml:space="preserve"> </w:t>
      </w:r>
      <w:r w:rsidR="00186F33">
        <w:t>H</w:t>
      </w:r>
      <w:r w:rsidR="00BF2A33" w:rsidRPr="00E1114A">
        <w:t>owever</w:t>
      </w:r>
      <w:r w:rsidR="00186F33">
        <w:t>,</w:t>
      </w:r>
      <w:r w:rsidR="00BF2A33" w:rsidRPr="00E1114A">
        <w:t xml:space="preserve"> reporting of accurate human exposure levels </w:t>
      </w:r>
      <w:r w:rsidR="000F33F3">
        <w:t>are</w:t>
      </w:r>
      <w:r w:rsidR="00BF2A33" w:rsidRPr="00E1114A">
        <w:t xml:space="preserve"> limited</w:t>
      </w:r>
      <w:r w:rsidR="00ED13B1" w:rsidRPr="00E1114A">
        <w:t>.</w:t>
      </w:r>
      <w:r w:rsidR="00FA1CCB" w:rsidRPr="00E1114A">
        <w:t xml:space="preserve"> Testicular toxicity </w:t>
      </w:r>
      <w:r w:rsidR="00186F33">
        <w:t>is</w:t>
      </w:r>
      <w:r w:rsidR="00FA1CCB" w:rsidRPr="00E1114A">
        <w:t xml:space="preserve"> reported in animals in short</w:t>
      </w:r>
      <w:r w:rsidR="00E1114A">
        <w:t>-term</w:t>
      </w:r>
      <w:r w:rsidR="00FA1CCB" w:rsidRPr="00E1114A">
        <w:t xml:space="preserve"> </w:t>
      </w:r>
      <w:r w:rsidR="00E1114A" w:rsidRPr="00E1114A">
        <w:t>oral studies</w:t>
      </w:r>
      <w:r w:rsidR="00FA1CCB" w:rsidRPr="00E1114A">
        <w:t xml:space="preserve">. </w:t>
      </w:r>
      <w:r w:rsidR="008675EE">
        <w:t>In s</w:t>
      </w:r>
      <w:r w:rsidR="00A054D3" w:rsidRPr="00E1114A">
        <w:t xml:space="preserve">ub-chronic inhalation studies </w:t>
      </w:r>
      <w:r w:rsidR="00186F33">
        <w:t>in</w:t>
      </w:r>
      <w:r w:rsidR="00A054D3" w:rsidRPr="00E1114A">
        <w:t xml:space="preserve"> monkeys and rats</w:t>
      </w:r>
      <w:r w:rsidR="008675EE">
        <w:t>,</w:t>
      </w:r>
      <w:r w:rsidR="00A054D3" w:rsidRPr="00E1114A">
        <w:t xml:space="preserve"> </w:t>
      </w:r>
      <w:r w:rsidR="00362256">
        <w:t xml:space="preserve">exposures at 1,000 ppm for </w:t>
      </w:r>
      <w:r w:rsidR="006A0C26">
        <w:t>nine</w:t>
      </w:r>
      <w:r w:rsidR="00362256">
        <w:t xml:space="preserve"> months or 100</w:t>
      </w:r>
      <w:r w:rsidR="00021C3D">
        <w:t> </w:t>
      </w:r>
      <w:r w:rsidR="00362256">
        <w:t xml:space="preserve">ppm for </w:t>
      </w:r>
      <w:r w:rsidR="006A0C26">
        <w:t>four</w:t>
      </w:r>
      <w:r w:rsidR="00362256">
        <w:t xml:space="preserve"> months </w:t>
      </w:r>
      <w:r w:rsidR="00A054D3" w:rsidRPr="00E1114A">
        <w:t xml:space="preserve">resulted in </w:t>
      </w:r>
      <w:r w:rsidR="00824170" w:rsidRPr="00E1114A">
        <w:t>abnormal</w:t>
      </w:r>
      <w:r w:rsidR="00824170">
        <w:t xml:space="preserve"> neurophysiologic indicators</w:t>
      </w:r>
      <w:r w:rsidR="00362256">
        <w:t>.</w:t>
      </w:r>
      <w:r w:rsidR="00824170">
        <w:t xml:space="preserve"> </w:t>
      </w:r>
      <w:r w:rsidR="00362256">
        <w:t xml:space="preserve">This is </w:t>
      </w:r>
      <w:r w:rsidR="00A054D3">
        <w:t xml:space="preserve">equivalent </w:t>
      </w:r>
      <w:r w:rsidR="00362256">
        <w:t xml:space="preserve">to an </w:t>
      </w:r>
      <w:r w:rsidR="008675EE">
        <w:t>eight-hour</w:t>
      </w:r>
      <w:r w:rsidR="00A054D3">
        <w:t xml:space="preserve"> TWA of 75 ppm</w:t>
      </w:r>
      <w:r w:rsidR="00362256">
        <w:t>.</w:t>
      </w:r>
      <w:r w:rsidR="00ED13B1">
        <w:t xml:space="preserve"> </w:t>
      </w:r>
      <w:r w:rsidR="00362256">
        <w:t>D</w:t>
      </w:r>
      <w:r w:rsidR="00824170">
        <w:t xml:space="preserve">ecreased nerve conduction </w:t>
      </w:r>
      <w:r w:rsidR="006A0C26">
        <w:t xml:space="preserve">velocity </w:t>
      </w:r>
      <w:r w:rsidR="00362256">
        <w:t xml:space="preserve">occurred </w:t>
      </w:r>
      <w:r w:rsidR="006A0C26">
        <w:t xml:space="preserve">in rats exposed </w:t>
      </w:r>
      <w:r w:rsidR="00824170">
        <w:t>at 50 ppm</w:t>
      </w:r>
      <w:r w:rsidR="006A0C26">
        <w:t xml:space="preserve"> for six months</w:t>
      </w:r>
      <w:r w:rsidR="00824170">
        <w:t xml:space="preserve">. </w:t>
      </w:r>
      <w:r w:rsidR="008F2C74">
        <w:t>F</w:t>
      </w:r>
      <w:r w:rsidR="00824170">
        <w:t xml:space="preserve">ormation of the neurotoxic metabolite 2,5-hexanedione </w:t>
      </w:r>
      <w:r w:rsidR="00186F33">
        <w:t>i</w:t>
      </w:r>
      <w:r w:rsidR="00824170">
        <w:t xml:space="preserve">s </w:t>
      </w:r>
      <w:r w:rsidR="00663593">
        <w:t xml:space="preserve">detected </w:t>
      </w:r>
      <w:r w:rsidR="008F2C74">
        <w:t xml:space="preserve">in human serum </w:t>
      </w:r>
      <w:r w:rsidR="00824170">
        <w:t>following</w:t>
      </w:r>
      <w:r w:rsidR="008F2C74">
        <w:t xml:space="preserve"> inhalation </w:t>
      </w:r>
      <w:r w:rsidR="00186F33">
        <w:t>at</w:t>
      </w:r>
      <w:r w:rsidR="008F2C74">
        <w:t xml:space="preserve"> 50</w:t>
      </w:r>
      <w:r w:rsidR="007F1506">
        <w:t xml:space="preserve"> </w:t>
      </w:r>
      <w:r w:rsidR="00B67B59">
        <w:t xml:space="preserve">ppm over four hours and </w:t>
      </w:r>
      <w:r w:rsidR="008F2C74">
        <w:t xml:space="preserve">100 ppm </w:t>
      </w:r>
      <w:r w:rsidR="00B67B59">
        <w:t>over</w:t>
      </w:r>
      <w:r w:rsidR="008F2C74">
        <w:t xml:space="preserve"> seven and half hours (ACGIH,</w:t>
      </w:r>
      <w:r w:rsidR="004A1E6D">
        <w:t xml:space="preserve"> </w:t>
      </w:r>
      <w:r w:rsidR="008F2C74">
        <w:t xml:space="preserve">2001). </w:t>
      </w:r>
      <w:r w:rsidR="006A0C26">
        <w:t>A</w:t>
      </w:r>
      <w:r w:rsidR="00AA42C0">
        <w:t xml:space="preserve"> NOAEL of 190 mg/kg/day </w:t>
      </w:r>
      <w:r w:rsidR="006A0C26">
        <w:t xml:space="preserve">was identified </w:t>
      </w:r>
      <w:r w:rsidR="00AA42C0">
        <w:t xml:space="preserve">from a repeat oral dosing study in rats </w:t>
      </w:r>
      <w:r w:rsidR="006A0C26">
        <w:t>(</w:t>
      </w:r>
      <w:r w:rsidR="008F2C74">
        <w:t>DFG</w:t>
      </w:r>
      <w:r w:rsidR="006A0C26">
        <w:t>,</w:t>
      </w:r>
      <w:r w:rsidR="008F2C74">
        <w:t xml:space="preserve"> 2001)</w:t>
      </w:r>
      <w:r w:rsidR="006A0C26">
        <w:t>.</w:t>
      </w:r>
      <w:r w:rsidR="008F2C74">
        <w:t xml:space="preserve"> </w:t>
      </w:r>
    </w:p>
    <w:p w14:paraId="59F28C59" w14:textId="01510295" w:rsidR="008675EE" w:rsidRDefault="008F2C74" w:rsidP="006639B4">
      <w:r>
        <w:t xml:space="preserve">Based on the available evidence, </w:t>
      </w:r>
      <w:r w:rsidR="008675EE">
        <w:t>the SWA</w:t>
      </w:r>
      <w:r>
        <w:t xml:space="preserve"> TWA of 5 ppm</w:t>
      </w:r>
      <w:r w:rsidR="00FA1CCB">
        <w:t xml:space="preserve"> </w:t>
      </w:r>
      <w:r w:rsidR="00FA1CCB">
        <w:rPr>
          <w:rFonts w:cs="Arial"/>
        </w:rPr>
        <w:t xml:space="preserve">(20 </w:t>
      </w:r>
      <w:r w:rsidR="00FA1CCB">
        <w:t>mg/m</w:t>
      </w:r>
      <w:r w:rsidR="00FA1CCB">
        <w:rPr>
          <w:vertAlign w:val="superscript"/>
        </w:rPr>
        <w:t>3</w:t>
      </w:r>
      <w:r w:rsidR="00FA1CCB" w:rsidRPr="00FA1CCB">
        <w:t>)</w:t>
      </w:r>
      <w:r>
        <w:t xml:space="preserve"> </w:t>
      </w:r>
      <w:r w:rsidR="008675EE">
        <w:t xml:space="preserve">derived by ACGIH (2001) and DFG (2001) </w:t>
      </w:r>
      <w:r w:rsidR="009825EE">
        <w:t xml:space="preserve">is recommended </w:t>
      </w:r>
      <w:r w:rsidR="004A1E6D">
        <w:t xml:space="preserve">to </w:t>
      </w:r>
      <w:r w:rsidR="008675EE">
        <w:t xml:space="preserve">be retained </w:t>
      </w:r>
      <w:r w:rsidR="00AA42C0">
        <w:t xml:space="preserve">and </w:t>
      </w:r>
      <w:r>
        <w:t xml:space="preserve">considered </w:t>
      </w:r>
      <w:r w:rsidR="00AA42C0">
        <w:t>protective for neurotoxic effects</w:t>
      </w:r>
      <w:r w:rsidR="00D204F9">
        <w:t xml:space="preserve"> in exposed workers</w:t>
      </w:r>
      <w:r w:rsidR="00AA42C0">
        <w:t>.</w:t>
      </w:r>
      <w:r w:rsidR="00E1114A">
        <w:t xml:space="preserve"> </w:t>
      </w:r>
    </w:p>
    <w:p w14:paraId="54463C6E" w14:textId="57B860E5" w:rsidR="006639B4" w:rsidRDefault="00440779" w:rsidP="006639B4">
      <w:pPr>
        <w:rPr>
          <w:rFonts w:cs="Arial"/>
        </w:rPr>
      </w:pPr>
      <w:r>
        <w:t>A STEL of 10 ppm (40</w:t>
      </w:r>
      <w:r w:rsidR="00E564C5">
        <w:t> </w:t>
      </w:r>
      <w:r>
        <w:t>mg/m</w:t>
      </w:r>
      <w:r w:rsidRPr="007E546F">
        <w:rPr>
          <w:vertAlign w:val="superscript"/>
        </w:rPr>
        <w:t>3</w:t>
      </w:r>
      <w:r>
        <w:t xml:space="preserve">) </w:t>
      </w:r>
      <w:r w:rsidR="008675EE">
        <w:t xml:space="preserve">(ACHIH, 2001) </w:t>
      </w:r>
      <w:r>
        <w:t xml:space="preserve">is recommended to </w:t>
      </w:r>
      <w:r w:rsidR="004B4DE2">
        <w:t>protect for acute adverse effects including testicular toxicity</w:t>
      </w:r>
      <w:r w:rsidR="00D204F9">
        <w:t xml:space="preserve"> in exposed workers</w:t>
      </w:r>
      <w:r w:rsidR="004B4DE2">
        <w:t>.</w:t>
      </w:r>
    </w:p>
    <w:p w14:paraId="25892D44" w14:textId="77777777" w:rsidR="004529F0" w:rsidRPr="004C23F4" w:rsidRDefault="004529F0" w:rsidP="0039136A">
      <w:pPr>
        <w:pStyle w:val="Heading2"/>
      </w:pPr>
      <w:r>
        <w:lastRenderedPageBreak/>
        <w:t>Recommendation for notations</w:t>
      </w:r>
    </w:p>
    <w:p w14:paraId="1A9A535C" w14:textId="1AE1B0C1" w:rsidR="00AF3816" w:rsidRPr="001A55C0" w:rsidRDefault="00AF3816" w:rsidP="00DF76E3">
      <w:pPr>
        <w:keepNext/>
        <w:rPr>
          <w:rFonts w:cs="Arial"/>
        </w:rPr>
      </w:pPr>
      <w:r w:rsidRPr="001A55C0">
        <w:rPr>
          <w:rFonts w:cs="Arial"/>
        </w:rPr>
        <w:t>Not classified as a carcinogen according to the Globally Harmonized System of Classification and Labelling o</w:t>
      </w:r>
      <w:r w:rsidR="00966726" w:rsidRPr="001A55C0">
        <w:rPr>
          <w:rFonts w:cs="Arial"/>
        </w:rPr>
        <w:t>f</w:t>
      </w:r>
      <w:r w:rsidRPr="001A55C0">
        <w:rPr>
          <w:rFonts w:cs="Arial"/>
        </w:rPr>
        <w:t xml:space="preserve"> Chemicals (GHS). </w:t>
      </w:r>
    </w:p>
    <w:p w14:paraId="2D7CB91B" w14:textId="452C69BA" w:rsidR="00AF3816" w:rsidRPr="001A55C0" w:rsidRDefault="00AF3816" w:rsidP="00DF76E3">
      <w:pPr>
        <w:keepNext/>
        <w:rPr>
          <w:rFonts w:cs="Arial"/>
        </w:rPr>
      </w:pPr>
      <w:r w:rsidRPr="001A55C0">
        <w:rPr>
          <w:rFonts w:cs="Arial"/>
        </w:rPr>
        <w:t xml:space="preserve">Not classified as a skin </w:t>
      </w:r>
      <w:r w:rsidR="00966726" w:rsidRPr="001A55C0">
        <w:rPr>
          <w:rFonts w:cs="Arial"/>
        </w:rPr>
        <w:t xml:space="preserve">sensitiser </w:t>
      </w:r>
      <w:r w:rsidRPr="001A55C0">
        <w:rPr>
          <w:rFonts w:cs="Arial"/>
        </w:rPr>
        <w:t>or respiratory sensitiser according to the GHS.</w:t>
      </w:r>
    </w:p>
    <w:p w14:paraId="40231985" w14:textId="4DEA1405" w:rsidR="0025734A" w:rsidRPr="004C23F4" w:rsidRDefault="009C1DEA">
      <w:pPr>
        <w:rPr>
          <w:rFonts w:cs="Arial"/>
        </w:rPr>
      </w:pPr>
      <w:r w:rsidRPr="00A2713A">
        <w:rPr>
          <w:rFonts w:cs="Arial"/>
        </w:rPr>
        <w:t xml:space="preserve">A skin notation </w:t>
      </w:r>
      <w:r>
        <w:rPr>
          <w:rFonts w:cs="Arial"/>
        </w:rPr>
        <w:t xml:space="preserve">is </w:t>
      </w:r>
      <w:r w:rsidRPr="00A2713A">
        <w:rPr>
          <w:rFonts w:cs="Arial"/>
        </w:rPr>
        <w:t xml:space="preserve">recommended based on evidence suggesting </w:t>
      </w:r>
      <w:r>
        <w:rPr>
          <w:rFonts w:cs="Arial"/>
        </w:rPr>
        <w:t xml:space="preserve">rapid </w:t>
      </w:r>
      <w:r w:rsidRPr="00A2713A">
        <w:rPr>
          <w:rFonts w:cs="Arial"/>
        </w:rPr>
        <w:t>dermal absorption and contribution to total body burden</w:t>
      </w:r>
      <w:r>
        <w:rPr>
          <w:rFonts w:cs="Arial"/>
        </w:rPr>
        <w:t xml:space="preserve"> in humans</w:t>
      </w:r>
      <w:r w:rsidRPr="00A2713A">
        <w:rPr>
          <w:rFonts w:cs="Arial"/>
        </w:rPr>
        <w:t>.</w:t>
      </w:r>
    </w:p>
    <w:p w14:paraId="1D96C87A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3C95BCE6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577C8F75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4F11C283" w14:textId="77777777" w:rsidTr="00021C3D">
        <w:trPr>
          <w:gridAfter w:val="1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6098556B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36A7F686" w14:textId="77777777" w:rsidTr="00021C3D">
        <w:tc>
          <w:tcPr>
            <w:tcW w:w="5000" w:type="pct"/>
            <w:gridSpan w:val="2"/>
            <w:shd w:val="clear" w:color="auto" w:fill="F2F2F2" w:themeFill="background1" w:themeFillShade="F2"/>
          </w:tcPr>
          <w:p w14:paraId="775FF0DB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AF3816">
                  <w:t>1995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AF3816">
                  <w:t>TWA: 5 ppm (20 mg/m</w:t>
                </w:r>
                <w:r w:rsidR="00AF3816" w:rsidRPr="00AF3816">
                  <w:rPr>
                    <w:vertAlign w:val="superscript"/>
                  </w:rPr>
                  <w:t>3</w:t>
                </w:r>
                <w:r w:rsidR="00AF3816">
                  <w:t>)</w:t>
                </w:r>
              </w:sdtContent>
            </w:sdt>
          </w:p>
        </w:tc>
      </w:tr>
      <w:tr w:rsidR="00C978F0" w:rsidRPr="00DA352E" w14:paraId="4B48BA40" w14:textId="77777777" w:rsidTr="00021C3D">
        <w:trPr>
          <w:gridAfter w:val="1"/>
          <w:wAfter w:w="8" w:type="pct"/>
        </w:trPr>
        <w:tc>
          <w:tcPr>
            <w:tcW w:w="4992" w:type="pct"/>
          </w:tcPr>
          <w:p w14:paraId="64A93AFC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5B2152C0" w14:textId="77777777" w:rsidTr="00021C3D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401E07E2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AF3816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AF3816">
                  <w:t>TLV-TWA: 5 ppm (20 mg/m</w:t>
                </w:r>
                <w:r w:rsidR="00AF3816" w:rsidRPr="00AF3816">
                  <w:rPr>
                    <w:vertAlign w:val="superscript"/>
                  </w:rPr>
                  <w:t>3</w:t>
                </w:r>
                <w:r w:rsidR="00AF3816">
                  <w:t>); TLV-STEL: 10 ppm (40 mg/m</w:t>
                </w:r>
                <w:r w:rsidR="00AF3816" w:rsidRPr="00AF3816">
                  <w:rPr>
                    <w:vertAlign w:val="superscript"/>
                  </w:rPr>
                  <w:t>3</w:t>
                </w:r>
                <w:r w:rsidR="00AF3816">
                  <w:t>)</w:t>
                </w:r>
              </w:sdtContent>
            </w:sdt>
          </w:p>
        </w:tc>
      </w:tr>
      <w:tr w:rsidR="00C978F0" w:rsidRPr="00DA352E" w14:paraId="7C365006" w14:textId="77777777" w:rsidTr="00021C3D">
        <w:trPr>
          <w:gridAfter w:val="1"/>
          <w:wAfter w:w="8" w:type="pct"/>
        </w:trPr>
        <w:tc>
          <w:tcPr>
            <w:tcW w:w="4992" w:type="pct"/>
          </w:tcPr>
          <w:p w14:paraId="6A19C74F" w14:textId="0096DB63" w:rsidR="00E07072" w:rsidRDefault="006D304E" w:rsidP="0039136A">
            <w:pPr>
              <w:pStyle w:val="Tabletextprimarysource"/>
            </w:pPr>
            <w:r>
              <w:t xml:space="preserve">TLV-TWA recommended to </w:t>
            </w:r>
            <w:r w:rsidR="00E07072">
              <w:t xml:space="preserve">protect </w:t>
            </w:r>
            <w:r w:rsidR="00BF3261">
              <w:t>for</w:t>
            </w:r>
            <w:r>
              <w:t xml:space="preserve"> </w:t>
            </w:r>
            <w:r w:rsidR="00E07072">
              <w:t xml:space="preserve">neurotoxic </w:t>
            </w:r>
            <w:r>
              <w:t xml:space="preserve">effects </w:t>
            </w:r>
            <w:r w:rsidR="00E07072">
              <w:t>in exposed workers.</w:t>
            </w:r>
            <w:r w:rsidR="007361E7">
              <w:t xml:space="preserve"> </w:t>
            </w:r>
            <w:r w:rsidR="00021C3D">
              <w:t xml:space="preserve">TLV-TWA </w:t>
            </w:r>
            <w:r w:rsidR="000F33F3">
              <w:t xml:space="preserve">is </w:t>
            </w:r>
            <w:r w:rsidR="00021C3D">
              <w:t>based</w:t>
            </w:r>
            <w:r w:rsidR="00541A03">
              <w:t xml:space="preserve"> on </w:t>
            </w:r>
            <w:r w:rsidR="004F4D48">
              <w:t>decreased nerve conduction in rodents and nonhuman primates at 50</w:t>
            </w:r>
            <w:r w:rsidR="00D827E6">
              <w:t>–</w:t>
            </w:r>
            <w:r w:rsidR="004F4D48">
              <w:t xml:space="preserve">75 ppm and identification of </w:t>
            </w:r>
            <w:r w:rsidR="00C40104">
              <w:t xml:space="preserve">the </w:t>
            </w:r>
            <w:r w:rsidR="004F4D48">
              <w:t xml:space="preserve">neurotoxic metabolite 2,5-hexanedione in human serum at 50 ppm. </w:t>
            </w:r>
            <w:r w:rsidR="007361E7">
              <w:t xml:space="preserve">STEL recommended to protect </w:t>
            </w:r>
            <w:r w:rsidR="00BF3261">
              <w:t>for</w:t>
            </w:r>
            <w:r w:rsidR="007361E7">
              <w:t xml:space="preserve"> brief excursions which may induce testicular toxicity.</w:t>
            </w:r>
          </w:p>
          <w:p w14:paraId="65031C2B" w14:textId="53406444" w:rsidR="00C978F0" w:rsidRDefault="00E07072" w:rsidP="0039136A">
            <w:pPr>
              <w:pStyle w:val="Tabletextprimarysource"/>
            </w:pPr>
            <w:r>
              <w:t>Summary of data:</w:t>
            </w:r>
          </w:p>
          <w:p w14:paraId="45A7E264" w14:textId="77777777" w:rsidR="005A57CA" w:rsidRDefault="005A57CA">
            <w:pPr>
              <w:pStyle w:val="Tabletextprimarysource"/>
            </w:pPr>
            <w:r>
              <w:t>Human data:</w:t>
            </w:r>
          </w:p>
          <w:p w14:paraId="50FB2347" w14:textId="6B63566B" w:rsidR="005A57CA" w:rsidRDefault="005A57CA" w:rsidP="00DF76E3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Strong odour, transient, moderate eye and nasal irritation reported in volunteers exposed </w:t>
            </w:r>
            <w:r w:rsidR="00620343">
              <w:t>at</w:t>
            </w:r>
            <w:r>
              <w:t xml:space="preserve"> 1,000 ppm</w:t>
            </w:r>
          </w:p>
          <w:p w14:paraId="72690CD2" w14:textId="75487E70" w:rsidR="005A57CA" w:rsidRDefault="005A57CA" w:rsidP="00DF76E3">
            <w:pPr>
              <w:pStyle w:val="ListBullet"/>
              <w:spacing w:before="60" w:after="60"/>
              <w:ind w:left="714" w:hanging="357"/>
              <w:contextualSpacing w:val="0"/>
            </w:pPr>
            <w:r>
              <w:t>Increased potential for neurotoxicity due to 60</w:t>
            </w:r>
            <w:r w:rsidR="0039136A">
              <w:t>–</w:t>
            </w:r>
            <w:r>
              <w:t>90% pulmonary retention following inhalation</w:t>
            </w:r>
          </w:p>
          <w:p w14:paraId="24AA9F91" w14:textId="79A62AF7" w:rsidR="00186F33" w:rsidRDefault="00AB0A87" w:rsidP="00DF76E3">
            <w:pPr>
              <w:pStyle w:val="ListBullet"/>
              <w:spacing w:before="60" w:after="60"/>
              <w:ind w:left="714" w:hanging="357"/>
              <w:contextualSpacing w:val="0"/>
            </w:pPr>
            <w:r>
              <w:t>Absorption through skin reported, greatly increasing body burden</w:t>
            </w:r>
            <w:r w:rsidR="007F1506">
              <w:t>:</w:t>
            </w:r>
          </w:p>
          <w:p w14:paraId="5CAF5999" w14:textId="43675C58" w:rsidR="005A57CA" w:rsidRDefault="00AB0A87" w:rsidP="00232F55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>absorption rates of 4.2</w:t>
            </w:r>
            <w:r w:rsidR="0039136A">
              <w:t>–</w:t>
            </w:r>
            <w:r>
              <w:t>8.0</w:t>
            </w:r>
            <w:r w:rsidR="0094718F">
              <w:t> </w:t>
            </w:r>
            <w:r>
              <w:rPr>
                <w:rFonts w:cs="Arial"/>
              </w:rPr>
              <w:t>µ</w:t>
            </w:r>
            <w:r>
              <w:t>g/min/cm</w:t>
            </w:r>
            <w:r>
              <w:rPr>
                <w:vertAlign w:val="superscript"/>
              </w:rPr>
              <w:t>2</w:t>
            </w:r>
          </w:p>
          <w:p w14:paraId="63B2A1D2" w14:textId="6AA352C0" w:rsidR="00186F33" w:rsidRDefault="00AB0219" w:rsidP="00DF76E3">
            <w:pPr>
              <w:pStyle w:val="ListBullet"/>
              <w:spacing w:before="60" w:after="60"/>
              <w:ind w:left="714" w:hanging="357"/>
              <w:contextualSpacing w:val="0"/>
            </w:pPr>
            <w:r>
              <w:t>D</w:t>
            </w:r>
            <w:r w:rsidR="00966726">
              <w:t xml:space="preserve">istal polyneuropathy </w:t>
            </w:r>
            <w:r w:rsidR="00FE67BC">
              <w:t>reported in workers manufacturing printed fabrics</w:t>
            </w:r>
            <w:r w:rsidR="00686B38">
              <w:t xml:space="preserve"> with MnBK</w:t>
            </w:r>
            <w:r w:rsidR="00966726">
              <w:t>,</w:t>
            </w:r>
            <w:r w:rsidR="00686B38">
              <w:t xml:space="preserve"> </w:t>
            </w:r>
            <w:r w:rsidR="00966726">
              <w:t>with mean concentrations in air 6</w:t>
            </w:r>
            <w:r w:rsidR="0039136A">
              <w:t>–</w:t>
            </w:r>
            <w:r w:rsidR="00966726">
              <w:t>36 ppm</w:t>
            </w:r>
            <w:r w:rsidR="004A0D55">
              <w:t xml:space="preserve"> and area atmospheric concentrations 1</w:t>
            </w:r>
            <w:r w:rsidR="0039136A">
              <w:t>–</w:t>
            </w:r>
            <w:r w:rsidR="004A0D55">
              <w:t>156 ppm</w:t>
            </w:r>
            <w:r w:rsidR="007F1506">
              <w:t>:</w:t>
            </w:r>
            <w:r w:rsidR="004A0D55">
              <w:t xml:space="preserve"> </w:t>
            </w:r>
          </w:p>
          <w:p w14:paraId="5D55A64F" w14:textId="77777777" w:rsidR="00E4675D" w:rsidRDefault="00186F33" w:rsidP="00232F55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>n</w:t>
            </w:r>
            <w:r w:rsidR="004A0D55">
              <w:t>umerous variables affected concentrations reported</w:t>
            </w:r>
            <w:r w:rsidR="00966726">
              <w:t xml:space="preserve"> </w:t>
            </w:r>
            <w:r w:rsidR="004A0D55">
              <w:t>and unclear if atmospheric concentrations were representative of workers’ exposure concentration</w:t>
            </w:r>
          </w:p>
          <w:p w14:paraId="31A13DFF" w14:textId="3ADC407D" w:rsidR="00AB0A87" w:rsidRDefault="004A0D55" w:rsidP="00232F55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>accuracy of exposure levels</w:t>
            </w:r>
            <w:r w:rsidR="00E4675D">
              <w:t xml:space="preserve"> is not considered </w:t>
            </w:r>
            <w:r w:rsidR="00F75768">
              <w:t>reliable</w:t>
            </w:r>
          </w:p>
          <w:p w14:paraId="5575EC38" w14:textId="5D98EEA1" w:rsidR="004A0D55" w:rsidRDefault="00AB0219" w:rsidP="00DF76E3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neurologic effects reported in workers engaged for 3 yr in manufacture of MnBK; recorded air measurements 1</w:t>
            </w:r>
            <w:r w:rsidR="0094718F">
              <w:t>–</w:t>
            </w:r>
            <w:r>
              <w:t>46 ppm</w:t>
            </w:r>
          </w:p>
          <w:p w14:paraId="218AADBE" w14:textId="30AB50A1" w:rsidR="00824170" w:rsidRDefault="00824170" w:rsidP="00DF76E3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Neurotoxic metabolite 2,5-hexanedione identified in serum following inhalation for 4</w:t>
            </w:r>
            <w:r w:rsidR="0094718F">
              <w:t> </w:t>
            </w:r>
            <w:r>
              <w:t>h at 100 ppm and 7.5 h at 50 ppm</w:t>
            </w:r>
            <w:r w:rsidR="0039136A">
              <w:t>.</w:t>
            </w:r>
          </w:p>
          <w:p w14:paraId="4E78C7C5" w14:textId="77777777" w:rsidR="00AB0219" w:rsidRDefault="00AB0219" w:rsidP="0039136A">
            <w:pPr>
              <w:pStyle w:val="Tabletextprimarysource"/>
            </w:pPr>
            <w:r>
              <w:t>Animal data:</w:t>
            </w:r>
          </w:p>
          <w:p w14:paraId="3865AD66" w14:textId="77777777" w:rsidR="00AB0219" w:rsidRDefault="00AB0219" w:rsidP="00DF76E3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 w:rsidRPr="00AB0219">
              <w:rPr>
                <w:vertAlign w:val="subscript"/>
              </w:rPr>
              <w:t>50</w:t>
            </w:r>
            <w:r>
              <w:t>: 2,590 mg/kg (male rat, oral)</w:t>
            </w:r>
          </w:p>
          <w:p w14:paraId="06897D72" w14:textId="558B53E1" w:rsidR="00186F33" w:rsidRDefault="00AB0219" w:rsidP="00DF76E3">
            <w:pPr>
              <w:pStyle w:val="ListBullet"/>
              <w:spacing w:before="60" w:after="60"/>
              <w:ind w:left="714" w:hanging="357"/>
              <w:contextualSpacing w:val="0"/>
            </w:pPr>
            <w:r>
              <w:t>Minimum oral lethal dose of 914 mg/kg in guinea pigs;</w:t>
            </w:r>
            <w:r w:rsidR="007F1EE4">
              <w:t xml:space="preserve"> symptoms included eye and upper respiratory irritation, then narcosis and death</w:t>
            </w:r>
            <w:r w:rsidR="007F1506">
              <w:t>:</w:t>
            </w:r>
          </w:p>
          <w:p w14:paraId="3532FC5D" w14:textId="55138BBD" w:rsidR="00AB0219" w:rsidRDefault="00AB0219" w:rsidP="00232F55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>inhalation study for 810 min at 1,000 ppm reported no definite reaction</w:t>
            </w:r>
          </w:p>
          <w:p w14:paraId="6F8119B6" w14:textId="69E4B623" w:rsidR="007F1EE4" w:rsidRDefault="007F1EE4" w:rsidP="00DF76E3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Exposure </w:t>
            </w:r>
            <w:r w:rsidR="00186F33">
              <w:t>at</w:t>
            </w:r>
            <w:r>
              <w:t xml:space="preserve"> 200</w:t>
            </w:r>
            <w:r w:rsidR="0094718F">
              <w:t>–</w:t>
            </w:r>
            <w:r>
              <w:t>600 ppm in chickens, rats and cats for 24 h/d, 7 d/wk for 4</w:t>
            </w:r>
            <w:r w:rsidR="0094718F">
              <w:t>–</w:t>
            </w:r>
            <w:r>
              <w:t>12 wk caused peripheral neuropathy</w:t>
            </w:r>
          </w:p>
          <w:p w14:paraId="28453354" w14:textId="7B484AA3" w:rsidR="007F1EE4" w:rsidRDefault="007F1EE4" w:rsidP="00DF76E3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Rats and monkeys inhaling </w:t>
            </w:r>
            <w:r w:rsidR="00C40104">
              <w:t>1,000 ppm (6 h/d, 5 d/wk for 4 mo) or 100 ppm (6 h/d, 5 d/wk for 9 mo)</w:t>
            </w:r>
            <w:r w:rsidR="00C40104">
              <w:rPr>
                <w:rFonts w:cs="Arial"/>
              </w:rPr>
              <w:t xml:space="preserve"> </w:t>
            </w:r>
            <w:r w:rsidR="00C40104">
              <w:t xml:space="preserve">developed abnormal neurophysiologic indicators (no further information); doses </w:t>
            </w:r>
            <w:r w:rsidR="00ED770A">
              <w:rPr>
                <w:rFonts w:cs="Arial"/>
              </w:rPr>
              <w:t>≡</w:t>
            </w:r>
            <w:r>
              <w:t xml:space="preserve">TWA of 75 ppm </w:t>
            </w:r>
          </w:p>
          <w:p w14:paraId="0B3575B0" w14:textId="5C296755" w:rsidR="007F1EE4" w:rsidRDefault="007F1EE4" w:rsidP="00DF76E3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Recovery of </w:t>
            </w:r>
            <w:r w:rsidR="004F76FB">
              <w:t xml:space="preserve">neurologic effects noted in animal studies; exposures </w:t>
            </w:r>
            <w:r w:rsidR="00747AB2">
              <w:t xml:space="preserve">at </w:t>
            </w:r>
            <w:r w:rsidR="00D827E6">
              <w:br/>
            </w:r>
            <w:r w:rsidR="004F76FB">
              <w:t>100</w:t>
            </w:r>
            <w:r w:rsidR="0094718F">
              <w:t>–</w:t>
            </w:r>
            <w:r w:rsidR="004F76FB">
              <w:t>1,000</w:t>
            </w:r>
            <w:r w:rsidR="0094718F">
              <w:t> </w:t>
            </w:r>
            <w:r w:rsidR="004F76FB">
              <w:t>ppm</w:t>
            </w:r>
          </w:p>
          <w:p w14:paraId="586BF2ED" w14:textId="4D8C16F9" w:rsidR="004F76FB" w:rsidRDefault="004F76FB" w:rsidP="00DF76E3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Potentiation of toxicity with concurrent exposure to methyl ethyl ketone or ethanol and toxicity of chlorinated solvents </w:t>
            </w:r>
          </w:p>
          <w:p w14:paraId="79F389FB" w14:textId="54DA82F3" w:rsidR="00747AB2" w:rsidRDefault="00747AB2" w:rsidP="00DF76E3">
            <w:pPr>
              <w:pStyle w:val="ListBullet"/>
              <w:spacing w:before="60" w:after="60"/>
              <w:ind w:left="714" w:hanging="357"/>
              <w:contextualSpacing w:val="0"/>
            </w:pPr>
            <w:r>
              <w:t>Male rats developed atrophy of the testes following inhalation at 700 ppm for 11 wk</w:t>
            </w:r>
          </w:p>
          <w:p w14:paraId="6A7448D7" w14:textId="5146913E" w:rsidR="00186F33" w:rsidRDefault="0041265F" w:rsidP="00DF76E3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Testicular toxicity </w:t>
            </w:r>
            <w:r w:rsidR="00747AB2">
              <w:t>in rats confirmed following repeated sub</w:t>
            </w:r>
            <w:r w:rsidR="008675EE">
              <w:t>-</w:t>
            </w:r>
            <w:r w:rsidR="00747AB2">
              <w:t xml:space="preserve">chronic </w:t>
            </w:r>
            <w:r>
              <w:t>dos</w:t>
            </w:r>
            <w:r w:rsidR="00747AB2">
              <w:t>ing</w:t>
            </w:r>
            <w:r>
              <w:t xml:space="preserve"> at </w:t>
            </w:r>
            <w:r w:rsidR="00D827E6">
              <w:br/>
            </w:r>
            <w:r>
              <w:t>660</w:t>
            </w:r>
            <w:r w:rsidR="0094718F">
              <w:t>–</w:t>
            </w:r>
            <w:r>
              <w:t>1,400</w:t>
            </w:r>
            <w:r w:rsidR="00021C3D">
              <w:t> </w:t>
            </w:r>
            <w:r>
              <w:t>mg/kg/d</w:t>
            </w:r>
            <w:r w:rsidR="007F1506">
              <w:t>:</w:t>
            </w:r>
          </w:p>
          <w:p w14:paraId="75BDFF08" w14:textId="77777777" w:rsidR="00747AB2" w:rsidRDefault="00186F33" w:rsidP="00232F55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lastRenderedPageBreak/>
              <w:t>m</w:t>
            </w:r>
            <w:r w:rsidR="00720391">
              <w:t xml:space="preserve">etabolite 2,5-hexanedione formed during metabolism </w:t>
            </w:r>
            <w:r>
              <w:t>and</w:t>
            </w:r>
            <w:r w:rsidR="00720391">
              <w:t xml:space="preserve"> known to cause testicular toxicity in rodents</w:t>
            </w:r>
          </w:p>
          <w:p w14:paraId="6C73C0C4" w14:textId="7210D7AA" w:rsidR="0041265F" w:rsidRDefault="00747AB2" w:rsidP="00232F55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 xml:space="preserve">testicular injury occurs at doses below those which </w:t>
            </w:r>
            <w:r w:rsidR="0015599E">
              <w:t>bring about</w:t>
            </w:r>
            <w:r>
              <w:t xml:space="preserve"> </w:t>
            </w:r>
            <w:r w:rsidR="0015599E">
              <w:t>neurotoxicity</w:t>
            </w:r>
          </w:p>
          <w:p w14:paraId="54928D90" w14:textId="49A9EA3F" w:rsidR="0015599E" w:rsidRDefault="0015599E" w:rsidP="00232F55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>short, relatively high exposures to the metabolite associated with testicular toxicity, whereas chronic, lower exposure levels lead to defects in the axon</w:t>
            </w:r>
            <w:r w:rsidR="00021C3D">
              <w:t>.</w:t>
            </w:r>
          </w:p>
          <w:p w14:paraId="21CEA0EE" w14:textId="77777777" w:rsidR="00186F33" w:rsidRDefault="00186F33" w:rsidP="0039136A">
            <w:pPr>
              <w:pStyle w:val="Tabletextprimarysource"/>
            </w:pPr>
          </w:p>
          <w:p w14:paraId="2C30BDA9" w14:textId="77777777" w:rsidR="00186F33" w:rsidRDefault="0041265F" w:rsidP="0039136A">
            <w:pPr>
              <w:pStyle w:val="Tabletextprimarysource"/>
            </w:pPr>
            <w:r>
              <w:t xml:space="preserve">Skin notation assigned due to reports of significant increases in body burden following absorption through skin of humans. </w:t>
            </w:r>
          </w:p>
          <w:p w14:paraId="43177C66" w14:textId="77777777" w:rsidR="0041265F" w:rsidRDefault="0041265F" w:rsidP="0039136A">
            <w:pPr>
              <w:pStyle w:val="Tabletextprimarysource"/>
            </w:pPr>
            <w:r>
              <w:t>Insufficient data to recommend SEN or carcinogenicity notations.</w:t>
            </w:r>
          </w:p>
          <w:p w14:paraId="28706DF0" w14:textId="035731A0" w:rsidR="00186F33" w:rsidRPr="00DA352E" w:rsidRDefault="00186F33" w:rsidP="0039136A">
            <w:pPr>
              <w:pStyle w:val="Tabletextprimarysource"/>
            </w:pPr>
          </w:p>
        </w:tc>
      </w:tr>
      <w:tr w:rsidR="00C978F0" w:rsidRPr="00DA352E" w14:paraId="4D9C6F62" w14:textId="77777777" w:rsidTr="00021C3D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4AA8ED17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FB1B57" w:rsidRPr="00DA5DD5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FB1B57">
                  <w:t>MAK: 5 ppm (21 mg/m</w:t>
                </w:r>
                <w:r w:rsidR="00FB1B57" w:rsidRPr="00FB1B57">
                  <w:rPr>
                    <w:vertAlign w:val="superscript"/>
                  </w:rPr>
                  <w:t>3</w:t>
                </w:r>
                <w:r w:rsidR="00FB1B57">
                  <w:t>)</w:t>
                </w:r>
              </w:sdtContent>
            </w:sdt>
          </w:p>
        </w:tc>
      </w:tr>
      <w:tr w:rsidR="00C978F0" w:rsidRPr="00DA352E" w14:paraId="4C0C2C43" w14:textId="77777777" w:rsidTr="00021C3D">
        <w:trPr>
          <w:gridAfter w:val="1"/>
          <w:wAfter w:w="8" w:type="pct"/>
        </w:trPr>
        <w:tc>
          <w:tcPr>
            <w:tcW w:w="4992" w:type="pct"/>
          </w:tcPr>
          <w:p w14:paraId="01D64E87" w14:textId="77777777" w:rsidR="00C978F0" w:rsidRDefault="00C121D2" w:rsidP="00145A4F">
            <w:pPr>
              <w:pStyle w:val="Tabletextprimarysource"/>
            </w:pPr>
            <w:r>
              <w:t>Summary of additional data:</w:t>
            </w:r>
          </w:p>
          <w:p w14:paraId="3BFB842D" w14:textId="77777777" w:rsidR="00C121D2" w:rsidRDefault="000706C8" w:rsidP="00DF76E3">
            <w:pPr>
              <w:pStyle w:val="ListBullet"/>
              <w:spacing w:before="60" w:after="60"/>
              <w:ind w:left="714" w:hanging="357"/>
              <w:contextualSpacing w:val="0"/>
            </w:pPr>
            <w:r>
              <w:t>Metabolite 2,5-hexanedione caused testicular toxicity in rats without signs of peripheral neurotoxicity</w:t>
            </w:r>
          </w:p>
          <w:p w14:paraId="511A06E3" w14:textId="3D17A511" w:rsidR="00186F33" w:rsidRDefault="000706C8" w:rsidP="00DF76E3">
            <w:pPr>
              <w:pStyle w:val="ListBullet"/>
              <w:spacing w:before="60" w:after="60"/>
              <w:ind w:left="714" w:hanging="357"/>
              <w:contextualSpacing w:val="0"/>
            </w:pPr>
            <w:r>
              <w:t>Extent of testicular injury is dependent on rate of 2,5-hexanedione, not total dose</w:t>
            </w:r>
            <w:r w:rsidR="007F1506">
              <w:t>:</w:t>
            </w:r>
          </w:p>
          <w:p w14:paraId="5063A8BC" w14:textId="57C5FDEB" w:rsidR="000706C8" w:rsidRDefault="000706C8" w:rsidP="00232F55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>NOAEL of 190</w:t>
            </w:r>
            <w:r w:rsidR="00145A4F">
              <w:t> </w:t>
            </w:r>
            <w:r>
              <w:t>mg/kg/</w:t>
            </w:r>
            <w:r w:rsidR="00F673FB">
              <w:t>d</w:t>
            </w:r>
            <w:r>
              <w:t xml:space="preserve"> established </w:t>
            </w:r>
            <w:r w:rsidR="00824E70">
              <w:t xml:space="preserve">in rats </w:t>
            </w:r>
            <w:r>
              <w:t>(duration 69 d)</w:t>
            </w:r>
            <w:r w:rsidR="00CF26EF">
              <w:t>.</w:t>
            </w:r>
          </w:p>
          <w:p w14:paraId="4C0FEA39" w14:textId="77777777" w:rsidR="00186F33" w:rsidRDefault="00186F33" w:rsidP="00145A4F">
            <w:pPr>
              <w:pStyle w:val="Tabletextprimarysource"/>
            </w:pPr>
          </w:p>
          <w:p w14:paraId="1F7E2749" w14:textId="7F0EB60B" w:rsidR="000706C8" w:rsidRDefault="0001041C" w:rsidP="00145A4F">
            <w:pPr>
              <w:pStyle w:val="Tabletextprimarysource"/>
            </w:pPr>
            <w:r>
              <w:t>MAK has been dee</w:t>
            </w:r>
            <w:r w:rsidR="000706C8">
              <w:t>m</w:t>
            </w:r>
            <w:r>
              <w:t>ed adequately protective</w:t>
            </w:r>
            <w:r w:rsidR="000706C8">
              <w:t xml:space="preserve"> </w:t>
            </w:r>
            <w:r>
              <w:t xml:space="preserve">assuming </w:t>
            </w:r>
            <w:r w:rsidR="000706C8">
              <w:t xml:space="preserve">complete metabolism of MnBK to </w:t>
            </w:r>
            <w:r w:rsidR="009825EE">
              <w:br/>
            </w:r>
            <w:r w:rsidR="000706C8">
              <w:t>2,5-hexanedione</w:t>
            </w:r>
            <w:r w:rsidR="00162025">
              <w:t xml:space="preserve"> at MAK of 5 ppm </w:t>
            </w:r>
            <w:r w:rsidR="00F673FB">
              <w:t>(21 mg/m</w:t>
            </w:r>
            <w:r w:rsidR="00F673FB">
              <w:rPr>
                <w:vertAlign w:val="superscript"/>
              </w:rPr>
              <w:t>3</w:t>
            </w:r>
            <w:r w:rsidR="00F673FB">
              <w:t xml:space="preserve">), this </w:t>
            </w:r>
            <w:r w:rsidR="00162025">
              <w:t xml:space="preserve">is equivalent to </w:t>
            </w:r>
            <w:r w:rsidR="00793030">
              <w:t xml:space="preserve">total dose of </w:t>
            </w:r>
            <w:r w:rsidR="00F673FB">
              <w:t>3 mg/kg (</w:t>
            </w:r>
            <w:r w:rsidR="004A1E6D">
              <w:t xml:space="preserve">assuming </w:t>
            </w:r>
            <w:r w:rsidR="00F673FB">
              <w:t>70</w:t>
            </w:r>
            <w:r w:rsidR="00145A4F">
              <w:t> </w:t>
            </w:r>
            <w:r w:rsidR="00F673FB">
              <w:t>kg</w:t>
            </w:r>
            <w:r w:rsidR="00145A4F">
              <w:t> </w:t>
            </w:r>
            <w:r w:rsidR="006B7D73">
              <w:t xml:space="preserve">body weight </w:t>
            </w:r>
            <w:r w:rsidR="00F673FB">
              <w:t>and 10 m</w:t>
            </w:r>
            <w:r w:rsidR="00F673FB">
              <w:rPr>
                <w:vertAlign w:val="superscript"/>
              </w:rPr>
              <w:t>3</w:t>
            </w:r>
            <w:r w:rsidR="00F673FB">
              <w:t xml:space="preserve"> respiratory volume)</w:t>
            </w:r>
            <w:r w:rsidR="000706C8">
              <w:t xml:space="preserve"> </w:t>
            </w:r>
            <w:r w:rsidR="00F673FB">
              <w:t>and well below the NOAEL</w:t>
            </w:r>
            <w:r w:rsidR="006B7D73">
              <w:t xml:space="preserve"> (NOAEC)</w:t>
            </w:r>
            <w:r w:rsidR="00F673FB">
              <w:t>.</w:t>
            </w:r>
          </w:p>
          <w:p w14:paraId="0569EF40" w14:textId="0F5A8A73" w:rsidR="00186F33" w:rsidRPr="00DA352E" w:rsidRDefault="00186F33" w:rsidP="00145A4F">
            <w:pPr>
              <w:pStyle w:val="Tabletextprimarysource"/>
            </w:pPr>
          </w:p>
        </w:tc>
      </w:tr>
      <w:tr w:rsidR="00C978F0" w:rsidRPr="00DA352E" w14:paraId="5E6C74B3" w14:textId="77777777" w:rsidTr="00021C3D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0A0AE128" w14:textId="08A864E2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570653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570653">
                  <w:t>NA</w:t>
                </w:r>
              </w:sdtContent>
            </w:sdt>
          </w:p>
        </w:tc>
      </w:tr>
      <w:tr w:rsidR="00C978F0" w:rsidRPr="00DA352E" w14:paraId="20519F23" w14:textId="77777777" w:rsidTr="00021C3D">
        <w:trPr>
          <w:gridAfter w:val="1"/>
          <w:wAfter w:w="8" w:type="pct"/>
        </w:trPr>
        <w:tc>
          <w:tcPr>
            <w:tcW w:w="4992" w:type="pct"/>
          </w:tcPr>
          <w:p w14:paraId="01C5E793" w14:textId="62A42A24" w:rsidR="00C978F0" w:rsidRPr="00DA352E" w:rsidRDefault="00570653" w:rsidP="003365A5">
            <w:pPr>
              <w:pStyle w:val="Tabletextprimarysource"/>
            </w:pPr>
            <w:r>
              <w:t>No report</w:t>
            </w:r>
            <w:r w:rsidR="00145A4F">
              <w:t>.</w:t>
            </w:r>
          </w:p>
        </w:tc>
      </w:tr>
      <w:tr w:rsidR="00DA352E" w:rsidRPr="00DA352E" w14:paraId="6084C460" w14:textId="77777777" w:rsidTr="00021C3D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7652C60C" w14:textId="40081DDD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570653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570653">
                  <w:t>NA</w:t>
                </w:r>
              </w:sdtContent>
            </w:sdt>
          </w:p>
        </w:tc>
      </w:tr>
      <w:tr w:rsidR="00DA352E" w:rsidRPr="00DA352E" w14:paraId="0B45475C" w14:textId="77777777" w:rsidTr="00021C3D">
        <w:trPr>
          <w:gridAfter w:val="1"/>
          <w:wAfter w:w="8" w:type="pct"/>
        </w:trPr>
        <w:tc>
          <w:tcPr>
            <w:tcW w:w="4992" w:type="pct"/>
          </w:tcPr>
          <w:p w14:paraId="606E8731" w14:textId="4EF186D6" w:rsidR="00DA352E" w:rsidRPr="00DA352E" w:rsidRDefault="00570653" w:rsidP="003365A5">
            <w:pPr>
              <w:pStyle w:val="Tabletextprimarysource"/>
            </w:pPr>
            <w:r>
              <w:t>No report</w:t>
            </w:r>
            <w:r w:rsidR="00145A4F">
              <w:t>.</w:t>
            </w:r>
          </w:p>
        </w:tc>
      </w:tr>
      <w:tr w:rsidR="00DA352E" w:rsidRPr="00DA352E" w14:paraId="58A76401" w14:textId="77777777" w:rsidTr="00021C3D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7BCF3EC1" w14:textId="4A227C5E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570653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570653">
                  <w:t>NA</w:t>
                </w:r>
              </w:sdtContent>
            </w:sdt>
          </w:p>
        </w:tc>
      </w:tr>
      <w:tr w:rsidR="00DA352E" w:rsidRPr="00DA352E" w14:paraId="29991A5B" w14:textId="77777777" w:rsidTr="00021C3D">
        <w:trPr>
          <w:gridAfter w:val="1"/>
          <w:wAfter w:w="8" w:type="pct"/>
        </w:trPr>
        <w:tc>
          <w:tcPr>
            <w:tcW w:w="4992" w:type="pct"/>
          </w:tcPr>
          <w:p w14:paraId="28B457CD" w14:textId="22CEAA4B" w:rsidR="00DA352E" w:rsidRPr="00DA352E" w:rsidRDefault="00570653" w:rsidP="003365A5">
            <w:pPr>
              <w:pStyle w:val="Tabletextprimarysource"/>
            </w:pPr>
            <w:r>
              <w:t>No report</w:t>
            </w:r>
            <w:r w:rsidR="00145A4F">
              <w:t>.</w:t>
            </w:r>
          </w:p>
        </w:tc>
      </w:tr>
    </w:tbl>
    <w:p w14:paraId="7194E873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8"/>
        <w:gridCol w:w="423"/>
        <w:gridCol w:w="661"/>
        <w:gridCol w:w="6444"/>
      </w:tblGrid>
      <w:tr w:rsidR="004966BF" w:rsidRPr="00263255" w14:paraId="45EDF805" w14:textId="77777777" w:rsidTr="00F53187">
        <w:trPr>
          <w:cantSplit/>
          <w:trHeight w:val="393"/>
          <w:tblHeader/>
        </w:trPr>
        <w:tc>
          <w:tcPr>
            <w:tcW w:w="1498" w:type="dxa"/>
            <w:shd w:val="clear" w:color="auto" w:fill="BFBFBF" w:themeFill="background1" w:themeFillShade="BF"/>
            <w:vAlign w:val="center"/>
          </w:tcPr>
          <w:p w14:paraId="78A68A58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28165ADD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7CA8A4BA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4" w:type="dxa"/>
            <w:shd w:val="clear" w:color="auto" w:fill="BFBFBF" w:themeFill="background1" w:themeFillShade="BF"/>
            <w:vAlign w:val="center"/>
          </w:tcPr>
          <w:p w14:paraId="6CC4689B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78363559" w14:textId="77777777" w:rsidTr="00F53187">
        <w:trPr>
          <w:cantSplit/>
        </w:trPr>
        <w:tc>
          <w:tcPr>
            <w:tcW w:w="1498" w:type="dxa"/>
          </w:tcPr>
          <w:p w14:paraId="2C06A289" w14:textId="36726AB5" w:rsidR="004966BF" w:rsidRPr="004C23F4" w:rsidRDefault="00DA5DD5" w:rsidP="00224EE2">
            <w:pPr>
              <w:pStyle w:val="Tablefont"/>
            </w:pPr>
            <w:r>
              <w:t>NICNAS</w:t>
            </w:r>
          </w:p>
        </w:tc>
        <w:tc>
          <w:tcPr>
            <w:tcW w:w="423" w:type="dxa"/>
          </w:tcPr>
          <w:p w14:paraId="15961DF1" w14:textId="5D0CFD80" w:rsidR="004966BF" w:rsidRPr="00CE617F" w:rsidRDefault="00163F5F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F53187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B07548F" w14:textId="78C451E4" w:rsidR="004966BF" w:rsidRPr="004C23F4" w:rsidRDefault="00F53187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2015</w:t>
            </w:r>
          </w:p>
        </w:tc>
        <w:tc>
          <w:tcPr>
            <w:tcW w:w="6444" w:type="dxa"/>
          </w:tcPr>
          <w:p w14:paraId="2343B9A8" w14:textId="5B6285BC" w:rsidR="004966BF" w:rsidRPr="004C23F4" w:rsidRDefault="00790367" w:rsidP="004A1E6D">
            <w:pPr>
              <w:pStyle w:val="ListBullet"/>
              <w:spacing w:before="60" w:after="60"/>
              <w:ind w:left="714" w:hanging="357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LD</w:t>
            </w:r>
            <w:r w:rsidRPr="00790367">
              <w:rPr>
                <w:rStyle w:val="checkbox"/>
                <w:rFonts w:ascii="Arial" w:hAnsi="Arial" w:cs="Arial"/>
                <w:vertAlign w:val="subscript"/>
              </w:rPr>
              <w:t>50</w:t>
            </w:r>
            <w:r>
              <w:rPr>
                <w:rStyle w:val="checkbox"/>
                <w:rFonts w:ascii="Arial" w:hAnsi="Arial" w:cs="Arial"/>
              </w:rPr>
              <w:t>: 4,800 mg/kg (rabbits</w:t>
            </w:r>
            <w:r w:rsidR="00DA5DD5">
              <w:rPr>
                <w:rStyle w:val="checkbox"/>
                <w:rFonts w:ascii="Arial" w:hAnsi="Arial" w:cs="Arial"/>
              </w:rPr>
              <w:t>, dermal</w:t>
            </w:r>
            <w:r>
              <w:rPr>
                <w:rStyle w:val="checkbox"/>
                <w:rFonts w:ascii="Arial" w:hAnsi="Arial" w:cs="Arial"/>
              </w:rPr>
              <w:t>)</w:t>
            </w:r>
            <w:r w:rsidR="00145A4F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2F8ED25C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0287A725" w14:textId="77777777" w:rsidTr="008D192C">
        <w:trPr>
          <w:trHeight w:val="454"/>
          <w:tblHeader/>
        </w:trPr>
        <w:tc>
          <w:tcPr>
            <w:tcW w:w="6597" w:type="dxa"/>
            <w:vAlign w:val="center"/>
          </w:tcPr>
          <w:p w14:paraId="1528DA4F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5B4BB5BB" w14:textId="3F6C7001" w:rsidR="002E0D61" w:rsidRDefault="008D192C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3BF6C7B5" w14:textId="77777777" w:rsidTr="008D192C">
        <w:trPr>
          <w:trHeight w:val="454"/>
        </w:trPr>
        <w:tc>
          <w:tcPr>
            <w:tcW w:w="6597" w:type="dxa"/>
            <w:vAlign w:val="center"/>
          </w:tcPr>
          <w:p w14:paraId="2923F29C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631F1F0B" w14:textId="7E4E0FE4" w:rsidR="008A36CF" w:rsidRDefault="008D192C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186F33" w14:paraId="3EF896F6" w14:textId="77777777" w:rsidTr="009328B4">
        <w:trPr>
          <w:trHeight w:val="454"/>
        </w:trPr>
        <w:sdt>
          <w:sdtPr>
            <w:rPr>
              <w:b/>
            </w:rPr>
            <w:id w:val="1830936485"/>
            <w:placeholder>
              <w:docPart w:val="B8022BEAA9A84807A43826EBDD6FCA5F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23F667CB" w14:textId="1F9FBD7B" w:rsidR="00186F33" w:rsidRDefault="00186F33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74B93242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54CBDA68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FC9F885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25011E9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7A7CCDE" w14:textId="77777777" w:rsidTr="00812887">
        <w:trPr>
          <w:cantSplit/>
        </w:trPr>
        <w:tc>
          <w:tcPr>
            <w:tcW w:w="3227" w:type="dxa"/>
          </w:tcPr>
          <w:p w14:paraId="2B869B8E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660A63E9" w14:textId="2457E6C3" w:rsidR="00687890" w:rsidRPr="00DD2F9B" w:rsidRDefault="004969E6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4B497410" w14:textId="77777777" w:rsidTr="00812887">
        <w:trPr>
          <w:cantSplit/>
        </w:trPr>
        <w:tc>
          <w:tcPr>
            <w:tcW w:w="3227" w:type="dxa"/>
          </w:tcPr>
          <w:p w14:paraId="3B6B37B7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B4543DF" w14:textId="77777777" w:rsidR="007925F0" w:rsidRPr="00DD2F9B" w:rsidRDefault="00AF3816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25C33B31" w14:textId="77777777" w:rsidTr="00812887">
        <w:trPr>
          <w:cantSplit/>
        </w:trPr>
        <w:tc>
          <w:tcPr>
            <w:tcW w:w="3227" w:type="dxa"/>
          </w:tcPr>
          <w:p w14:paraId="5BF6708A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18483919" w14:textId="2CFD24A6" w:rsidR="00AF483F" w:rsidRPr="00DD2F9B" w:rsidRDefault="00DE7AD6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38DBCE85" w14:textId="77777777" w:rsidTr="00812887">
        <w:trPr>
          <w:cantSplit/>
        </w:trPr>
        <w:tc>
          <w:tcPr>
            <w:tcW w:w="3227" w:type="dxa"/>
          </w:tcPr>
          <w:p w14:paraId="4DC288BD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3B048E81" w14:textId="1F57284B" w:rsidR="00687890" w:rsidRPr="00DD2F9B" w:rsidRDefault="00DE7AD6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648DBDAD" w14:textId="77777777" w:rsidTr="00812887">
        <w:trPr>
          <w:cantSplit/>
        </w:trPr>
        <w:tc>
          <w:tcPr>
            <w:tcW w:w="3227" w:type="dxa"/>
          </w:tcPr>
          <w:p w14:paraId="638E8E1E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6EEF11E0" w14:textId="12F1AFDA" w:rsidR="00E41A26" w:rsidRPr="00DD2F9B" w:rsidRDefault="00DE7AD6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4843BF3" w14:textId="77777777" w:rsidTr="00812887">
        <w:trPr>
          <w:cantSplit/>
        </w:trPr>
        <w:tc>
          <w:tcPr>
            <w:tcW w:w="3227" w:type="dxa"/>
          </w:tcPr>
          <w:p w14:paraId="2CB28711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57F45C42" w14:textId="77777777" w:rsidR="002E0D61" w:rsidRPr="00DD2F9B" w:rsidRDefault="00AF3816" w:rsidP="00DD2F9B">
            <w:pPr>
              <w:pStyle w:val="Tablefont"/>
            </w:pPr>
            <w:r>
              <w:t>Skin</w:t>
            </w:r>
          </w:p>
        </w:tc>
      </w:tr>
      <w:tr w:rsidR="002E0D61" w:rsidRPr="004C23F4" w14:paraId="1ED425D4" w14:textId="77777777" w:rsidTr="00812887">
        <w:trPr>
          <w:cantSplit/>
        </w:trPr>
        <w:tc>
          <w:tcPr>
            <w:tcW w:w="3227" w:type="dxa"/>
          </w:tcPr>
          <w:p w14:paraId="6FFCA94C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4AF7C883" w14:textId="77777777" w:rsidR="002E0D61" w:rsidRPr="00DD2F9B" w:rsidRDefault="00377A04" w:rsidP="00DD2F9B">
            <w:pPr>
              <w:pStyle w:val="Tablefont"/>
            </w:pPr>
            <w:r>
              <w:t>H</w:t>
            </w:r>
            <w:r w:rsidR="00FB1B57">
              <w:t xml:space="preserve"> (skin)</w:t>
            </w:r>
          </w:p>
        </w:tc>
      </w:tr>
      <w:tr w:rsidR="002E0D61" w:rsidRPr="004C23F4" w14:paraId="7133E33C" w14:textId="77777777" w:rsidTr="00812887">
        <w:trPr>
          <w:cantSplit/>
        </w:trPr>
        <w:tc>
          <w:tcPr>
            <w:tcW w:w="3227" w:type="dxa"/>
          </w:tcPr>
          <w:p w14:paraId="4BBC007E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066BD0BF" w14:textId="5D24545F" w:rsidR="002E0D61" w:rsidRPr="00DD2F9B" w:rsidRDefault="00570653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7E14C2DF" w14:textId="77777777" w:rsidTr="00812887">
        <w:trPr>
          <w:cantSplit/>
        </w:trPr>
        <w:tc>
          <w:tcPr>
            <w:tcW w:w="3227" w:type="dxa"/>
          </w:tcPr>
          <w:p w14:paraId="6EA1694F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4151E6EC" w14:textId="749767DA" w:rsidR="002E0D61" w:rsidRPr="00DD2F9B" w:rsidRDefault="00570653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4C6367FD" w14:textId="77777777" w:rsidTr="00812887">
        <w:trPr>
          <w:cantSplit/>
        </w:trPr>
        <w:tc>
          <w:tcPr>
            <w:tcW w:w="3227" w:type="dxa"/>
          </w:tcPr>
          <w:p w14:paraId="7D84EEBA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6FC75060" w14:textId="474C6430" w:rsidR="00386093" w:rsidRPr="00DD2F9B" w:rsidRDefault="00DE7AD6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5AA26DF" w14:textId="77777777" w:rsidTr="00812887">
        <w:trPr>
          <w:cantSplit/>
        </w:trPr>
        <w:tc>
          <w:tcPr>
            <w:tcW w:w="3227" w:type="dxa"/>
          </w:tcPr>
          <w:p w14:paraId="1C992B28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3B1953A1" w14:textId="60EEE544" w:rsidR="00386093" w:rsidRPr="00DD2F9B" w:rsidRDefault="00F95A1F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7BA21B9D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150A57BD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22A37174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48D4B152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</w:tbl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3579"/>
        <w:gridCol w:w="973"/>
        <w:gridCol w:w="974"/>
        <w:gridCol w:w="3500"/>
      </w:tblGrid>
      <w:tr w:rsidR="00CF26EF" w14:paraId="08DB2EAB" w14:textId="77777777" w:rsidTr="00CF26EF">
        <w:trPr>
          <w:trHeight w:val="342"/>
        </w:trPr>
        <w:tc>
          <w:tcPr>
            <w:tcW w:w="2067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bookmarkEnd w:id="3"/>
          <w:p w14:paraId="186AA437" w14:textId="77777777" w:rsidR="00CF26EF" w:rsidRDefault="00CF26EF">
            <w:pPr>
              <w:spacing w:after="0"/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Adverse effects in human case study: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E2A7F76" w14:textId="77777777" w:rsidR="00CF26EF" w:rsidRDefault="00CF26EF">
            <w:pPr>
              <w:jc w:val="center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F68B585" w14:textId="77777777" w:rsidR="00CF26EF" w:rsidRDefault="00CF26EF">
            <w:pPr>
              <w:rPr>
                <w:rFonts w:ascii="Segoe UI" w:hAnsi="Segoe UI" w:cs="Segoe UI"/>
                <w:color w:val="C5D9F1"/>
                <w:sz w:val="18"/>
                <w:szCs w:val="18"/>
              </w:rPr>
            </w:pPr>
            <w:r>
              <w:rPr>
                <w:rFonts w:ascii="Segoe UI" w:hAnsi="Segoe UI" w:cs="Segoe UI"/>
                <w:color w:val="C5D9F1"/>
                <w:sz w:val="18"/>
                <w:szCs w:val="18"/>
              </w:rPr>
              <w:t> </w:t>
            </w:r>
          </w:p>
        </w:tc>
        <w:tc>
          <w:tcPr>
            <w:tcW w:w="1687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F089F7B" w14:textId="77777777" w:rsidR="00CF26EF" w:rsidRDefault="00CF26EF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</w:tr>
      <w:tr w:rsidR="00CF26EF" w14:paraId="6B089B2D" w14:textId="77777777" w:rsidTr="00CF26EF">
        <w:trPr>
          <w:trHeight w:val="342"/>
        </w:trPr>
        <w:tc>
          <w:tcPr>
            <w:tcW w:w="2067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B9A08B2" w14:textId="77777777" w:rsidR="00CF26EF" w:rsidRDefault="00CF26EF">
            <w:pPr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Dermal LD</w:t>
            </w:r>
            <w:r>
              <w:rPr>
                <w:rFonts w:ascii="Segoe UI" w:hAnsi="Segoe UI" w:cs="Segoe UI"/>
                <w:color w:val="000000"/>
                <w:sz w:val="18"/>
                <w:szCs w:val="18"/>
                <w:vertAlign w:val="subscript"/>
              </w:rPr>
              <w:t>50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≤1000 mg/kg: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F4C85CE" w14:textId="77777777" w:rsidR="00CF26EF" w:rsidRDefault="00CF26EF">
            <w:pPr>
              <w:jc w:val="center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no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5B61450" w14:textId="77777777" w:rsidR="00CF26EF" w:rsidRDefault="00CF26EF">
            <w:pPr>
              <w:rPr>
                <w:rFonts w:ascii="Segoe UI" w:hAnsi="Segoe UI" w:cs="Segoe UI"/>
                <w:color w:val="C5D9F1"/>
                <w:sz w:val="18"/>
                <w:szCs w:val="18"/>
              </w:rPr>
            </w:pPr>
            <w:r>
              <w:rPr>
                <w:rFonts w:ascii="Segoe UI" w:hAnsi="Segoe UI" w:cs="Segoe UI"/>
                <w:color w:val="C5D9F1"/>
                <w:sz w:val="18"/>
                <w:szCs w:val="18"/>
              </w:rPr>
              <w:t> </w:t>
            </w:r>
          </w:p>
        </w:tc>
        <w:tc>
          <w:tcPr>
            <w:tcW w:w="1687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5363127" w14:textId="77777777" w:rsidR="00CF26EF" w:rsidRDefault="00CF26EF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</w:tr>
      <w:tr w:rsidR="00CF26EF" w14:paraId="63A5E715" w14:textId="77777777" w:rsidTr="00CF26EF">
        <w:trPr>
          <w:trHeight w:val="342"/>
        </w:trPr>
        <w:tc>
          <w:tcPr>
            <w:tcW w:w="2067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43610C6" w14:textId="77777777" w:rsidR="00CF26EF" w:rsidRDefault="00CF26EF">
            <w:pPr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Dermal repeat-dose NOAEL ≤200 mg/kg: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92E467B" w14:textId="77777777" w:rsidR="00CF26EF" w:rsidRDefault="00CF26EF">
            <w:pPr>
              <w:jc w:val="center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F52D29F" w14:textId="77777777" w:rsidR="00CF26EF" w:rsidRDefault="00CF26EF">
            <w:pPr>
              <w:rPr>
                <w:rFonts w:ascii="Segoe UI" w:hAnsi="Segoe UI" w:cs="Segoe UI"/>
                <w:color w:val="C5D9F1"/>
                <w:sz w:val="18"/>
                <w:szCs w:val="18"/>
              </w:rPr>
            </w:pPr>
            <w:r>
              <w:rPr>
                <w:rFonts w:ascii="Segoe UI" w:hAnsi="Segoe UI" w:cs="Segoe UI"/>
                <w:color w:val="C5D9F1"/>
                <w:sz w:val="18"/>
                <w:szCs w:val="18"/>
              </w:rPr>
              <w:t> </w:t>
            </w:r>
          </w:p>
        </w:tc>
        <w:tc>
          <w:tcPr>
            <w:tcW w:w="1687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766F3DB" w14:textId="77777777" w:rsidR="00CF26EF" w:rsidRDefault="00CF26EF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</w:tr>
      <w:tr w:rsidR="00CF26EF" w14:paraId="4B8FA258" w14:textId="77777777" w:rsidTr="00CF26EF">
        <w:trPr>
          <w:trHeight w:val="342"/>
        </w:trPr>
        <w:tc>
          <w:tcPr>
            <w:tcW w:w="2067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E9EF841" w14:textId="77777777" w:rsidR="00CF26EF" w:rsidRDefault="00CF26EF">
            <w:pPr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Dermal LD</w:t>
            </w:r>
            <w:r>
              <w:rPr>
                <w:rFonts w:ascii="Segoe UI" w:hAnsi="Segoe UI" w:cs="Segoe UI"/>
                <w:color w:val="000000"/>
                <w:sz w:val="18"/>
                <w:szCs w:val="18"/>
                <w:vertAlign w:val="subscript"/>
              </w:rPr>
              <w:t>50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/Inhalation LD</w:t>
            </w:r>
            <w:r>
              <w:rPr>
                <w:rFonts w:ascii="Segoe UI" w:hAnsi="Segoe UI" w:cs="Segoe UI"/>
                <w:color w:val="000000"/>
                <w:sz w:val="18"/>
                <w:szCs w:val="18"/>
                <w:vertAlign w:val="subscript"/>
              </w:rPr>
              <w:t>50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&lt;10: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3A6B778" w14:textId="77777777" w:rsidR="00CF26EF" w:rsidRDefault="00CF26EF">
            <w:pPr>
              <w:jc w:val="center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DD95921" w14:textId="77777777" w:rsidR="00CF26EF" w:rsidRDefault="00CF26EF">
            <w:pPr>
              <w:rPr>
                <w:rFonts w:ascii="Segoe UI" w:hAnsi="Segoe UI" w:cs="Segoe UI"/>
                <w:color w:val="C5D9F1"/>
                <w:sz w:val="18"/>
                <w:szCs w:val="18"/>
              </w:rPr>
            </w:pPr>
            <w:r>
              <w:rPr>
                <w:rFonts w:ascii="Segoe UI" w:hAnsi="Segoe UI" w:cs="Segoe UI"/>
                <w:color w:val="C5D9F1"/>
                <w:sz w:val="18"/>
                <w:szCs w:val="18"/>
              </w:rPr>
              <w:t> </w:t>
            </w:r>
          </w:p>
        </w:tc>
        <w:tc>
          <w:tcPr>
            <w:tcW w:w="1687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63CF4FE" w14:textId="77777777" w:rsidR="00CF26EF" w:rsidRDefault="00CF26EF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</w:tr>
      <w:tr w:rsidR="00CF26EF" w14:paraId="0E3062AB" w14:textId="77777777" w:rsidTr="00CF26EF">
        <w:trPr>
          <w:trHeight w:val="342"/>
        </w:trPr>
        <w:tc>
          <w:tcPr>
            <w:tcW w:w="2067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053DD4A" w14:textId="77777777" w:rsidR="00CF26EF" w:rsidRDefault="00CF26EF">
            <w:pPr>
              <w:jc w:val="right"/>
              <w:rPr>
                <w:rFonts w:ascii="Segoe UI" w:hAnsi="Segoe UI" w:cs="Segoe UI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i/>
                <w:iCs/>
                <w:color w:val="000000"/>
                <w:sz w:val="18"/>
                <w:szCs w:val="18"/>
              </w:rPr>
              <w:t>In vivo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dermal absorption rate &gt;10%: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C5D3920" w14:textId="77777777" w:rsidR="00CF26EF" w:rsidRDefault="00CF26EF">
            <w:pPr>
              <w:jc w:val="center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F6540E9" w14:textId="77777777" w:rsidR="00CF26EF" w:rsidRDefault="00CF26EF">
            <w:pPr>
              <w:rPr>
                <w:rFonts w:ascii="Segoe UI" w:hAnsi="Segoe UI" w:cs="Segoe UI"/>
                <w:color w:val="C5D9F1"/>
                <w:sz w:val="18"/>
                <w:szCs w:val="18"/>
              </w:rPr>
            </w:pPr>
            <w:r>
              <w:rPr>
                <w:rFonts w:ascii="Segoe UI" w:hAnsi="Segoe UI" w:cs="Segoe UI"/>
                <w:color w:val="C5D9F1"/>
                <w:sz w:val="18"/>
                <w:szCs w:val="18"/>
              </w:rPr>
              <w:t> </w:t>
            </w:r>
          </w:p>
        </w:tc>
        <w:tc>
          <w:tcPr>
            <w:tcW w:w="1687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A782501" w14:textId="77777777" w:rsidR="00CF26EF" w:rsidRDefault="00CF26EF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</w:tr>
      <w:tr w:rsidR="009C1DEA" w14:paraId="4976A830" w14:textId="77777777" w:rsidTr="008859DE">
        <w:trPr>
          <w:trHeight w:val="342"/>
        </w:trPr>
        <w:tc>
          <w:tcPr>
            <w:tcW w:w="2067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14602A6" w14:textId="77777777" w:rsidR="009C1DEA" w:rsidRDefault="009C1DEA" w:rsidP="009C1DEA">
            <w:pPr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Estimated dermal exposure at WES &gt;10%: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000000" w:fill="FFEB9C"/>
            <w:noWrap/>
            <w:vAlign w:val="center"/>
            <w:hideMark/>
          </w:tcPr>
          <w:p w14:paraId="25E093EA" w14:textId="06B8C8DE" w:rsidR="009C1DEA" w:rsidRDefault="009C1DEA" w:rsidP="009C1DEA">
            <w:pPr>
              <w:jc w:val="center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9C1DEA">
              <w:rPr>
                <w:rFonts w:ascii="Segoe UI" w:eastAsia="Times New Roman" w:hAnsi="Segoe UI" w:cs="Segoe UI"/>
                <w:color w:val="9C6500"/>
                <w:sz w:val="18"/>
                <w:szCs w:val="18"/>
                <w:lang w:eastAsia="en-AU"/>
              </w:rPr>
              <w:t>yes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3974A5B" w14:textId="77777777" w:rsidR="009C1DEA" w:rsidRDefault="009C1DEA" w:rsidP="009C1DEA">
            <w:pPr>
              <w:rPr>
                <w:rFonts w:ascii="Segoe UI" w:hAnsi="Segoe UI" w:cs="Segoe UI"/>
                <w:color w:val="C5D9F1"/>
                <w:sz w:val="18"/>
                <w:szCs w:val="18"/>
              </w:rPr>
            </w:pPr>
            <w:r>
              <w:rPr>
                <w:rFonts w:ascii="Segoe UI" w:hAnsi="Segoe UI" w:cs="Segoe UI"/>
                <w:color w:val="C5D9F1"/>
                <w:sz w:val="18"/>
                <w:szCs w:val="18"/>
              </w:rPr>
              <w:t> </w:t>
            </w:r>
          </w:p>
        </w:tc>
        <w:tc>
          <w:tcPr>
            <w:tcW w:w="1687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E0C5070" w14:textId="77777777" w:rsidR="009C1DEA" w:rsidRDefault="009C1DEA" w:rsidP="009C1DEA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</w:tr>
      <w:tr w:rsidR="00CF26EF" w14:paraId="22FC4EE6" w14:textId="77777777" w:rsidTr="00CF26EF">
        <w:trPr>
          <w:trHeight w:val="342"/>
        </w:trPr>
        <w:tc>
          <w:tcPr>
            <w:tcW w:w="2067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81F088F" w14:textId="77777777" w:rsidR="00CF26EF" w:rsidRDefault="00CF26EF">
            <w:pPr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9984EF6" w14:textId="77777777" w:rsidR="00CF26EF" w:rsidRDefault="00CF26EF">
            <w:pPr>
              <w:jc w:val="center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319F442" w14:textId="77777777" w:rsidR="00CF26EF" w:rsidRDefault="00CF26EF">
            <w:pPr>
              <w:rPr>
                <w:rFonts w:ascii="Segoe UI" w:hAnsi="Segoe UI" w:cs="Segoe UI"/>
                <w:color w:val="C5D9F1"/>
                <w:sz w:val="18"/>
                <w:szCs w:val="18"/>
              </w:rPr>
            </w:pPr>
            <w:r>
              <w:rPr>
                <w:rFonts w:ascii="Segoe UI" w:hAnsi="Segoe UI" w:cs="Segoe UI"/>
                <w:color w:val="C5D9F1"/>
                <w:sz w:val="18"/>
                <w:szCs w:val="18"/>
              </w:rPr>
              <w:t> </w:t>
            </w:r>
          </w:p>
        </w:tc>
        <w:tc>
          <w:tcPr>
            <w:tcW w:w="1687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5BC46FF" w14:textId="76B9B8A8" w:rsidR="00CF26EF" w:rsidRDefault="009C1DEA">
            <w:pP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Insufficient data to assign a skin notation</w:t>
            </w:r>
          </w:p>
        </w:tc>
      </w:tr>
    </w:tbl>
    <w:p w14:paraId="3856A8FA" w14:textId="446B921D" w:rsidR="00EB3D1B" w:rsidRDefault="00CF26EF" w:rsidP="00EB3D1B">
      <w:pPr>
        <w:pStyle w:val="Heading3"/>
      </w:pPr>
      <w:r>
        <w:t xml:space="preserve"> </w:t>
      </w:r>
      <w:r w:rsidR="00EB3D1B"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72D519BD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6F9D4A32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00345608" w14:textId="670B9A4B" w:rsidR="00EB3D1B" w:rsidRDefault="00F95A1F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744967A3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16D54530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F19C9BB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5B5CEBF7" w14:textId="77777777" w:rsidR="001B79E5" w:rsidRDefault="0008339B" w:rsidP="001B79E5">
                <w:pPr>
                  <w:pStyle w:val="Tablefont"/>
                </w:pPr>
                <w:r>
                  <w:t>100.16</w:t>
                </w:r>
              </w:p>
            </w:tc>
          </w:sdtContent>
        </w:sdt>
      </w:tr>
      <w:tr w:rsidR="00A31D99" w:rsidRPr="004C23F4" w14:paraId="1F4781C6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ECC0FD7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58876EF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4208E444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54A3F55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C6C4E68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15B672A4" w14:textId="77777777" w:rsidTr="00EA6243">
        <w:trPr>
          <w:cantSplit/>
        </w:trPr>
        <w:tc>
          <w:tcPr>
            <w:tcW w:w="4077" w:type="dxa"/>
            <w:vAlign w:val="center"/>
          </w:tcPr>
          <w:p w14:paraId="6A29E189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3BE46FE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30183F2" w14:textId="77777777" w:rsidTr="00EA6243">
        <w:trPr>
          <w:cantSplit/>
        </w:trPr>
        <w:tc>
          <w:tcPr>
            <w:tcW w:w="4077" w:type="dxa"/>
            <w:vAlign w:val="center"/>
          </w:tcPr>
          <w:p w14:paraId="1358B46E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D0E91F0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7FBE9C2" w14:textId="77777777" w:rsidTr="00EA6243">
        <w:trPr>
          <w:cantSplit/>
        </w:trPr>
        <w:tc>
          <w:tcPr>
            <w:tcW w:w="4077" w:type="dxa"/>
            <w:vAlign w:val="center"/>
          </w:tcPr>
          <w:p w14:paraId="2C2FBA00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3DFF58BC" w14:textId="77777777" w:rsidR="00E06F40" w:rsidRPr="00A006A0" w:rsidRDefault="00163F5F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FB1B57">
                  <w:sym w:font="Wingdings" w:char="F0FC"/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66437990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B4A09E8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459B6B18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76685321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1F278217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026AD8EF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5810FF85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49B65EA2" w14:textId="77777777" w:rsidR="00F87D92" w:rsidRDefault="00F87D92" w:rsidP="00145A4F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7459421E" w14:textId="7934036F" w:rsidR="007F1005" w:rsidRDefault="006650FE" w:rsidP="00DF76E3">
      <w:pPr>
        <w:keepNext/>
      </w:pPr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6C7C54C4" w14:textId="4C9BC33C" w:rsidR="00F95A1F" w:rsidRDefault="00F95A1F" w:rsidP="00DF76E3">
      <w:pPr>
        <w:keepNext/>
        <w:rPr>
          <w:b/>
        </w:rPr>
      </w:pPr>
      <w:r w:rsidRPr="002022B6">
        <w:t>Deutsche Forschungsgemeinschaft (DFG)</w:t>
      </w:r>
      <w:r>
        <w:t xml:space="preserve"> (</w:t>
      </w:r>
      <w:r w:rsidR="00716F1E">
        <w:t>2001</w:t>
      </w:r>
      <w:r>
        <w:t xml:space="preserve">) </w:t>
      </w:r>
      <w:r w:rsidR="00716F1E" w:rsidRPr="00716F1E">
        <w:t>2</w:t>
      </w:r>
      <w:r w:rsidR="00716F1E" w:rsidRPr="00716F1E">
        <w:rPr>
          <w:rFonts w:ascii="Cambria Math" w:hAnsi="Cambria Math" w:cs="Cambria Math"/>
        </w:rPr>
        <w:t>‐</w:t>
      </w:r>
      <w:r w:rsidR="00716F1E" w:rsidRPr="00716F1E">
        <w:t>Hexanon</w:t>
      </w:r>
      <w:r>
        <w:t xml:space="preserve"> – MAK value documentation.</w:t>
      </w:r>
    </w:p>
    <w:p w14:paraId="0DFDAD64" w14:textId="729A1B99" w:rsidR="00DA5DD5" w:rsidRDefault="00DA5DD5" w:rsidP="00DF76E3">
      <w:pPr>
        <w:keepNext/>
      </w:pPr>
      <w:r w:rsidRPr="002022B6">
        <w:t>National Industrial Chemicals Notification and Assessment Scheme (NICNAS)</w:t>
      </w:r>
      <w:r>
        <w:t xml:space="preserve"> (2015) 2-Hexanone: Human health tier II assessment.</w:t>
      </w:r>
    </w:p>
    <w:p w14:paraId="5C3939F3" w14:textId="511AD8D8" w:rsidR="00716F1E" w:rsidRDefault="00716F1E" w:rsidP="00DF76E3">
      <w:pPr>
        <w:keepNext/>
        <w:rPr>
          <w:b/>
        </w:rPr>
      </w:pPr>
      <w:r w:rsidRPr="00D86E03">
        <w:t>US National Institute for Occupational Safety and Health (NIOSH)</w:t>
      </w:r>
      <w:r>
        <w:t xml:space="preserve"> (</w:t>
      </w:r>
      <w:sdt>
        <w:sdtPr>
          <w:id w:val="-1194999823"/>
          <w:placeholder>
            <w:docPart w:val="5586B8142A6A4C3EB4C031B92F7E0F92"/>
          </w:placeholder>
          <w:temporary/>
          <w:showingPlcHdr/>
        </w:sdtPr>
        <w:sdtEndPr/>
        <w:sdtContent>
          <w:r w:rsidRPr="00492561">
            <w:t>1994</w:t>
          </w:r>
        </w:sdtContent>
      </w:sdt>
      <w:r>
        <w:t xml:space="preserve">) Immediately dangerous to life or health concentrations – </w:t>
      </w:r>
      <w:r w:rsidR="007001FA" w:rsidRPr="007001FA">
        <w:t>2-Hexanone</w:t>
      </w:r>
      <w:r>
        <w:t>.</w:t>
      </w:r>
    </w:p>
    <w:p w14:paraId="6E3AE203" w14:textId="5EE560EE" w:rsidR="00F95A1F" w:rsidRPr="00351FE0" w:rsidRDefault="00F95A1F" w:rsidP="00084859"/>
    <w:sectPr w:rsidR="00F95A1F" w:rsidRPr="00351FE0" w:rsidSect="00B87D4C">
      <w:headerReference w:type="default" r:id="rId18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9A0441" w14:textId="77777777" w:rsidR="003D465E" w:rsidRDefault="003D465E" w:rsidP="00F43AD5">
      <w:pPr>
        <w:spacing w:after="0" w:line="240" w:lineRule="auto"/>
      </w:pPr>
      <w:r>
        <w:separator/>
      </w:r>
    </w:p>
  </w:endnote>
  <w:endnote w:type="continuationSeparator" w:id="0">
    <w:p w14:paraId="25FA85B2" w14:textId="77777777" w:rsidR="003D465E" w:rsidRDefault="003D465E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943AA2" w14:textId="77777777" w:rsidR="0001107E" w:rsidRDefault="0001107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5047E4C7" w14:textId="77777777" w:rsidR="008A36CF" w:rsidRDefault="00CF27B2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Methyl n-butyl ketone</w:t>
        </w:r>
        <w:r w:rsidR="008A36CF">
          <w:rPr>
            <w:b/>
            <w:sz w:val="18"/>
            <w:szCs w:val="18"/>
          </w:rPr>
          <w:t xml:space="preserve"> </w:t>
        </w:r>
        <w:r>
          <w:rPr>
            <w:b/>
            <w:sz w:val="18"/>
            <w:szCs w:val="18"/>
          </w:rPr>
          <w:t>(</w:t>
        </w:r>
        <w:r w:rsidRPr="00CF27B2">
          <w:rPr>
            <w:b/>
            <w:sz w:val="18"/>
            <w:szCs w:val="18"/>
          </w:rPr>
          <w:t>591-78-6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712077AA" w14:textId="2F94A086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150D13">
          <w:rPr>
            <w:noProof/>
            <w:sz w:val="18"/>
            <w:szCs w:val="18"/>
          </w:rPr>
          <w:t>6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0AA67" w14:textId="77777777" w:rsidR="0001107E" w:rsidRDefault="000110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4053F0" w14:textId="77777777" w:rsidR="003D465E" w:rsidRDefault="003D465E" w:rsidP="00F43AD5">
      <w:pPr>
        <w:spacing w:after="0" w:line="240" w:lineRule="auto"/>
      </w:pPr>
      <w:r>
        <w:separator/>
      </w:r>
    </w:p>
  </w:footnote>
  <w:footnote w:type="continuationSeparator" w:id="0">
    <w:p w14:paraId="04BCD202" w14:textId="77777777" w:rsidR="003D465E" w:rsidRDefault="003D465E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4C114" w14:textId="77777777" w:rsidR="0001107E" w:rsidRDefault="0001107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A74AE" w14:textId="74FDEAE1" w:rsidR="0001107E" w:rsidRDefault="0001107E" w:rsidP="0001107E">
    <w:pPr>
      <w:pStyle w:val="Header"/>
      <w:jc w:val="right"/>
    </w:pPr>
    <w:r>
      <w:rPr>
        <w:noProof/>
        <w:lang w:eastAsia="en-AU"/>
      </w:rPr>
      <w:drawing>
        <wp:inline distT="0" distB="0" distL="0" distR="0" wp14:anchorId="2B4014CB" wp14:editId="3D1F4436">
          <wp:extent cx="2943225" cy="590550"/>
          <wp:effectExtent l="0" t="0" r="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E04D3B6" w14:textId="2BC55CCE" w:rsidR="008A36CF" w:rsidRPr="0001107E" w:rsidRDefault="008A36CF" w:rsidP="0001107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FED1CF" w14:textId="77777777" w:rsidR="0001107E" w:rsidRDefault="0001107E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B2A03" w14:textId="0467E8D9" w:rsidR="0001107E" w:rsidRDefault="0001107E" w:rsidP="0001107E">
    <w:pPr>
      <w:pStyle w:val="Header"/>
      <w:jc w:val="right"/>
    </w:pPr>
    <w:r>
      <w:rPr>
        <w:noProof/>
        <w:lang w:eastAsia="en-AU"/>
      </w:rPr>
      <w:drawing>
        <wp:inline distT="0" distB="0" distL="0" distR="0" wp14:anchorId="2920C627" wp14:editId="2A6E15F0">
          <wp:extent cx="2943225" cy="590550"/>
          <wp:effectExtent l="0" t="0" r="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D3B8400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EC92485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F18308A"/>
    <w:multiLevelType w:val="hybridMultilevel"/>
    <w:tmpl w:val="D6CA9A7C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1471970810">
    <w:abstractNumId w:val="0"/>
  </w:num>
  <w:num w:numId="2" w16cid:durableId="1764885183">
    <w:abstractNumId w:val="0"/>
  </w:num>
  <w:num w:numId="3" w16cid:durableId="756901777">
    <w:abstractNumId w:val="1"/>
  </w:num>
  <w:num w:numId="4" w16cid:durableId="1959946458">
    <w:abstractNumId w:val="0"/>
  </w:num>
  <w:num w:numId="5" w16cid:durableId="637807621">
    <w:abstractNumId w:val="0"/>
  </w:num>
  <w:num w:numId="6" w16cid:durableId="1170757490">
    <w:abstractNumId w:val="0"/>
  </w:num>
  <w:num w:numId="7" w16cid:durableId="954992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041C"/>
    <w:rsid w:val="0001107E"/>
    <w:rsid w:val="00013A22"/>
    <w:rsid w:val="00014C3F"/>
    <w:rsid w:val="00017C82"/>
    <w:rsid w:val="00021C3D"/>
    <w:rsid w:val="00032B88"/>
    <w:rsid w:val="00035D5E"/>
    <w:rsid w:val="00046DF5"/>
    <w:rsid w:val="00052060"/>
    <w:rsid w:val="0005574A"/>
    <w:rsid w:val="00055FE1"/>
    <w:rsid w:val="00056EC2"/>
    <w:rsid w:val="00060B48"/>
    <w:rsid w:val="00067F32"/>
    <w:rsid w:val="000706C8"/>
    <w:rsid w:val="00071807"/>
    <w:rsid w:val="000803E1"/>
    <w:rsid w:val="0008339B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0F33F3"/>
    <w:rsid w:val="0010461E"/>
    <w:rsid w:val="00106FAA"/>
    <w:rsid w:val="00113443"/>
    <w:rsid w:val="001269A7"/>
    <w:rsid w:val="00131092"/>
    <w:rsid w:val="00140E6A"/>
    <w:rsid w:val="00145A4F"/>
    <w:rsid w:val="00146545"/>
    <w:rsid w:val="00146B75"/>
    <w:rsid w:val="00150D13"/>
    <w:rsid w:val="0015266D"/>
    <w:rsid w:val="0015288A"/>
    <w:rsid w:val="0015599E"/>
    <w:rsid w:val="00160F47"/>
    <w:rsid w:val="00161ABB"/>
    <w:rsid w:val="00162025"/>
    <w:rsid w:val="00163F5F"/>
    <w:rsid w:val="00177CA1"/>
    <w:rsid w:val="00183823"/>
    <w:rsid w:val="00183942"/>
    <w:rsid w:val="00186F33"/>
    <w:rsid w:val="001A009E"/>
    <w:rsid w:val="001A1287"/>
    <w:rsid w:val="001A3859"/>
    <w:rsid w:val="001A3C9D"/>
    <w:rsid w:val="001A43F8"/>
    <w:rsid w:val="001A55C0"/>
    <w:rsid w:val="001B79E5"/>
    <w:rsid w:val="001D56F0"/>
    <w:rsid w:val="001D663B"/>
    <w:rsid w:val="001D7B41"/>
    <w:rsid w:val="001E27E3"/>
    <w:rsid w:val="001E46DA"/>
    <w:rsid w:val="001E74FC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6008"/>
    <w:rsid w:val="00227EC7"/>
    <w:rsid w:val="00232F55"/>
    <w:rsid w:val="00244AD1"/>
    <w:rsid w:val="002463BC"/>
    <w:rsid w:val="002465CE"/>
    <w:rsid w:val="0025734A"/>
    <w:rsid w:val="00263255"/>
    <w:rsid w:val="002669B2"/>
    <w:rsid w:val="00276494"/>
    <w:rsid w:val="00277B0C"/>
    <w:rsid w:val="002B1A2C"/>
    <w:rsid w:val="002B6297"/>
    <w:rsid w:val="002C34F2"/>
    <w:rsid w:val="002C58FF"/>
    <w:rsid w:val="002C5BEA"/>
    <w:rsid w:val="002C7AFE"/>
    <w:rsid w:val="002D05D2"/>
    <w:rsid w:val="002E0D61"/>
    <w:rsid w:val="002E4C7B"/>
    <w:rsid w:val="0030740C"/>
    <w:rsid w:val="003110C0"/>
    <w:rsid w:val="00315833"/>
    <w:rsid w:val="003215EE"/>
    <w:rsid w:val="003224BF"/>
    <w:rsid w:val="003241A8"/>
    <w:rsid w:val="003253F0"/>
    <w:rsid w:val="003323BB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256"/>
    <w:rsid w:val="00362895"/>
    <w:rsid w:val="00370DBF"/>
    <w:rsid w:val="00377A04"/>
    <w:rsid w:val="00386093"/>
    <w:rsid w:val="00386D44"/>
    <w:rsid w:val="003904A4"/>
    <w:rsid w:val="0039136A"/>
    <w:rsid w:val="00391841"/>
    <w:rsid w:val="00391B6D"/>
    <w:rsid w:val="00394922"/>
    <w:rsid w:val="003A0E32"/>
    <w:rsid w:val="003A2B94"/>
    <w:rsid w:val="003B387D"/>
    <w:rsid w:val="003C0D58"/>
    <w:rsid w:val="003D465E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265F"/>
    <w:rsid w:val="00417A56"/>
    <w:rsid w:val="00420957"/>
    <w:rsid w:val="00422A10"/>
    <w:rsid w:val="00430179"/>
    <w:rsid w:val="004375D9"/>
    <w:rsid w:val="00440779"/>
    <w:rsid w:val="004414B5"/>
    <w:rsid w:val="00444482"/>
    <w:rsid w:val="00444B42"/>
    <w:rsid w:val="00445E44"/>
    <w:rsid w:val="004509E2"/>
    <w:rsid w:val="004515EE"/>
    <w:rsid w:val="004529F0"/>
    <w:rsid w:val="004604A7"/>
    <w:rsid w:val="00460A03"/>
    <w:rsid w:val="00464B59"/>
    <w:rsid w:val="00472A11"/>
    <w:rsid w:val="00472AAD"/>
    <w:rsid w:val="00474E33"/>
    <w:rsid w:val="00476803"/>
    <w:rsid w:val="00485BFD"/>
    <w:rsid w:val="004867A2"/>
    <w:rsid w:val="004873F2"/>
    <w:rsid w:val="0048795F"/>
    <w:rsid w:val="00490D4C"/>
    <w:rsid w:val="00492561"/>
    <w:rsid w:val="00493A35"/>
    <w:rsid w:val="0049527A"/>
    <w:rsid w:val="004966BF"/>
    <w:rsid w:val="004969E6"/>
    <w:rsid w:val="00497984"/>
    <w:rsid w:val="004A0D55"/>
    <w:rsid w:val="004A1E6D"/>
    <w:rsid w:val="004A5088"/>
    <w:rsid w:val="004B4DE2"/>
    <w:rsid w:val="004C1E3F"/>
    <w:rsid w:val="004C23F4"/>
    <w:rsid w:val="004C3475"/>
    <w:rsid w:val="004C58B6"/>
    <w:rsid w:val="004D16A3"/>
    <w:rsid w:val="004D4AA1"/>
    <w:rsid w:val="004D6D68"/>
    <w:rsid w:val="004E3F45"/>
    <w:rsid w:val="004E5EDD"/>
    <w:rsid w:val="004F448A"/>
    <w:rsid w:val="004F493D"/>
    <w:rsid w:val="004F4D48"/>
    <w:rsid w:val="004F65E8"/>
    <w:rsid w:val="004F76FB"/>
    <w:rsid w:val="0050005E"/>
    <w:rsid w:val="00502B88"/>
    <w:rsid w:val="0050764F"/>
    <w:rsid w:val="005120CF"/>
    <w:rsid w:val="005142C4"/>
    <w:rsid w:val="0051509C"/>
    <w:rsid w:val="005154CE"/>
    <w:rsid w:val="00524D57"/>
    <w:rsid w:val="005272E2"/>
    <w:rsid w:val="0053108F"/>
    <w:rsid w:val="00532B56"/>
    <w:rsid w:val="00534B10"/>
    <w:rsid w:val="00541A03"/>
    <w:rsid w:val="005446A2"/>
    <w:rsid w:val="00544D2F"/>
    <w:rsid w:val="00551BD8"/>
    <w:rsid w:val="00570653"/>
    <w:rsid w:val="00581055"/>
    <w:rsid w:val="00591E38"/>
    <w:rsid w:val="005A19C5"/>
    <w:rsid w:val="005A3034"/>
    <w:rsid w:val="005A462D"/>
    <w:rsid w:val="005A57CA"/>
    <w:rsid w:val="005B253B"/>
    <w:rsid w:val="005B771D"/>
    <w:rsid w:val="005C5D16"/>
    <w:rsid w:val="005C626A"/>
    <w:rsid w:val="005D3193"/>
    <w:rsid w:val="005D4A6E"/>
    <w:rsid w:val="005E6979"/>
    <w:rsid w:val="005E75CB"/>
    <w:rsid w:val="006013C1"/>
    <w:rsid w:val="0060669E"/>
    <w:rsid w:val="00610F2E"/>
    <w:rsid w:val="00611399"/>
    <w:rsid w:val="00620343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593"/>
    <w:rsid w:val="006639B4"/>
    <w:rsid w:val="006650FE"/>
    <w:rsid w:val="0067305D"/>
    <w:rsid w:val="00677D9B"/>
    <w:rsid w:val="006867F3"/>
    <w:rsid w:val="00686B38"/>
    <w:rsid w:val="00687890"/>
    <w:rsid w:val="006901A2"/>
    <w:rsid w:val="00690368"/>
    <w:rsid w:val="0069079C"/>
    <w:rsid w:val="00690B53"/>
    <w:rsid w:val="00695B72"/>
    <w:rsid w:val="006A0C26"/>
    <w:rsid w:val="006B160A"/>
    <w:rsid w:val="006B1913"/>
    <w:rsid w:val="006B4E6C"/>
    <w:rsid w:val="006B50B6"/>
    <w:rsid w:val="006B7D73"/>
    <w:rsid w:val="006D304E"/>
    <w:rsid w:val="006D79EA"/>
    <w:rsid w:val="006E5D05"/>
    <w:rsid w:val="007001FA"/>
    <w:rsid w:val="00701053"/>
    <w:rsid w:val="00701507"/>
    <w:rsid w:val="00714021"/>
    <w:rsid w:val="00716A0F"/>
    <w:rsid w:val="00716F1E"/>
    <w:rsid w:val="00717D45"/>
    <w:rsid w:val="00720391"/>
    <w:rsid w:val="007208F7"/>
    <w:rsid w:val="007218AF"/>
    <w:rsid w:val="00727D22"/>
    <w:rsid w:val="007361E7"/>
    <w:rsid w:val="007365D1"/>
    <w:rsid w:val="00740E0E"/>
    <w:rsid w:val="00747AB2"/>
    <w:rsid w:val="00750212"/>
    <w:rsid w:val="00754779"/>
    <w:rsid w:val="0075716D"/>
    <w:rsid w:val="00765F14"/>
    <w:rsid w:val="00770E31"/>
    <w:rsid w:val="007770F1"/>
    <w:rsid w:val="00783FB1"/>
    <w:rsid w:val="00785CDD"/>
    <w:rsid w:val="00790367"/>
    <w:rsid w:val="00791847"/>
    <w:rsid w:val="007925F0"/>
    <w:rsid w:val="00793030"/>
    <w:rsid w:val="007939B3"/>
    <w:rsid w:val="00794E6C"/>
    <w:rsid w:val="0079509C"/>
    <w:rsid w:val="00796708"/>
    <w:rsid w:val="007B1B42"/>
    <w:rsid w:val="007C30EB"/>
    <w:rsid w:val="007E063C"/>
    <w:rsid w:val="007E2A4B"/>
    <w:rsid w:val="007E307D"/>
    <w:rsid w:val="007E546F"/>
    <w:rsid w:val="007E6A4E"/>
    <w:rsid w:val="007E6C94"/>
    <w:rsid w:val="007F1005"/>
    <w:rsid w:val="007F1506"/>
    <w:rsid w:val="007F1EE4"/>
    <w:rsid w:val="007F25E0"/>
    <w:rsid w:val="007F5328"/>
    <w:rsid w:val="00804F5A"/>
    <w:rsid w:val="00810C6D"/>
    <w:rsid w:val="00812887"/>
    <w:rsid w:val="008204CC"/>
    <w:rsid w:val="00824170"/>
    <w:rsid w:val="00824E70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675EE"/>
    <w:rsid w:val="00871CD5"/>
    <w:rsid w:val="008745A2"/>
    <w:rsid w:val="008768A8"/>
    <w:rsid w:val="0088798F"/>
    <w:rsid w:val="00887E4B"/>
    <w:rsid w:val="008915C8"/>
    <w:rsid w:val="00896BA6"/>
    <w:rsid w:val="008A36CF"/>
    <w:rsid w:val="008A3908"/>
    <w:rsid w:val="008A3BC4"/>
    <w:rsid w:val="008A61D8"/>
    <w:rsid w:val="008B403C"/>
    <w:rsid w:val="008B7983"/>
    <w:rsid w:val="008C2511"/>
    <w:rsid w:val="008D026D"/>
    <w:rsid w:val="008D192C"/>
    <w:rsid w:val="008D23AB"/>
    <w:rsid w:val="008D4B8B"/>
    <w:rsid w:val="008D5A78"/>
    <w:rsid w:val="008E7B64"/>
    <w:rsid w:val="008F2C7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4718F"/>
    <w:rsid w:val="0095260E"/>
    <w:rsid w:val="009578DD"/>
    <w:rsid w:val="00961124"/>
    <w:rsid w:val="009621B6"/>
    <w:rsid w:val="00966726"/>
    <w:rsid w:val="00966CF8"/>
    <w:rsid w:val="00974F2D"/>
    <w:rsid w:val="00977524"/>
    <w:rsid w:val="00977E88"/>
    <w:rsid w:val="009825EE"/>
    <w:rsid w:val="00984920"/>
    <w:rsid w:val="0099303A"/>
    <w:rsid w:val="00994640"/>
    <w:rsid w:val="009971C2"/>
    <w:rsid w:val="009A1254"/>
    <w:rsid w:val="009B2FF2"/>
    <w:rsid w:val="009B380C"/>
    <w:rsid w:val="009B4843"/>
    <w:rsid w:val="009B6543"/>
    <w:rsid w:val="009C199D"/>
    <w:rsid w:val="009C1DEA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54D3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667A9"/>
    <w:rsid w:val="00A84504"/>
    <w:rsid w:val="00A8672F"/>
    <w:rsid w:val="00A93057"/>
    <w:rsid w:val="00A968B0"/>
    <w:rsid w:val="00AA42C0"/>
    <w:rsid w:val="00AB0219"/>
    <w:rsid w:val="00AB0A87"/>
    <w:rsid w:val="00AB2672"/>
    <w:rsid w:val="00AB2817"/>
    <w:rsid w:val="00AB43C4"/>
    <w:rsid w:val="00AC32E7"/>
    <w:rsid w:val="00AC3A9F"/>
    <w:rsid w:val="00AC6D2F"/>
    <w:rsid w:val="00AD081D"/>
    <w:rsid w:val="00AE2745"/>
    <w:rsid w:val="00AE2F64"/>
    <w:rsid w:val="00AE72F6"/>
    <w:rsid w:val="00AF3816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67B59"/>
    <w:rsid w:val="00B71188"/>
    <w:rsid w:val="00B76A41"/>
    <w:rsid w:val="00B87D4C"/>
    <w:rsid w:val="00B91549"/>
    <w:rsid w:val="00B93646"/>
    <w:rsid w:val="00B96F1D"/>
    <w:rsid w:val="00BA0B38"/>
    <w:rsid w:val="00BA1DBB"/>
    <w:rsid w:val="00BA4510"/>
    <w:rsid w:val="00BA529A"/>
    <w:rsid w:val="00BB612A"/>
    <w:rsid w:val="00BC1DD1"/>
    <w:rsid w:val="00BD499F"/>
    <w:rsid w:val="00BD56DE"/>
    <w:rsid w:val="00BF2406"/>
    <w:rsid w:val="00BF2A33"/>
    <w:rsid w:val="00BF3261"/>
    <w:rsid w:val="00BF6079"/>
    <w:rsid w:val="00C004D4"/>
    <w:rsid w:val="00C06E43"/>
    <w:rsid w:val="00C121D2"/>
    <w:rsid w:val="00C16315"/>
    <w:rsid w:val="00C3091E"/>
    <w:rsid w:val="00C40104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0659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CF26EF"/>
    <w:rsid w:val="00CF27B2"/>
    <w:rsid w:val="00CF3549"/>
    <w:rsid w:val="00D048F7"/>
    <w:rsid w:val="00D0517E"/>
    <w:rsid w:val="00D06973"/>
    <w:rsid w:val="00D140FC"/>
    <w:rsid w:val="00D204F9"/>
    <w:rsid w:val="00D21D8C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27E6"/>
    <w:rsid w:val="00D87570"/>
    <w:rsid w:val="00D91CB9"/>
    <w:rsid w:val="00D97989"/>
    <w:rsid w:val="00D97D8D"/>
    <w:rsid w:val="00DA352E"/>
    <w:rsid w:val="00DA5DD5"/>
    <w:rsid w:val="00DC7694"/>
    <w:rsid w:val="00DD1BF6"/>
    <w:rsid w:val="00DD2F9B"/>
    <w:rsid w:val="00DE2513"/>
    <w:rsid w:val="00DE26E8"/>
    <w:rsid w:val="00DE7AD6"/>
    <w:rsid w:val="00DF6F36"/>
    <w:rsid w:val="00DF76E3"/>
    <w:rsid w:val="00E0084C"/>
    <w:rsid w:val="00E025AB"/>
    <w:rsid w:val="00E02B23"/>
    <w:rsid w:val="00E06F40"/>
    <w:rsid w:val="00E07072"/>
    <w:rsid w:val="00E07CE8"/>
    <w:rsid w:val="00E1114A"/>
    <w:rsid w:val="00E26A07"/>
    <w:rsid w:val="00E27760"/>
    <w:rsid w:val="00E32595"/>
    <w:rsid w:val="00E37CFD"/>
    <w:rsid w:val="00E41A26"/>
    <w:rsid w:val="00E4675D"/>
    <w:rsid w:val="00E46BCB"/>
    <w:rsid w:val="00E51CAF"/>
    <w:rsid w:val="00E564C5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B6FF5"/>
    <w:rsid w:val="00EC3903"/>
    <w:rsid w:val="00ED13B1"/>
    <w:rsid w:val="00ED1D89"/>
    <w:rsid w:val="00ED66BC"/>
    <w:rsid w:val="00ED770A"/>
    <w:rsid w:val="00EE120D"/>
    <w:rsid w:val="00EF233A"/>
    <w:rsid w:val="00EF303E"/>
    <w:rsid w:val="00EF3A40"/>
    <w:rsid w:val="00EF6419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34D85"/>
    <w:rsid w:val="00F43AD5"/>
    <w:rsid w:val="00F4402E"/>
    <w:rsid w:val="00F53187"/>
    <w:rsid w:val="00F56DD0"/>
    <w:rsid w:val="00F6491C"/>
    <w:rsid w:val="00F673FB"/>
    <w:rsid w:val="00F67BBB"/>
    <w:rsid w:val="00F75768"/>
    <w:rsid w:val="00F845FB"/>
    <w:rsid w:val="00F87D92"/>
    <w:rsid w:val="00F90AA7"/>
    <w:rsid w:val="00F92498"/>
    <w:rsid w:val="00F9496B"/>
    <w:rsid w:val="00F95A1F"/>
    <w:rsid w:val="00F970C9"/>
    <w:rsid w:val="00FA06A8"/>
    <w:rsid w:val="00FA1CCB"/>
    <w:rsid w:val="00FA3DF5"/>
    <w:rsid w:val="00FA741F"/>
    <w:rsid w:val="00FB1B57"/>
    <w:rsid w:val="00FB4E07"/>
    <w:rsid w:val="00FB755A"/>
    <w:rsid w:val="00FC462B"/>
    <w:rsid w:val="00FC60A2"/>
    <w:rsid w:val="00FD1871"/>
    <w:rsid w:val="00FD3110"/>
    <w:rsid w:val="00FE67BC"/>
    <w:rsid w:val="00FF17C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  <w14:docId w14:val="637D5A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2B62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B6297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6297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62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6297"/>
    <w:rPr>
      <w:b/>
      <w:bCs/>
      <w:szCs w:val="20"/>
    </w:rPr>
  </w:style>
  <w:style w:type="table" w:styleId="LightShading-Accent2">
    <w:name w:val="Light Shading Accent 2"/>
    <w:aliases w:val="SWA Table Style"/>
    <w:basedOn w:val="TableNormal"/>
    <w:uiPriority w:val="60"/>
    <w:rsid w:val="00F95A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5A57CA"/>
    <w:pPr>
      <w:numPr>
        <w:numId w:val="1"/>
      </w:numPr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DA5DD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8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5586B8142A6A4C3EB4C031B92F7E0F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93F0BE-B876-4E05-89FF-B6F58E14F048}"/>
      </w:docPartPr>
      <w:docPartBody>
        <w:p w:rsidR="001C1ADB" w:rsidRDefault="00C93252" w:rsidP="00C93252">
          <w:pPr>
            <w:pStyle w:val="5586B8142A6A4C3EB4C031B92F7E0F92"/>
          </w:pPr>
          <w:r w:rsidRPr="00262278">
            <w:rPr>
              <w:color w:val="00B050"/>
            </w:rPr>
            <w:t>1994</w:t>
          </w:r>
        </w:p>
      </w:docPartBody>
    </w:docPart>
    <w:docPart>
      <w:docPartPr>
        <w:name w:val="CF732CA0B9C24BEC886F2C0FB82846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451CD5-D746-4A31-AA17-8D5B47C91074}"/>
      </w:docPartPr>
      <w:docPartBody>
        <w:p w:rsidR="00371D95" w:rsidRDefault="00E603D2" w:rsidP="00E603D2">
          <w:pPr>
            <w:pStyle w:val="CF732CA0B9C24BEC886F2C0FB82846DE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B8022BEAA9A84807A43826EBDD6FCA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6D42ED-E1E8-414E-80A2-B0E4F31E255D}"/>
      </w:docPartPr>
      <w:docPartBody>
        <w:p w:rsidR="00D12484" w:rsidRDefault="009A538F" w:rsidP="009A538F">
          <w:pPr>
            <w:pStyle w:val="B8022BEAA9A84807A43826EBDD6FCA5F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C1ADB"/>
    <w:rsid w:val="00371D95"/>
    <w:rsid w:val="005F6BFF"/>
    <w:rsid w:val="006B1913"/>
    <w:rsid w:val="006F66B3"/>
    <w:rsid w:val="009A538F"/>
    <w:rsid w:val="00C93252"/>
    <w:rsid w:val="00D06973"/>
    <w:rsid w:val="00D12484"/>
    <w:rsid w:val="00D21A9F"/>
    <w:rsid w:val="00E60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A538F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EA32968BF93744FAABC5FC124DBE04BD">
    <w:name w:val="EA32968BF93744FAABC5FC124DBE04BD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5586B8142A6A4C3EB4C031B92F7E0F92">
    <w:name w:val="5586B8142A6A4C3EB4C031B92F7E0F92"/>
    <w:rsid w:val="00C93252"/>
    <w:rPr>
      <w:lang w:val="en-US" w:eastAsia="en-US"/>
    </w:rPr>
  </w:style>
  <w:style w:type="paragraph" w:customStyle="1" w:styleId="CF732CA0B9C24BEC886F2C0FB82846DE">
    <w:name w:val="CF732CA0B9C24BEC886F2C0FB82846DE"/>
    <w:rsid w:val="00E603D2"/>
  </w:style>
  <w:style w:type="paragraph" w:customStyle="1" w:styleId="B8022BEAA9A84807A43826EBDD6FCA5F">
    <w:name w:val="B8022BEAA9A84807A43826EBDD6FCA5F"/>
    <w:rsid w:val="009A538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F7C8000-4F69-4399-AF8E-F266C4579F2C}">
  <ds:schemaRefs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1c567317-0c4d-4a62-8516-c22afd1b5354"/>
    <ds:schemaRef ds:uri="a0509f21-ed56-4150-9955-96be669e5f2d"/>
  </ds:schemaRefs>
</ds:datastoreItem>
</file>

<file path=customXml/itemProps2.xml><?xml version="1.0" encoding="utf-8"?>
<ds:datastoreItem xmlns:ds="http://schemas.openxmlformats.org/officeDocument/2006/customXml" ds:itemID="{EE0195D7-E9CA-4B3C-B11B-433FA9AD25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8CDA7C-E120-4E45-9A41-D357C4413A7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A40EBC9-172A-4385-8200-B2F83AFE65A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1252</Words>
  <Characters>7139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2020-01-22T03:47:00Z</dcterms:created>
  <dcterms:modified xsi:type="dcterms:W3CDTF">2026-01-08T23:57:00Z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2026-01-02T03:17:01Z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84c8812e-514b-4a43-810e-e4fe78b7f46c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