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A011FEC" w14:textId="237BB15C" w:rsidR="00BD499F" w:rsidRPr="004C23F4" w:rsidRDefault="00B249C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</w:t>
          </w:r>
          <w:r w:rsidR="00C47648">
            <w:rPr>
              <w:rFonts w:ascii="Arial" w:hAnsi="Arial" w:cs="Arial"/>
            </w:rPr>
            <w:t>ethyl isobutyl carbinol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60E9D26F" w14:textId="77777777" w:rsidTr="00DC737F">
        <w:trPr>
          <w:cantSplit/>
          <w:tblHeader/>
        </w:trPr>
        <w:tc>
          <w:tcPr>
            <w:tcW w:w="3990" w:type="dxa"/>
          </w:tcPr>
          <w:p w14:paraId="283280A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6" w:type="dxa"/>
          </w:tcPr>
          <w:p w14:paraId="347E009A" w14:textId="77777777" w:rsidR="00F43AD5" w:rsidRPr="00717D45" w:rsidRDefault="00341829" w:rsidP="00B76A41">
            <w:pPr>
              <w:pStyle w:val="Tablefont"/>
            </w:pPr>
            <w:r>
              <w:t>108-11-2</w:t>
            </w:r>
          </w:p>
        </w:tc>
      </w:tr>
      <w:tr w:rsidR="00F43AD5" w:rsidRPr="004C23F4" w14:paraId="31608E84" w14:textId="77777777" w:rsidTr="00DC737F">
        <w:trPr>
          <w:cantSplit/>
        </w:trPr>
        <w:tc>
          <w:tcPr>
            <w:tcW w:w="3990" w:type="dxa"/>
          </w:tcPr>
          <w:p w14:paraId="053AD8E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6" w:type="dxa"/>
          </w:tcPr>
          <w:p w14:paraId="3D9FAA99" w14:textId="77777777" w:rsidR="00F43AD5" w:rsidRPr="00717D45" w:rsidRDefault="00341829" w:rsidP="00B76A41">
            <w:pPr>
              <w:pStyle w:val="Tablefont"/>
            </w:pPr>
            <w:r>
              <w:t>Methyl amyl alcohol, 4-methyl-2-pentanol, MIBC</w:t>
            </w:r>
          </w:p>
        </w:tc>
      </w:tr>
      <w:tr w:rsidR="00F43AD5" w:rsidRPr="004C23F4" w14:paraId="6CB5987F" w14:textId="77777777" w:rsidTr="00DC737F">
        <w:trPr>
          <w:cantSplit/>
        </w:trPr>
        <w:tc>
          <w:tcPr>
            <w:tcW w:w="3990" w:type="dxa"/>
          </w:tcPr>
          <w:p w14:paraId="60483D1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6" w:type="dxa"/>
          </w:tcPr>
          <w:p w14:paraId="4E5D4F3C" w14:textId="77777777" w:rsidR="00F43AD5" w:rsidRPr="00717D45" w:rsidRDefault="00DC1374" w:rsidP="00B76A41">
            <w:pPr>
              <w:pStyle w:val="Tablefont"/>
            </w:pPr>
            <w:r>
              <w:t>C</w:t>
            </w:r>
            <w:r w:rsidRPr="00DC1374">
              <w:rPr>
                <w:vertAlign w:val="subscript"/>
              </w:rPr>
              <w:t>6</w:t>
            </w:r>
            <w:r>
              <w:t>H</w:t>
            </w:r>
            <w:r w:rsidRPr="00DC1374">
              <w:rPr>
                <w:vertAlign w:val="subscript"/>
              </w:rPr>
              <w:t>14</w:t>
            </w:r>
            <w:r>
              <w:t>O</w:t>
            </w:r>
          </w:p>
        </w:tc>
      </w:tr>
    </w:tbl>
    <w:p w14:paraId="11B41FEE" w14:textId="4DF2F4B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33C6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DD71375" w14:textId="77777777" w:rsidTr="00DC1374">
        <w:trPr>
          <w:cantSplit/>
          <w:tblHeader/>
        </w:trPr>
        <w:tc>
          <w:tcPr>
            <w:tcW w:w="4010" w:type="dxa"/>
            <w:vAlign w:val="center"/>
          </w:tcPr>
          <w:p w14:paraId="4639ABC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D80B61C" w14:textId="06E5F4F4" w:rsidR="002C7AFE" w:rsidRPr="00EB3D1B" w:rsidRDefault="00333C60" w:rsidP="00017C82">
            <w:pPr>
              <w:pStyle w:val="Tablefont"/>
              <w:rPr>
                <w:b/>
              </w:rPr>
            </w:pPr>
            <w:r w:rsidRPr="00333C60">
              <w:rPr>
                <w:b/>
              </w:rPr>
              <w:t>25 ppm (104 mg/m</w:t>
            </w:r>
            <w:r w:rsidRPr="00333C60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DC1374" w:rsidRPr="004C23F4" w14:paraId="07F218A1" w14:textId="77777777" w:rsidTr="00DC1374">
        <w:trPr>
          <w:cantSplit/>
        </w:trPr>
        <w:tc>
          <w:tcPr>
            <w:tcW w:w="4010" w:type="dxa"/>
            <w:vAlign w:val="center"/>
          </w:tcPr>
          <w:p w14:paraId="7F124DAF" w14:textId="77777777" w:rsidR="00DC1374" w:rsidRPr="002C58FF" w:rsidRDefault="00DC1374" w:rsidP="00DC1374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3B3F23" w14:textId="6FE791B7" w:rsidR="00DC1374" w:rsidRPr="00DC1374" w:rsidRDefault="00333C60" w:rsidP="00DC1374">
            <w:pPr>
              <w:pStyle w:val="Tablefont"/>
              <w:rPr>
                <w:b/>
              </w:rPr>
            </w:pPr>
            <w:r w:rsidRPr="00333C60">
              <w:rPr>
                <w:b/>
              </w:rPr>
              <w:t>40 ppm (167 mg/m</w:t>
            </w:r>
            <w:r w:rsidRPr="00333C60">
              <w:rPr>
                <w:b/>
                <w:vertAlign w:val="superscript"/>
              </w:rPr>
              <w:t>3</w:t>
            </w:r>
            <w:r w:rsidRPr="00333C60">
              <w:rPr>
                <w:b/>
              </w:rPr>
              <w:t>)</w:t>
            </w:r>
          </w:p>
        </w:tc>
      </w:tr>
      <w:tr w:rsidR="00DC1374" w:rsidRPr="004C23F4" w14:paraId="76680E16" w14:textId="77777777" w:rsidTr="00DC1374">
        <w:trPr>
          <w:cantSplit/>
        </w:trPr>
        <w:tc>
          <w:tcPr>
            <w:tcW w:w="4010" w:type="dxa"/>
            <w:vAlign w:val="center"/>
          </w:tcPr>
          <w:p w14:paraId="6DA79627" w14:textId="77777777" w:rsidR="00DC1374" w:rsidRPr="002C58FF" w:rsidRDefault="00DC1374" w:rsidP="00DC1374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13842D0" w14:textId="77777777" w:rsidR="00DC1374" w:rsidRPr="00DC1374" w:rsidRDefault="00DC1374" w:rsidP="00DC1374">
            <w:pPr>
              <w:pStyle w:val="Tablefont"/>
              <w:rPr>
                <w:b/>
              </w:rPr>
            </w:pPr>
            <w:r w:rsidRPr="001A6B6F">
              <w:rPr>
                <w:b/>
              </w:rPr>
              <w:t>—</w:t>
            </w:r>
          </w:p>
        </w:tc>
      </w:tr>
      <w:tr w:rsidR="00DC1374" w:rsidRPr="004C23F4" w14:paraId="4215D818" w14:textId="77777777" w:rsidTr="00DC1374">
        <w:trPr>
          <w:cantSplit/>
        </w:trPr>
        <w:tc>
          <w:tcPr>
            <w:tcW w:w="4010" w:type="dxa"/>
          </w:tcPr>
          <w:p w14:paraId="10F14ABF" w14:textId="77777777" w:rsidR="00DC1374" w:rsidRPr="002C58FF" w:rsidRDefault="00DC1374" w:rsidP="00DC1374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3CD3278" w14:textId="77777777" w:rsidR="00DC1374" w:rsidRPr="00DC1374" w:rsidRDefault="00DC1374" w:rsidP="00DC1374">
            <w:pPr>
              <w:pStyle w:val="Tablefont"/>
              <w:rPr>
                <w:b/>
              </w:rPr>
            </w:pPr>
            <w:r w:rsidRPr="001A6B6F">
              <w:rPr>
                <w:b/>
              </w:rPr>
              <w:t>—</w:t>
            </w:r>
          </w:p>
        </w:tc>
      </w:tr>
      <w:tr w:rsidR="00DC1374" w:rsidRPr="004C23F4" w14:paraId="49267651" w14:textId="77777777" w:rsidTr="00DC1374">
        <w:trPr>
          <w:cantSplit/>
        </w:trPr>
        <w:tc>
          <w:tcPr>
            <w:tcW w:w="4010" w:type="dxa"/>
            <w:vAlign w:val="center"/>
          </w:tcPr>
          <w:p w14:paraId="5B0FFAE4" w14:textId="77777777" w:rsidR="00DC1374" w:rsidRPr="002C58FF" w:rsidRDefault="00DC1374" w:rsidP="00DC1374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F18E56E" w14:textId="77777777" w:rsidR="00DC1374" w:rsidRPr="00DC1374" w:rsidRDefault="004415F3" w:rsidP="00DC1374">
            <w:pPr>
              <w:pStyle w:val="Tablefont"/>
              <w:rPr>
                <w:b/>
              </w:rPr>
            </w:pPr>
            <w:r>
              <w:rPr>
                <w:b/>
              </w:rPr>
              <w:t>400 ppm</w:t>
            </w:r>
          </w:p>
        </w:tc>
      </w:tr>
      <w:tr w:rsidR="00B249C3" w:rsidRPr="004C23F4" w14:paraId="3EA018FF" w14:textId="77777777" w:rsidTr="008D42C4">
        <w:trPr>
          <w:cantSplit/>
        </w:trPr>
        <w:tc>
          <w:tcPr>
            <w:tcW w:w="9026" w:type="dxa"/>
            <w:gridSpan w:val="2"/>
            <w:vAlign w:val="center"/>
          </w:tcPr>
          <w:p w14:paraId="0609BCE4" w14:textId="4E75E85A" w:rsidR="00B249C3" w:rsidRPr="00DC1374" w:rsidRDefault="00B249C3" w:rsidP="00DC1374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</w:t>
            </w:r>
            <w:r w:rsidRPr="00B249C3">
              <w:rPr>
                <w:b/>
              </w:rPr>
              <w:t>:</w:t>
            </w:r>
            <w:r w:rsidRPr="00B249C3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00CEE2DBE9841BE849C2F52E710CB3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333C6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EEBC1E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27A572" w14:textId="75C4EB07" w:rsidR="00333C60" w:rsidRPr="00333C60" w:rsidRDefault="00333C60" w:rsidP="00333C60">
      <w:pPr>
        <w:rPr>
          <w:rFonts w:eastAsia="Calibri" w:cs="Times New Roman"/>
        </w:rPr>
      </w:pPr>
      <w:r w:rsidRPr="00333C60">
        <w:rPr>
          <w:rFonts w:eastAsia="Calibri" w:cs="Times New Roman"/>
        </w:rPr>
        <w:t xml:space="preserve">A TWA of </w:t>
      </w:r>
      <w:r w:rsidRPr="00333C60">
        <w:t>25 ppm (104 mg/m</w:t>
      </w:r>
      <w:r w:rsidRPr="00333C60">
        <w:rPr>
          <w:vertAlign w:val="superscript"/>
        </w:rPr>
        <w:t>3</w:t>
      </w:r>
      <w:r w:rsidRPr="00333C60">
        <w:t>)</w:t>
      </w:r>
      <w:r w:rsidRPr="00333C60">
        <w:rPr>
          <w:rFonts w:eastAsia="Calibri" w:cs="Times New Roman"/>
        </w:rPr>
        <w:t xml:space="preserve"> is recommended to protect for irrita</w:t>
      </w:r>
      <w:r w:rsidR="0068205E">
        <w:rPr>
          <w:rFonts w:eastAsia="Calibri" w:cs="Times New Roman"/>
        </w:rPr>
        <w:t>tion of the</w:t>
      </w:r>
      <w:r>
        <w:rPr>
          <w:rFonts w:eastAsia="Calibri" w:cs="Times New Roman"/>
        </w:rPr>
        <w:t xml:space="preserve"> eyes and</w:t>
      </w:r>
      <w:r w:rsidRPr="00333C60">
        <w:rPr>
          <w:rFonts w:eastAsia="Calibri" w:cs="Times New Roman"/>
        </w:rPr>
        <w:t xml:space="preserve"> respiratory </w:t>
      </w:r>
      <w:r>
        <w:rPr>
          <w:rFonts w:eastAsia="Calibri" w:cs="Times New Roman"/>
        </w:rPr>
        <w:t>tract</w:t>
      </w:r>
      <w:r w:rsidRPr="00333C60">
        <w:rPr>
          <w:rFonts w:eastAsia="Calibri" w:cs="Times New Roman"/>
        </w:rPr>
        <w:t xml:space="preserve"> in exposed workers</w:t>
      </w:r>
      <w:r>
        <w:rPr>
          <w:rFonts w:eastAsia="Calibri" w:cs="Times New Roman"/>
        </w:rPr>
        <w:t>.</w:t>
      </w:r>
    </w:p>
    <w:p w14:paraId="6002FAA0" w14:textId="59676D07" w:rsidR="00333C60" w:rsidRPr="00333C60" w:rsidRDefault="00333C60" w:rsidP="00333C60">
      <w:pPr>
        <w:pStyle w:val="Tablefont"/>
      </w:pPr>
      <w:r w:rsidRPr="00333C60">
        <w:rPr>
          <w:rFonts w:eastAsia="Calibri" w:cs="Times New Roman"/>
        </w:rPr>
        <w:t xml:space="preserve">A STEL of </w:t>
      </w:r>
      <w:r w:rsidRPr="00333C60">
        <w:t>40 ppm (167 mg/m</w:t>
      </w:r>
      <w:r w:rsidRPr="00333C60">
        <w:rPr>
          <w:vertAlign w:val="superscript"/>
        </w:rPr>
        <w:t>3</w:t>
      </w:r>
      <w:r w:rsidRPr="00333C60">
        <w:t xml:space="preserve">) </w:t>
      </w:r>
      <w:r w:rsidRPr="00333C60">
        <w:rPr>
          <w:rFonts w:eastAsia="Calibri" w:cs="Times New Roman"/>
        </w:rPr>
        <w:t xml:space="preserve">is recommended to protect for </w:t>
      </w:r>
      <w:r w:rsidR="0068205E">
        <w:rPr>
          <w:rFonts w:eastAsia="Calibri" w:cs="Times New Roman"/>
        </w:rPr>
        <w:t xml:space="preserve">acute </w:t>
      </w:r>
      <w:r w:rsidRPr="00333C60">
        <w:rPr>
          <w:rFonts w:eastAsia="Calibri" w:cs="Times New Roman"/>
        </w:rPr>
        <w:t xml:space="preserve">irritant effects </w:t>
      </w:r>
      <w:r>
        <w:rPr>
          <w:rFonts w:eastAsia="Calibri" w:cs="Times New Roman"/>
        </w:rPr>
        <w:t xml:space="preserve">and anaesthesia </w:t>
      </w:r>
      <w:r w:rsidRPr="00333C60">
        <w:rPr>
          <w:rFonts w:eastAsia="Calibri" w:cs="Times New Roman"/>
        </w:rPr>
        <w:t xml:space="preserve">in </w:t>
      </w:r>
      <w:r w:rsidR="0068205E">
        <w:rPr>
          <w:rFonts w:eastAsia="Calibri" w:cs="Times New Roman"/>
        </w:rPr>
        <w:t>exposed workers</w:t>
      </w:r>
      <w:r w:rsidRPr="00333C60">
        <w:rPr>
          <w:rFonts w:eastAsia="Calibri" w:cs="Times New Roman"/>
        </w:rPr>
        <w:t>.</w:t>
      </w:r>
    </w:p>
    <w:p w14:paraId="3CC8A04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EFF7C9B" w14:textId="4D87DDC8" w:rsidR="0068205E" w:rsidRDefault="006D6DA1" w:rsidP="00AA6916">
      <w:r>
        <w:t xml:space="preserve">Methyl isobutyl </w:t>
      </w:r>
      <w:r w:rsidR="00D40642">
        <w:t xml:space="preserve">carbinol </w:t>
      </w:r>
      <w:r w:rsidR="0068205E">
        <w:t xml:space="preserve">is </w:t>
      </w:r>
      <w:r>
        <w:t>u</w:t>
      </w:r>
      <w:r w:rsidR="00C35943">
        <w:t>sed as a solvent for gums, resins, dyestuffs. and oils. It also is used in flotation processes and</w:t>
      </w:r>
      <w:r w:rsidR="008D2AD7">
        <w:t xml:space="preserve"> brake fluid</w:t>
      </w:r>
      <w:r w:rsidR="00C35943">
        <w:t>s.</w:t>
      </w:r>
    </w:p>
    <w:p w14:paraId="0171CA58" w14:textId="045ADCE4" w:rsidR="00AA6916" w:rsidRDefault="00AA6916" w:rsidP="00AA6916">
      <w:r>
        <w:t>Critical effects</w:t>
      </w:r>
      <w:r w:rsidR="0068205E">
        <w:t xml:space="preserve"> of exposure</w:t>
      </w:r>
      <w:r>
        <w:t xml:space="preserve"> are </w:t>
      </w:r>
      <w:r w:rsidRPr="00AA6916">
        <w:t>irritation of eye</w:t>
      </w:r>
      <w:r w:rsidR="0068205E">
        <w:t>s</w:t>
      </w:r>
      <w:r w:rsidRPr="00AA6916">
        <w:t xml:space="preserve"> and upper respiratory tract</w:t>
      </w:r>
      <w:r>
        <w:t xml:space="preserve"> and anaesthesia from elevated short-term peaks.</w:t>
      </w:r>
      <w:r w:rsidR="0068205E">
        <w:t xml:space="preserve"> </w:t>
      </w:r>
      <w:r w:rsidRPr="00AA6916">
        <w:t xml:space="preserve">Exposure </w:t>
      </w:r>
      <w:r>
        <w:t>of volunteers at</w:t>
      </w:r>
      <w:r w:rsidRPr="00AA6916">
        <w:t xml:space="preserve"> 50 ppm</w:t>
      </w:r>
      <w:r w:rsidR="00333C60">
        <w:t xml:space="preserve"> for fifteen</w:t>
      </w:r>
      <w:r w:rsidRPr="00AA6916">
        <w:t xml:space="preserve"> m</w:t>
      </w:r>
      <w:r>
        <w:t>inutes resulted in eye irritation</w:t>
      </w:r>
      <w:r w:rsidR="00DC737F">
        <w:t>;</w:t>
      </w:r>
      <w:r>
        <w:t xml:space="preserve"> with n</w:t>
      </w:r>
      <w:r w:rsidRPr="00AA6916">
        <w:t>asal and throat irritation</w:t>
      </w:r>
      <w:r>
        <w:t xml:space="preserve"> at higher concentrations. A concentration of </w:t>
      </w:r>
      <w:r w:rsidRPr="00AA6916">
        <w:t xml:space="preserve">25 ppm </w:t>
      </w:r>
      <w:r w:rsidR="0068205E">
        <w:t>i</w:t>
      </w:r>
      <w:r w:rsidRPr="00AA6916">
        <w:t xml:space="preserve">s estimated as the highest </w:t>
      </w:r>
      <w:r>
        <w:t xml:space="preserve">concentration </w:t>
      </w:r>
      <w:r w:rsidRPr="00AA6916">
        <w:t xml:space="preserve">acceptable </w:t>
      </w:r>
      <w:r>
        <w:t xml:space="preserve">for </w:t>
      </w:r>
      <w:r w:rsidR="0052467B">
        <w:t xml:space="preserve">an </w:t>
      </w:r>
      <w:r w:rsidR="00D40642">
        <w:t>eight</w:t>
      </w:r>
      <w:r w:rsidR="00DC737F">
        <w:t xml:space="preserve"> </w:t>
      </w:r>
      <w:r w:rsidRPr="00AA6916">
        <w:t>h</w:t>
      </w:r>
      <w:r>
        <w:t xml:space="preserve">our exposure </w:t>
      </w:r>
      <w:r w:rsidR="00DC737F">
        <w:t xml:space="preserve">by </w:t>
      </w:r>
      <w:r>
        <w:t xml:space="preserve">ACGIH </w:t>
      </w:r>
      <w:r w:rsidR="00DC737F">
        <w:t>(</w:t>
      </w:r>
      <w:r>
        <w:t>2018). A N</w:t>
      </w:r>
      <w:r w:rsidR="0068205E">
        <w:t>A</w:t>
      </w:r>
      <w:r>
        <w:t>OE</w:t>
      </w:r>
      <w:r w:rsidR="0068205E">
        <w:t>C</w:t>
      </w:r>
      <w:r>
        <w:t xml:space="preserve"> of 200 ppm for systemic effects </w:t>
      </w:r>
      <w:r w:rsidR="0068205E">
        <w:t>i</w:t>
      </w:r>
      <w:r>
        <w:t xml:space="preserve">s </w:t>
      </w:r>
      <w:r w:rsidR="00D40642">
        <w:t xml:space="preserve">reported </w:t>
      </w:r>
      <w:r>
        <w:t xml:space="preserve">in a </w:t>
      </w:r>
      <w:r w:rsidR="00D40642">
        <w:t>six</w:t>
      </w:r>
      <w:r w:rsidR="00DC737F">
        <w:t xml:space="preserve"> </w:t>
      </w:r>
      <w:r>
        <w:t>week inhalation study in rats (DFG, 2012).</w:t>
      </w:r>
      <w:r w:rsidR="006122CC">
        <w:t xml:space="preserve"> Exposure of mice </w:t>
      </w:r>
      <w:r w:rsidR="0068205E">
        <w:t>at</w:t>
      </w:r>
      <w:r w:rsidR="006122CC">
        <w:t xml:space="preserve"> 4,600 ppm for </w:t>
      </w:r>
      <w:r w:rsidR="0052467B">
        <w:t>one</w:t>
      </w:r>
      <w:r w:rsidR="006122CC">
        <w:t xml:space="preserve"> hour resulted in strong drowsiness (ACGIH, 2018).</w:t>
      </w:r>
    </w:p>
    <w:p w14:paraId="3670300F" w14:textId="7538CC77" w:rsidR="00AA6916" w:rsidRPr="008F50A2" w:rsidRDefault="0068205E" w:rsidP="00AA6916">
      <w:r>
        <w:t>The</w:t>
      </w:r>
      <w:r w:rsidR="00AA6916" w:rsidRPr="00AA6916">
        <w:t xml:space="preserve"> TWA of 2</w:t>
      </w:r>
      <w:r w:rsidR="00AA6916">
        <w:t>5</w:t>
      </w:r>
      <w:r w:rsidR="00AA6916" w:rsidRPr="00AA6916">
        <w:t xml:space="preserve"> ppm is recommended </w:t>
      </w:r>
      <w:r w:rsidR="00D40642">
        <w:t xml:space="preserve">be retained </w:t>
      </w:r>
      <w:r w:rsidR="00AA6916" w:rsidRPr="00AA6916">
        <w:t xml:space="preserve">as </w:t>
      </w:r>
      <w:r w:rsidR="00D40642">
        <w:t xml:space="preserve">it is </w:t>
      </w:r>
      <w:r w:rsidR="00AA6916" w:rsidRPr="00AA6916">
        <w:t xml:space="preserve">based on the evidence presented </w:t>
      </w:r>
      <w:r>
        <w:t>and</w:t>
      </w:r>
      <w:r w:rsidR="00AA6916" w:rsidRPr="00AA6916">
        <w:t xml:space="preserve"> is considered protective for irritation effects reported in </w:t>
      </w:r>
      <w:r w:rsidR="00AA6916">
        <w:t>humans</w:t>
      </w:r>
      <w:r w:rsidR="00AA6916" w:rsidRPr="00AA6916">
        <w:t>.</w:t>
      </w:r>
      <w:r w:rsidR="00AA6916">
        <w:t xml:space="preserve"> </w:t>
      </w:r>
      <w:r>
        <w:t>The</w:t>
      </w:r>
      <w:r w:rsidR="00AA6916">
        <w:t xml:space="preserve"> STEL of 40 ppm is </w:t>
      </w:r>
      <w:r w:rsidR="00D40642">
        <w:t xml:space="preserve">also </w:t>
      </w:r>
      <w:r w:rsidR="006122CC">
        <w:t>recommended</w:t>
      </w:r>
      <w:r w:rsidR="00AA6916">
        <w:t xml:space="preserve"> </w:t>
      </w:r>
      <w:r w:rsidR="00D40642">
        <w:t xml:space="preserve">be retained </w:t>
      </w:r>
      <w:r w:rsidR="006122CC">
        <w:t>and is protective of anaesthesia resulting from elevated, short-term peaks.</w:t>
      </w:r>
    </w:p>
    <w:p w14:paraId="317207D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EA32641" w14:textId="7D8915A3" w:rsidR="00C47648" w:rsidRPr="006122CC" w:rsidRDefault="00C47648" w:rsidP="00C47648">
      <w:pPr>
        <w:rPr>
          <w:rFonts w:cs="Arial"/>
        </w:rPr>
      </w:pPr>
      <w:r w:rsidRPr="006122CC">
        <w:rPr>
          <w:rFonts w:cs="Arial"/>
        </w:rPr>
        <w:t xml:space="preserve">Not classified as a carcinogen according to the Globally Harmonized System of Classification and Labelling </w:t>
      </w:r>
      <w:r w:rsidR="0052467B" w:rsidRPr="006122CC">
        <w:rPr>
          <w:rFonts w:cs="Arial"/>
        </w:rPr>
        <w:t>o</w:t>
      </w:r>
      <w:r w:rsidR="0052467B">
        <w:rPr>
          <w:rFonts w:cs="Arial"/>
        </w:rPr>
        <w:t>f</w:t>
      </w:r>
      <w:r w:rsidR="0052467B" w:rsidRPr="006122CC">
        <w:rPr>
          <w:rFonts w:cs="Arial"/>
        </w:rPr>
        <w:t xml:space="preserve"> </w:t>
      </w:r>
      <w:r w:rsidRPr="006122CC">
        <w:rPr>
          <w:rFonts w:cs="Arial"/>
        </w:rPr>
        <w:t xml:space="preserve">Chemicals (GHS). </w:t>
      </w:r>
    </w:p>
    <w:p w14:paraId="53FF8E70" w14:textId="20893DF2" w:rsidR="00C47648" w:rsidRPr="006122CC" w:rsidRDefault="00C47648" w:rsidP="00C47648">
      <w:pPr>
        <w:rPr>
          <w:rFonts w:cs="Arial"/>
        </w:rPr>
      </w:pPr>
      <w:r w:rsidRPr="006122CC">
        <w:rPr>
          <w:rFonts w:cs="Arial"/>
        </w:rPr>
        <w:t>Not classified as a skin</w:t>
      </w:r>
      <w:r w:rsidR="0052467B">
        <w:rPr>
          <w:rFonts w:cs="Arial"/>
        </w:rPr>
        <w:t xml:space="preserve"> </w:t>
      </w:r>
      <w:r w:rsidR="0052467B" w:rsidRPr="006122CC">
        <w:rPr>
          <w:rFonts w:cs="Arial"/>
        </w:rPr>
        <w:t>sensitiser</w:t>
      </w:r>
      <w:r w:rsidRPr="006122CC">
        <w:rPr>
          <w:rFonts w:cs="Arial"/>
        </w:rPr>
        <w:t xml:space="preserve"> or respiratory sensitiser according to the GHS.</w:t>
      </w:r>
    </w:p>
    <w:p w14:paraId="25DD725A" w14:textId="4CC18ECC" w:rsidR="006122CC" w:rsidRPr="004C23F4" w:rsidRDefault="006122CC" w:rsidP="006122CC">
      <w:pPr>
        <w:rPr>
          <w:rFonts w:cs="Arial"/>
        </w:rPr>
      </w:pPr>
      <w:r w:rsidRPr="000C6E06">
        <w:rPr>
          <w:rFonts w:cs="Arial"/>
        </w:rPr>
        <w:t xml:space="preserve">A skin notation is not </w:t>
      </w:r>
      <w:r>
        <w:rPr>
          <w:rFonts w:cs="Arial"/>
        </w:rPr>
        <w:t>recommende</w:t>
      </w:r>
      <w:r w:rsidRPr="000C6E06">
        <w:rPr>
          <w:rFonts w:cs="Arial"/>
        </w:rPr>
        <w:t xml:space="preserve">d </w:t>
      </w:r>
      <w:r>
        <w:rPr>
          <w:rFonts w:cs="Arial"/>
        </w:rPr>
        <w:t>based on the available data in animals.</w:t>
      </w:r>
    </w:p>
    <w:p w14:paraId="78A5098F" w14:textId="71AFFE7F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E6C9DB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7EB95E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66FE32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3E294B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EBEDC7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D69611A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371E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371ED">
                  <w:t>TWA: 25 ppm (104 mg/m</w:t>
                </w:r>
                <w:r w:rsidR="00D371ED" w:rsidRPr="00D371ED">
                  <w:rPr>
                    <w:vertAlign w:val="superscript"/>
                  </w:rPr>
                  <w:t>3</w:t>
                </w:r>
                <w:r w:rsidR="00D371ED">
                  <w:t>); STEL: 40 ppm (167 mg/m</w:t>
                </w:r>
                <w:r w:rsidR="00D371ED" w:rsidRPr="00D371ED">
                  <w:rPr>
                    <w:vertAlign w:val="superscript"/>
                  </w:rPr>
                  <w:t>3</w:t>
                </w:r>
                <w:r w:rsidR="00D371ED">
                  <w:t>)</w:t>
                </w:r>
              </w:sdtContent>
            </w:sdt>
          </w:p>
        </w:tc>
      </w:tr>
      <w:tr w:rsidR="00C978F0" w:rsidRPr="00DA352E" w14:paraId="2E9BBBA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1BA52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65C197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7B0ADA" w14:textId="77777777" w:rsidR="00C978F0" w:rsidRPr="00DA352E" w:rsidRDefault="00DA352E" w:rsidP="00D371E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371E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688949152"/>
                    <w:placeholder>
                      <w:docPart w:val="941E6B7F1DB4461FB3952E683EE92B01"/>
                    </w:placeholder>
                  </w:sdtPr>
                  <w:sdtEndPr/>
                  <w:sdtContent>
                    <w:r w:rsidR="00D371ED">
                      <w:t>TLV-TWA: 25 ppm (104 mg/m</w:t>
                    </w:r>
                    <w:r w:rsidR="00D371ED" w:rsidRPr="00D371ED">
                      <w:rPr>
                        <w:vertAlign w:val="superscript"/>
                      </w:rPr>
                      <w:t>3</w:t>
                    </w:r>
                    <w:r w:rsidR="00D371ED">
                      <w:t>); TLV-STEL: 40 ppm (167 mg/m</w:t>
                    </w:r>
                    <w:r w:rsidR="00D371ED" w:rsidRPr="00D371ED">
                      <w:rPr>
                        <w:vertAlign w:val="superscript"/>
                      </w:rPr>
                      <w:t>3</w:t>
                    </w:r>
                    <w:r w:rsidR="00D371ED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61EEF9B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B50A92" w14:textId="6D9C9278" w:rsidR="0068205E" w:rsidRDefault="001564C7" w:rsidP="0052467B">
            <w:pPr>
              <w:pStyle w:val="Tabletextprimarysource"/>
            </w:pPr>
            <w:r>
              <w:t xml:space="preserve">TLV-TWA recommended to minimise the </w:t>
            </w:r>
            <w:r w:rsidR="00B84B38">
              <w:t>potential for irritation eye</w:t>
            </w:r>
            <w:r w:rsidR="0068205E">
              <w:t>s</w:t>
            </w:r>
            <w:r w:rsidR="00B84B38">
              <w:t xml:space="preserve"> and upper respiratory tract </w:t>
            </w:r>
            <w:r>
              <w:t>in exposed workers.</w:t>
            </w:r>
            <w:r w:rsidR="00333C60">
              <w:t xml:space="preserve"> </w:t>
            </w:r>
          </w:p>
          <w:p w14:paraId="5B1CB0D2" w14:textId="58D4EDD6" w:rsidR="001564C7" w:rsidRDefault="00333C60" w:rsidP="0052467B">
            <w:pPr>
              <w:pStyle w:val="Tabletextprimarysource"/>
            </w:pPr>
            <w:r>
              <w:t>TLV–</w:t>
            </w:r>
            <w:r w:rsidR="00B84B38">
              <w:t>STEL is recommended for risk against anaesthesia observed in animal studies.</w:t>
            </w:r>
          </w:p>
          <w:p w14:paraId="76B84C17" w14:textId="77777777" w:rsidR="001564C7" w:rsidRDefault="001564C7" w:rsidP="0052467B">
            <w:pPr>
              <w:pStyle w:val="Tabletextprimarysource"/>
            </w:pPr>
            <w:r>
              <w:t>Summary of data:</w:t>
            </w:r>
          </w:p>
          <w:p w14:paraId="5B86D951" w14:textId="77777777" w:rsidR="001564C7" w:rsidRDefault="001564C7" w:rsidP="00333C60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3F9BB506" w14:textId="17A9455D" w:rsidR="0068205E" w:rsidRDefault="00B84B38" w:rsidP="00333C60">
            <w:pPr>
              <w:pStyle w:val="ListBullet"/>
              <w:spacing w:before="60" w:after="60"/>
              <w:ind w:left="720"/>
              <w:contextualSpacing w:val="0"/>
            </w:pPr>
            <w:r>
              <w:t>50 ppm for 15 m</w:t>
            </w:r>
            <w:r w:rsidR="00333C60">
              <w:t>in</w:t>
            </w:r>
            <w:r w:rsidR="001564C7">
              <w:t xml:space="preserve"> resulted in eye irritation</w:t>
            </w:r>
          </w:p>
          <w:p w14:paraId="1E9ADD36" w14:textId="2AABEC9F" w:rsidR="0068205E" w:rsidRDefault="0068205E" w:rsidP="006D6DA1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n</w:t>
            </w:r>
            <w:r w:rsidR="001564C7">
              <w:t xml:space="preserve">asal and throat irritation was reported at higher </w:t>
            </w:r>
            <w:r w:rsidR="00B84B38">
              <w:t>concentrations</w:t>
            </w:r>
          </w:p>
          <w:p w14:paraId="5F4BD915" w14:textId="0151DE5A" w:rsidR="001564C7" w:rsidRDefault="001564C7" w:rsidP="006D6DA1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25 ppm estimate</w:t>
            </w:r>
            <w:r w:rsidR="00F47F19">
              <w:t>d as the highest acceptable 8 h</w:t>
            </w:r>
            <w:r>
              <w:t xml:space="preserve"> concentration</w:t>
            </w:r>
            <w:r w:rsidR="0068205E">
              <w:t>.</w:t>
            </w:r>
            <w:r w:rsidR="00B249C3">
              <w:t xml:space="preserve"> </w:t>
            </w:r>
          </w:p>
          <w:p w14:paraId="7BD3E09A" w14:textId="77777777" w:rsidR="001564C7" w:rsidRDefault="001564C7" w:rsidP="00333C60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15D4AF63" w14:textId="63F296C2" w:rsidR="0068205E" w:rsidRDefault="001564C7" w:rsidP="00333C6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4,600 ppm (rats, 2 h, inhalation) resulted in no </w:t>
            </w:r>
            <w:r w:rsidR="00F47F19">
              <w:t>deaths</w:t>
            </w:r>
          </w:p>
          <w:p w14:paraId="0A5C7C52" w14:textId="3CCBC277" w:rsidR="001564C7" w:rsidRDefault="00F47F19" w:rsidP="006D6DA1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5/6 rats died after 8 h</w:t>
            </w:r>
            <w:r w:rsidR="001564C7">
              <w:t xml:space="preserve"> at 2,000 ppm</w:t>
            </w:r>
          </w:p>
          <w:p w14:paraId="4DA6B2EC" w14:textId="4D1701E4" w:rsidR="00DC737F" w:rsidRDefault="00350C61" w:rsidP="00333C60">
            <w:pPr>
              <w:pStyle w:val="ListBullet"/>
              <w:spacing w:before="60" w:after="60"/>
              <w:ind w:left="720"/>
              <w:contextualSpacing w:val="0"/>
            </w:pPr>
            <w:r>
              <w:t>4,600 ppm (</w:t>
            </w:r>
            <w:r w:rsidR="00F47F19">
              <w:t>mic</w:t>
            </w:r>
            <w:r w:rsidR="00AA6916">
              <w:t>e</w:t>
            </w:r>
            <w:r w:rsidR="00F47F19">
              <w:t>, inhalation) for up to 15 h</w:t>
            </w:r>
            <w:r w:rsidR="00DC737F">
              <w:t>:</w:t>
            </w:r>
            <w:r w:rsidR="006122CC">
              <w:t xml:space="preserve"> </w:t>
            </w:r>
          </w:p>
          <w:p w14:paraId="281628EF" w14:textId="77777777" w:rsidR="00DC737F" w:rsidRDefault="006122CC" w:rsidP="00DC737F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1 min</w:t>
            </w:r>
            <w:r w:rsidR="00350C61">
              <w:t xml:space="preserve"> resulted in irritation</w:t>
            </w:r>
          </w:p>
          <w:p w14:paraId="5561277A" w14:textId="35D6A35B" w:rsidR="00DC737F" w:rsidRDefault="006122CC" w:rsidP="00DC737F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1 h, somnolenc</w:t>
            </w:r>
            <w:r w:rsidR="00DC737F">
              <w:t>e</w:t>
            </w:r>
          </w:p>
          <w:p w14:paraId="5DEADBFC" w14:textId="029A14A3" w:rsidR="00DC737F" w:rsidRDefault="006122CC" w:rsidP="00DC737F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4</w:t>
            </w:r>
            <w:r w:rsidR="0052467B">
              <w:t>–</w:t>
            </w:r>
            <w:r>
              <w:t xml:space="preserve">8 h </w:t>
            </w:r>
            <w:r w:rsidR="00350C61">
              <w:t>anaesthesia</w:t>
            </w:r>
          </w:p>
          <w:p w14:paraId="4B537E16" w14:textId="325B2964" w:rsidR="001564C7" w:rsidRDefault="006122CC" w:rsidP="00DC737F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 xml:space="preserve">15 h </w:t>
            </w:r>
            <w:r w:rsidR="00350C61">
              <w:t>death</w:t>
            </w:r>
          </w:p>
          <w:p w14:paraId="1919F962" w14:textId="45C01E23" w:rsidR="001564C7" w:rsidRDefault="001564C7" w:rsidP="00333C60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895BAD">
              <w:rPr>
                <w:vertAlign w:val="subscript"/>
              </w:rPr>
              <w:t>50</w:t>
            </w:r>
            <w:r>
              <w:t>: 3.56 ml/kg (rabbits, dermal)</w:t>
            </w:r>
            <w:r w:rsidR="008D2AD7">
              <w:t>; systemic toxicity observed</w:t>
            </w:r>
          </w:p>
          <w:p w14:paraId="1480E2CC" w14:textId="2A1F7324" w:rsidR="001564C7" w:rsidRDefault="001564C7" w:rsidP="00333C60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2E1B98">
              <w:rPr>
                <w:vertAlign w:val="subscript"/>
              </w:rPr>
              <w:t>50</w:t>
            </w:r>
            <w:r>
              <w:t>: 2,600 mg/kg (rats, oral)</w:t>
            </w:r>
            <w:r w:rsidR="0052467B">
              <w:t>.</w:t>
            </w:r>
          </w:p>
          <w:p w14:paraId="63E00D9E" w14:textId="77777777" w:rsidR="0068205E" w:rsidRDefault="0068205E" w:rsidP="0052467B">
            <w:pPr>
              <w:pStyle w:val="Tabletextprimarysource"/>
            </w:pPr>
          </w:p>
          <w:p w14:paraId="7EA11916" w14:textId="75C363FE" w:rsidR="008D2AD7" w:rsidRDefault="008D2AD7" w:rsidP="0052467B">
            <w:pPr>
              <w:pStyle w:val="Tabletextprimarysource"/>
            </w:pPr>
            <w:r>
              <w:t>No derivation or explanation of TLV-TWA or TLV-STEL provided.</w:t>
            </w:r>
          </w:p>
          <w:p w14:paraId="66F09EBE" w14:textId="77777777" w:rsidR="00C978F0" w:rsidRDefault="00025EB8" w:rsidP="0052467B">
            <w:pPr>
              <w:pStyle w:val="Tabletextprimarysource"/>
            </w:pPr>
            <w:r w:rsidRPr="00DA4C2D">
              <w:t>Insufficient data to recommend a</w:t>
            </w:r>
            <w:r>
              <w:t xml:space="preserve"> sensitiser or</w:t>
            </w:r>
            <w:r w:rsidRPr="00DA4C2D">
              <w:t xml:space="preserve"> </w:t>
            </w:r>
            <w:r>
              <w:t>carcinogen</w:t>
            </w:r>
            <w:r w:rsidRPr="00DA4C2D">
              <w:t xml:space="preserve"> notation</w:t>
            </w:r>
            <w:r>
              <w:t>.</w:t>
            </w:r>
          </w:p>
          <w:p w14:paraId="064A0D5A" w14:textId="5CC40495" w:rsidR="0068205E" w:rsidRPr="00DA352E" w:rsidRDefault="0068205E" w:rsidP="0052467B">
            <w:pPr>
              <w:pStyle w:val="Tabletextprimarysource"/>
            </w:pPr>
          </w:p>
        </w:tc>
      </w:tr>
      <w:tr w:rsidR="00C978F0" w:rsidRPr="00DA352E" w14:paraId="232C864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EF5214" w14:textId="16DE2C4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25EB8" w:rsidRPr="00574646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F7974">
                  <w:t>MAK: 20 ppm (85 mg/m</w:t>
                </w:r>
                <w:r w:rsidR="009F7974" w:rsidRPr="009F7974">
                  <w:rPr>
                    <w:vertAlign w:val="superscript"/>
                  </w:rPr>
                  <w:t>3</w:t>
                </w:r>
                <w:r w:rsidR="009F7974">
                  <w:t>)</w:t>
                </w:r>
              </w:sdtContent>
            </w:sdt>
          </w:p>
        </w:tc>
      </w:tr>
      <w:tr w:rsidR="00C978F0" w:rsidRPr="00DA352E" w14:paraId="488B4C2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DAFD19" w14:textId="794DC687" w:rsidR="008D2AD7" w:rsidRDefault="008D2AD7" w:rsidP="008D2AD7">
            <w:pPr>
              <w:pStyle w:val="Tabletextprimarysource"/>
            </w:pPr>
            <w:r>
              <w:t xml:space="preserve">MAK </w:t>
            </w:r>
            <w:r w:rsidR="00404628">
              <w:t>recommended</w:t>
            </w:r>
            <w:r>
              <w:t xml:space="preserve"> to</w:t>
            </w:r>
            <w:r w:rsidR="00404628">
              <w:t xml:space="preserve"> protect for irritation of the mucous membranes and systemic effects in workers.</w:t>
            </w:r>
          </w:p>
          <w:p w14:paraId="37C62174" w14:textId="1D41398A" w:rsidR="00404628" w:rsidRDefault="00404628" w:rsidP="008D2AD7">
            <w:pPr>
              <w:pStyle w:val="Tabletextprimarysource"/>
            </w:pPr>
            <w:r>
              <w:t>Summary of additional data:</w:t>
            </w:r>
          </w:p>
          <w:p w14:paraId="6A49267E" w14:textId="31B8E004" w:rsidR="00404628" w:rsidRDefault="00404628" w:rsidP="00333C60">
            <w:pPr>
              <w:pStyle w:val="ListBullet"/>
              <w:spacing w:before="60" w:after="60"/>
              <w:ind w:left="720"/>
              <w:contextualSpacing w:val="0"/>
            </w:pPr>
            <w:r>
              <w:t>Previous MAK of 25 ppm based on human irritation at 50 ppm for 15 min and a tolerable 25 ppm (cited by ACGIH, 2018)</w:t>
            </w:r>
          </w:p>
          <w:p w14:paraId="5C2D1E0F" w14:textId="55D3D68F" w:rsidR="00574646" w:rsidRDefault="00574646" w:rsidP="00333C60">
            <w:pPr>
              <w:pStyle w:val="ListBullet"/>
              <w:spacing w:before="60" w:after="60"/>
              <w:ind w:left="720"/>
              <w:contextualSpacing w:val="0"/>
            </w:pPr>
            <w:r>
              <w:t>RD</w:t>
            </w:r>
            <w:r w:rsidRPr="00574646">
              <w:rPr>
                <w:vertAlign w:val="subscript"/>
              </w:rPr>
              <w:t>50</w:t>
            </w:r>
            <w:r>
              <w:t>: 420 ppm (mice, inhalation)</w:t>
            </w:r>
          </w:p>
          <w:p w14:paraId="76F62FB8" w14:textId="1DEFD42A" w:rsidR="00574646" w:rsidRDefault="00574646" w:rsidP="00333C60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574646">
              <w:rPr>
                <w:vertAlign w:val="subscript"/>
              </w:rPr>
              <w:t>50</w:t>
            </w:r>
            <w:r>
              <w:t>: 2,870 (rabbits, dermal)</w:t>
            </w:r>
          </w:p>
          <w:p w14:paraId="00C1450C" w14:textId="2E116E22" w:rsidR="00574646" w:rsidRDefault="00404628" w:rsidP="00333C60">
            <w:pPr>
              <w:pStyle w:val="ListBullet"/>
              <w:spacing w:before="60" w:after="60"/>
              <w:ind w:left="720"/>
              <w:contextualSpacing w:val="0"/>
            </w:pPr>
            <w:r>
              <w:t>NOE</w:t>
            </w:r>
            <w:r w:rsidR="00DC737F">
              <w:t>C</w:t>
            </w:r>
            <w:r>
              <w:t xml:space="preserve"> of 200 ppm for systemic effects in rats; </w:t>
            </w:r>
            <w:r w:rsidR="00574646">
              <w:t>6 h/d</w:t>
            </w:r>
            <w:r w:rsidR="00F57852">
              <w:t>, 5 d/wk, 6 wk</w:t>
            </w:r>
            <w:r>
              <w:t>; basis of MAK; derivation not explained</w:t>
            </w:r>
          </w:p>
          <w:p w14:paraId="3FC97AF1" w14:textId="77777777" w:rsidR="00574646" w:rsidRDefault="00404628" w:rsidP="00333C60">
            <w:pPr>
              <w:pStyle w:val="ListBullet"/>
              <w:ind w:left="720"/>
            </w:pPr>
            <w:r>
              <w:t xml:space="preserve">Based on model calculations, absorption by skin not considered </w:t>
            </w:r>
            <w:r w:rsidR="00333C60">
              <w:t xml:space="preserve">to </w:t>
            </w:r>
            <w:r>
              <w:t>significantly contribute to body burden to promote toxicity</w:t>
            </w:r>
            <w:r w:rsidR="0052467B">
              <w:t>.</w:t>
            </w:r>
          </w:p>
          <w:p w14:paraId="7E276644" w14:textId="63BC099B" w:rsidR="0068205E" w:rsidRPr="00DA352E" w:rsidRDefault="0068205E" w:rsidP="006D6DA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4E616FA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F5E51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415F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415F3">
                  <w:t>NA</w:t>
                </w:r>
              </w:sdtContent>
            </w:sdt>
          </w:p>
        </w:tc>
      </w:tr>
      <w:tr w:rsidR="00C978F0" w:rsidRPr="00DA352E" w14:paraId="0686EA6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062A06" w14:textId="6C331873" w:rsidR="00C978F0" w:rsidRPr="00DA352E" w:rsidRDefault="004415F3" w:rsidP="003365A5">
            <w:pPr>
              <w:pStyle w:val="Tabletextprimarysource"/>
            </w:pPr>
            <w:r>
              <w:t>No report</w:t>
            </w:r>
            <w:r w:rsidR="0052467B">
              <w:t>.</w:t>
            </w:r>
          </w:p>
        </w:tc>
      </w:tr>
      <w:tr w:rsidR="00DA352E" w:rsidRPr="00DA352E" w14:paraId="0C6988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DBD43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415F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4415F3">
                  <w:t>NA</w:t>
                </w:r>
              </w:sdtContent>
            </w:sdt>
          </w:p>
        </w:tc>
      </w:tr>
      <w:tr w:rsidR="00DA352E" w:rsidRPr="00DA352E" w14:paraId="5994020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9C7DD4" w14:textId="7F3DE3B7" w:rsidR="00DA352E" w:rsidRPr="00DA352E" w:rsidRDefault="004415F3" w:rsidP="003365A5">
            <w:pPr>
              <w:pStyle w:val="Tabletextprimarysource"/>
            </w:pPr>
            <w:r>
              <w:t>No report</w:t>
            </w:r>
            <w:r w:rsidR="0052467B">
              <w:t>.</w:t>
            </w:r>
          </w:p>
        </w:tc>
      </w:tr>
      <w:tr w:rsidR="00DA352E" w:rsidRPr="00DA352E" w14:paraId="35EDE85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1F683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415F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415F3">
                  <w:t>NA</w:t>
                </w:r>
              </w:sdtContent>
            </w:sdt>
          </w:p>
        </w:tc>
      </w:tr>
      <w:tr w:rsidR="00DA352E" w:rsidRPr="00DA352E" w14:paraId="7EE07A4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2F7FE39" w14:textId="50628799" w:rsidR="00DA352E" w:rsidRPr="00DA352E" w:rsidRDefault="004415F3" w:rsidP="003365A5">
            <w:pPr>
              <w:pStyle w:val="Tabletextprimarysource"/>
            </w:pPr>
            <w:r>
              <w:t>No report</w:t>
            </w:r>
            <w:r w:rsidR="0052467B">
              <w:t>.</w:t>
            </w:r>
          </w:p>
        </w:tc>
      </w:tr>
    </w:tbl>
    <w:p w14:paraId="04C061D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1E612A1A" w14:textId="77777777" w:rsidTr="004037C7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6375864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EAD85E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1F77BA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1E50D75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9010E1E" w14:textId="77777777" w:rsidTr="004037C7">
        <w:trPr>
          <w:cantSplit/>
        </w:trPr>
        <w:tc>
          <w:tcPr>
            <w:tcW w:w="1492" w:type="dxa"/>
          </w:tcPr>
          <w:p w14:paraId="54113AB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4055777" w14:textId="205642F8" w:rsidR="004966BF" w:rsidRPr="00CE617F" w:rsidRDefault="00346A0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05F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F94ECA" w14:textId="28D26D6F" w:rsidR="004966BF" w:rsidRPr="004C23F4" w:rsidRDefault="009605F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0" w:type="dxa"/>
          </w:tcPr>
          <w:p w14:paraId="7525CD40" w14:textId="5335C2DC" w:rsidR="004966BF" w:rsidRDefault="009605F3" w:rsidP="00333C60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Severe </w:t>
            </w:r>
            <w:r w:rsidRPr="00333C60">
              <w:t>irritation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4C32CE">
              <w:rPr>
                <w:rFonts w:cs="Arial"/>
                <w:color w:val="262626"/>
              </w:rPr>
              <w:t>following instillation of the undiluted chemical</w:t>
            </w:r>
            <w:r w:rsidR="0052467B">
              <w:rPr>
                <w:rFonts w:cs="Arial"/>
                <w:color w:val="262626"/>
              </w:rPr>
              <w:t xml:space="preserve"> </w:t>
            </w:r>
            <w:r w:rsidR="004C32CE">
              <w:rPr>
                <w:rStyle w:val="checkbox"/>
                <w:rFonts w:ascii="Arial" w:hAnsi="Arial" w:cs="Arial"/>
              </w:rPr>
              <w:t>in eyes of rabbits</w:t>
            </w:r>
          </w:p>
          <w:p w14:paraId="36507E10" w14:textId="24EEF67D" w:rsidR="004C32CE" w:rsidRPr="004C23F4" w:rsidRDefault="0019587F" w:rsidP="00333C60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NOAEC: 886 ppm (highest dose tested) in Wistar rats (6 h/d, 5 d/wk for 6 wk)</w:t>
            </w:r>
            <w:r w:rsidR="0052467B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47D4FD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0EECB750" w14:textId="77777777" w:rsidTr="004037C7">
        <w:trPr>
          <w:trHeight w:val="454"/>
          <w:tblHeader/>
        </w:trPr>
        <w:tc>
          <w:tcPr>
            <w:tcW w:w="6609" w:type="dxa"/>
            <w:vAlign w:val="center"/>
          </w:tcPr>
          <w:p w14:paraId="566C909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DF303FD" w14:textId="28A037AF" w:rsidR="002E0D61" w:rsidRDefault="00C33C5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F195BF0" w14:textId="77777777" w:rsidTr="004037C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148837EA" w14:textId="6FA50254" w:rsidR="008A36CF" w:rsidRPr="006901A2" w:rsidRDefault="004037C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48D5DA0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C99F6F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03EC09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9A362E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C1517C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8C7551D" w14:textId="77777777" w:rsidTr="00812887">
        <w:trPr>
          <w:cantSplit/>
        </w:trPr>
        <w:tc>
          <w:tcPr>
            <w:tcW w:w="3227" w:type="dxa"/>
          </w:tcPr>
          <w:p w14:paraId="626ED4F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0EBFFF6" w14:textId="77777777" w:rsidR="00687890" w:rsidRPr="00DD2F9B" w:rsidRDefault="00D371ED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5F518D9" w14:textId="77777777" w:rsidTr="00812887">
        <w:trPr>
          <w:cantSplit/>
        </w:trPr>
        <w:tc>
          <w:tcPr>
            <w:tcW w:w="3227" w:type="dxa"/>
          </w:tcPr>
          <w:p w14:paraId="6218FDB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3CA60EB" w14:textId="77777777" w:rsidR="007925F0" w:rsidRPr="00DD2F9B" w:rsidRDefault="004415F3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89BDCEB" w14:textId="77777777" w:rsidTr="00812887">
        <w:trPr>
          <w:cantSplit/>
        </w:trPr>
        <w:tc>
          <w:tcPr>
            <w:tcW w:w="3227" w:type="dxa"/>
          </w:tcPr>
          <w:p w14:paraId="16C711E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E059E6E" w14:textId="77777777" w:rsidR="00AF483F" w:rsidRPr="00DD2F9B" w:rsidRDefault="004415F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1EFF21F" w14:textId="77777777" w:rsidTr="00812887">
        <w:trPr>
          <w:cantSplit/>
        </w:trPr>
        <w:tc>
          <w:tcPr>
            <w:tcW w:w="3227" w:type="dxa"/>
          </w:tcPr>
          <w:p w14:paraId="3E77000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64A0D5F" w14:textId="77777777" w:rsidR="00687890" w:rsidRPr="00DD2F9B" w:rsidRDefault="004415F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1A06056" w14:textId="77777777" w:rsidTr="00812887">
        <w:trPr>
          <w:cantSplit/>
        </w:trPr>
        <w:tc>
          <w:tcPr>
            <w:tcW w:w="3227" w:type="dxa"/>
          </w:tcPr>
          <w:p w14:paraId="3D28456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CFC99AD" w14:textId="77777777" w:rsidR="00E41A26" w:rsidRPr="00DD2F9B" w:rsidRDefault="004415F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47BF29D" w14:textId="77777777" w:rsidTr="00812887">
        <w:trPr>
          <w:cantSplit/>
        </w:trPr>
        <w:tc>
          <w:tcPr>
            <w:tcW w:w="3227" w:type="dxa"/>
          </w:tcPr>
          <w:p w14:paraId="509C789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DCB1F49" w14:textId="77777777" w:rsidR="002E0D61" w:rsidRPr="00DD2F9B" w:rsidRDefault="004415F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0718602" w14:textId="77777777" w:rsidTr="00812887">
        <w:trPr>
          <w:cantSplit/>
        </w:trPr>
        <w:tc>
          <w:tcPr>
            <w:tcW w:w="3227" w:type="dxa"/>
          </w:tcPr>
          <w:p w14:paraId="7217224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C8A4B23" w14:textId="77777777" w:rsidR="002E0D61" w:rsidRPr="00DD2F9B" w:rsidRDefault="004415F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1ED8922" w14:textId="77777777" w:rsidTr="00812887">
        <w:trPr>
          <w:cantSplit/>
        </w:trPr>
        <w:tc>
          <w:tcPr>
            <w:tcW w:w="3227" w:type="dxa"/>
          </w:tcPr>
          <w:p w14:paraId="7E2EE42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7F37572" w14:textId="77777777" w:rsidR="002E0D61" w:rsidRPr="00DD2F9B" w:rsidRDefault="004415F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80E4F31" w14:textId="77777777" w:rsidTr="00812887">
        <w:trPr>
          <w:cantSplit/>
        </w:trPr>
        <w:tc>
          <w:tcPr>
            <w:tcW w:w="3227" w:type="dxa"/>
          </w:tcPr>
          <w:p w14:paraId="10B2945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DF2009D" w14:textId="77777777" w:rsidR="002E0D61" w:rsidRPr="00DD2F9B" w:rsidRDefault="004415F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86A301F" w14:textId="77777777" w:rsidTr="00812887">
        <w:trPr>
          <w:cantSplit/>
        </w:trPr>
        <w:tc>
          <w:tcPr>
            <w:tcW w:w="3227" w:type="dxa"/>
          </w:tcPr>
          <w:p w14:paraId="1800E19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DA5E8D" w14:textId="77777777" w:rsidR="00386093" w:rsidRPr="00DD2F9B" w:rsidRDefault="004415F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132398A" w14:textId="77777777" w:rsidTr="00812887">
        <w:trPr>
          <w:cantSplit/>
        </w:trPr>
        <w:tc>
          <w:tcPr>
            <w:tcW w:w="3227" w:type="dxa"/>
          </w:tcPr>
          <w:p w14:paraId="1CC4FA7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BCA7689" w14:textId="77777777" w:rsidR="00386093" w:rsidRPr="00DD2F9B" w:rsidRDefault="004415F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ED63FD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C5B2937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A8DDC2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048F93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7E531F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48" w:type="dxa"/>
              <w:tblLook w:val="04A0" w:firstRow="1" w:lastRow="0" w:firstColumn="1" w:lastColumn="0" w:noHBand="0" w:noVBand="1"/>
            </w:tblPr>
            <w:tblGrid>
              <w:gridCol w:w="3660"/>
              <w:gridCol w:w="1084"/>
              <w:gridCol w:w="1084"/>
              <w:gridCol w:w="2982"/>
            </w:tblGrid>
            <w:tr w:rsidR="00DE0433" w:rsidRPr="00DE0433" w14:paraId="2EDE7CF4" w14:textId="77777777" w:rsidTr="00DE0433">
              <w:trPr>
                <w:trHeight w:val="345"/>
              </w:trPr>
              <w:tc>
                <w:tcPr>
                  <w:tcW w:w="3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0EFAF2" w14:textId="77777777" w:rsidR="00DE0433" w:rsidRPr="00DE0433" w:rsidRDefault="00DE0433" w:rsidP="00DE04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BDFF7D" w14:textId="77777777" w:rsidR="00DE0433" w:rsidRPr="00DE0433" w:rsidRDefault="00DE0433" w:rsidP="00DE04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FF35A2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B92572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E0433" w:rsidRPr="00DE0433" w14:paraId="44379DCE" w14:textId="77777777" w:rsidTr="00DE0433">
              <w:trPr>
                <w:trHeight w:val="345"/>
              </w:trPr>
              <w:tc>
                <w:tcPr>
                  <w:tcW w:w="3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6C6938" w14:textId="77777777" w:rsidR="00DE0433" w:rsidRPr="00DE0433" w:rsidRDefault="00DE0433" w:rsidP="00DE04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0D553F" w14:textId="77777777" w:rsidR="00DE0433" w:rsidRPr="00DE0433" w:rsidRDefault="00DE0433" w:rsidP="00DE04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8C2BCD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79301E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E0433" w:rsidRPr="00DE0433" w14:paraId="5599C59C" w14:textId="77777777" w:rsidTr="00DE0433">
              <w:trPr>
                <w:trHeight w:val="345"/>
              </w:trPr>
              <w:tc>
                <w:tcPr>
                  <w:tcW w:w="3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ADB670" w14:textId="77777777" w:rsidR="00DE0433" w:rsidRPr="00DE0433" w:rsidRDefault="00DE0433" w:rsidP="00DE04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3CBA62" w14:textId="77777777" w:rsidR="00DE0433" w:rsidRPr="00DE0433" w:rsidRDefault="00DE0433" w:rsidP="00DE04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C71752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D676D7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E0433" w:rsidRPr="00DE0433" w14:paraId="67DF25E7" w14:textId="77777777" w:rsidTr="00DE0433">
              <w:trPr>
                <w:trHeight w:val="345"/>
              </w:trPr>
              <w:tc>
                <w:tcPr>
                  <w:tcW w:w="3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3ED1A9" w14:textId="77777777" w:rsidR="00DE0433" w:rsidRPr="00DE0433" w:rsidRDefault="00DE0433" w:rsidP="00DE04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FDE7A9" w14:textId="77777777" w:rsidR="00DE0433" w:rsidRPr="00DE0433" w:rsidRDefault="00DE0433" w:rsidP="00DE04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ACF8C4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D03DC8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E0433" w:rsidRPr="00DE0433" w14:paraId="0F89B1DE" w14:textId="77777777" w:rsidTr="00DE0433">
              <w:trPr>
                <w:trHeight w:val="345"/>
              </w:trPr>
              <w:tc>
                <w:tcPr>
                  <w:tcW w:w="3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BDFFAF" w14:textId="77777777" w:rsidR="00DE0433" w:rsidRPr="00DE0433" w:rsidRDefault="00DE0433" w:rsidP="00DE04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06C492" w14:textId="77777777" w:rsidR="00DE0433" w:rsidRPr="00DE0433" w:rsidRDefault="00DE0433" w:rsidP="00DE04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B019BE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D83582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E0433" w:rsidRPr="00DE0433" w14:paraId="06B15509" w14:textId="77777777" w:rsidTr="00DE0433">
              <w:trPr>
                <w:trHeight w:val="345"/>
              </w:trPr>
              <w:tc>
                <w:tcPr>
                  <w:tcW w:w="3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794BDE" w14:textId="77777777" w:rsidR="00DE0433" w:rsidRPr="00DE0433" w:rsidRDefault="00DE0433" w:rsidP="00DE04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6062A9" w14:textId="77777777" w:rsidR="00DE0433" w:rsidRPr="00DE0433" w:rsidRDefault="00DE0433" w:rsidP="00DE04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B5AD28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C0C77A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E0433" w:rsidRPr="00DE0433" w14:paraId="6605F816" w14:textId="77777777" w:rsidTr="00DE0433">
              <w:trPr>
                <w:trHeight w:val="345"/>
              </w:trPr>
              <w:tc>
                <w:tcPr>
                  <w:tcW w:w="38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17F935" w14:textId="77777777" w:rsidR="00DE0433" w:rsidRPr="00DE0433" w:rsidRDefault="00DE0433" w:rsidP="00DE04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C05646" w14:textId="77777777" w:rsidR="00DE0433" w:rsidRPr="00DE0433" w:rsidRDefault="00DE0433" w:rsidP="00DE04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BA841C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6B075B" w14:textId="77777777" w:rsidR="00DE0433" w:rsidRPr="00DE0433" w:rsidRDefault="00DE0433" w:rsidP="00DE043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E043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F443D0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EBAD26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E070C1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027AFE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D94517D" w14:textId="77777777" w:rsidR="00EB3D1B" w:rsidRDefault="004415F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F66B1F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2431A5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C6C0C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0DF5169" w14:textId="77777777" w:rsidR="001B79E5" w:rsidRDefault="004415F3" w:rsidP="001B79E5">
                <w:pPr>
                  <w:pStyle w:val="Tablefont"/>
                </w:pPr>
                <w:r>
                  <w:t>102.18</w:t>
                </w:r>
              </w:p>
            </w:tc>
          </w:sdtContent>
        </w:sdt>
      </w:tr>
      <w:tr w:rsidR="00A31D99" w:rsidRPr="004C23F4" w14:paraId="34CD53A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5726F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17DDE7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D6785F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0FEDC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2212A7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8AE83DA" w14:textId="77777777" w:rsidTr="00EA6243">
        <w:trPr>
          <w:cantSplit/>
        </w:trPr>
        <w:tc>
          <w:tcPr>
            <w:tcW w:w="4077" w:type="dxa"/>
            <w:vAlign w:val="center"/>
          </w:tcPr>
          <w:p w14:paraId="478AB03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9802C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728A5FC" w14:textId="77777777" w:rsidTr="00EA6243">
        <w:trPr>
          <w:cantSplit/>
        </w:trPr>
        <w:tc>
          <w:tcPr>
            <w:tcW w:w="4077" w:type="dxa"/>
            <w:vAlign w:val="center"/>
          </w:tcPr>
          <w:p w14:paraId="7A04FE9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CA7A9C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A1B1F4F" w14:textId="77777777" w:rsidTr="00EA6243">
        <w:trPr>
          <w:cantSplit/>
        </w:trPr>
        <w:tc>
          <w:tcPr>
            <w:tcW w:w="4077" w:type="dxa"/>
            <w:vAlign w:val="center"/>
          </w:tcPr>
          <w:p w14:paraId="2D748FF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BC39AEB" w14:textId="45E24DE3" w:rsidR="00E06F40" w:rsidRPr="00A006A0" w:rsidRDefault="00346A0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9587F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D8CEFF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CA0C3A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2DDCD0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20ECB7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291398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E7E268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898A22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85828C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9218AE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6DA7844" w14:textId="4DB8BD4F" w:rsidR="00783F86" w:rsidRDefault="002F20D5" w:rsidP="002F20D5">
      <w:r w:rsidRPr="00574646">
        <w:t xml:space="preserve">Deutsche Forschungsgemeinschaft (DFG) (2018) </w:t>
      </w:r>
      <w:r w:rsidR="00574646" w:rsidRPr="00574646">
        <w:t>4-methyl pentane-2-ol</w:t>
      </w:r>
      <w:r w:rsidR="00574646">
        <w:t xml:space="preserve"> </w:t>
      </w:r>
      <w:r w:rsidRPr="00574646">
        <w:t>– MAK value documentation.</w:t>
      </w:r>
    </w:p>
    <w:p w14:paraId="434361EE" w14:textId="0E320A0F" w:rsidR="009605F3" w:rsidRPr="002F20D5" w:rsidRDefault="009605F3" w:rsidP="002F20D5">
      <w:pPr>
        <w:rPr>
          <w:b/>
        </w:rPr>
      </w:pPr>
      <w:r w:rsidRPr="002022B6">
        <w:t>National Industrial Chemicals Notification and Assessment Scheme (NICNAS)</w:t>
      </w:r>
      <w:r>
        <w:t xml:space="preserve"> (2013) </w:t>
      </w:r>
      <w:r w:rsidRPr="009605F3">
        <w:t>2-Pentanol, 4-methyl-</w:t>
      </w:r>
      <w:r w:rsidRPr="0071660C">
        <w:t xml:space="preserve">: Human health </w:t>
      </w:r>
      <w:r>
        <w:t xml:space="preserve">tier II </w:t>
      </w:r>
      <w:r w:rsidRPr="0071660C">
        <w:t>assessment</w:t>
      </w:r>
      <w:r>
        <w:t xml:space="preserve"> – IMAP report.</w:t>
      </w:r>
    </w:p>
    <w:p w14:paraId="564492F5" w14:textId="77777777" w:rsidR="004415F3" w:rsidRDefault="004415F3" w:rsidP="004415F3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55BD2A39C57746B58DA146D4C4F65DDB"/>
          </w:placeholder>
          <w:temporary/>
          <w:showingPlcHdr/>
        </w:sdtPr>
        <w:sdtEndPr/>
        <w:sdtContent>
          <w:r w:rsidRPr="00E43DF1">
            <w:t>1994</w:t>
          </w:r>
        </w:sdtContent>
      </w:sdt>
      <w:r>
        <w:t>) Immediately dangerous to life or health concentrations – m</w:t>
      </w:r>
      <w:r w:rsidRPr="004415F3">
        <w:t>ethyl isobutyl carbinol</w:t>
      </w:r>
      <w:r>
        <w:t>.</w:t>
      </w:r>
    </w:p>
    <w:p w14:paraId="1FC69B12" w14:textId="77777777" w:rsidR="004415F3" w:rsidRPr="00351FE0" w:rsidRDefault="004415F3" w:rsidP="00084859"/>
    <w:sectPr w:rsidR="004415F3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31EF3" w14:textId="77777777" w:rsidR="00445AA6" w:rsidRDefault="00445AA6" w:rsidP="00F43AD5">
      <w:pPr>
        <w:spacing w:after="0" w:line="240" w:lineRule="auto"/>
      </w:pPr>
      <w:r>
        <w:separator/>
      </w:r>
    </w:p>
  </w:endnote>
  <w:endnote w:type="continuationSeparator" w:id="0">
    <w:p w14:paraId="17C6AE9F" w14:textId="77777777" w:rsidR="00445AA6" w:rsidRDefault="00445AA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EB68E" w14:textId="77777777" w:rsidR="007D1F4C" w:rsidRDefault="007D1F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97807AE" w14:textId="77777777" w:rsidR="008A36CF" w:rsidRDefault="00C4764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isobutyl carbinol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108-11-2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CCB713B" w14:textId="371E063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D1F4C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6E578" w14:textId="77777777" w:rsidR="007D1F4C" w:rsidRDefault="007D1F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41A83" w14:textId="77777777" w:rsidR="00445AA6" w:rsidRDefault="00445AA6" w:rsidP="00F43AD5">
      <w:pPr>
        <w:spacing w:after="0" w:line="240" w:lineRule="auto"/>
      </w:pPr>
      <w:r>
        <w:separator/>
      </w:r>
    </w:p>
  </w:footnote>
  <w:footnote w:type="continuationSeparator" w:id="0">
    <w:p w14:paraId="08994682" w14:textId="77777777" w:rsidR="00445AA6" w:rsidRDefault="00445AA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57082" w14:textId="77777777" w:rsidR="007D1F4C" w:rsidRDefault="007D1F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75122" w14:textId="57B24299" w:rsidR="007D1F4C" w:rsidRDefault="007D1F4C" w:rsidP="007D1F4C">
    <w:pPr>
      <w:pStyle w:val="Header"/>
      <w:jc w:val="right"/>
    </w:pPr>
    <w:r>
      <w:rPr>
        <w:noProof/>
        <w:lang w:eastAsia="en-AU"/>
      </w:rPr>
      <w:drawing>
        <wp:inline distT="0" distB="0" distL="0" distR="0" wp14:anchorId="13F7398B" wp14:editId="56C7933E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4A50ED" w14:textId="69B6A02D" w:rsidR="008A36CF" w:rsidRPr="007D1F4C" w:rsidRDefault="008A36CF" w:rsidP="007D1F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36EAE" w14:textId="77777777" w:rsidR="007D1F4C" w:rsidRDefault="007D1F4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19EFA" w14:textId="755032D8" w:rsidR="007D1F4C" w:rsidRDefault="007D1F4C" w:rsidP="007D1F4C">
    <w:pPr>
      <w:pStyle w:val="Header"/>
      <w:jc w:val="right"/>
    </w:pPr>
    <w:r>
      <w:rPr>
        <w:noProof/>
        <w:lang w:eastAsia="en-AU"/>
      </w:rPr>
      <w:drawing>
        <wp:inline distT="0" distB="0" distL="0" distR="0" wp14:anchorId="271C7109" wp14:editId="32164092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E2C41C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312E4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8F4AD7"/>
    <w:multiLevelType w:val="hybridMultilevel"/>
    <w:tmpl w:val="98BE357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8235904">
    <w:abstractNumId w:val="0"/>
  </w:num>
  <w:num w:numId="2" w16cid:durableId="269511328">
    <w:abstractNumId w:val="0"/>
  </w:num>
  <w:num w:numId="3" w16cid:durableId="1290549725">
    <w:abstractNumId w:val="0"/>
  </w:num>
  <w:num w:numId="4" w16cid:durableId="1431271268">
    <w:abstractNumId w:val="0"/>
  </w:num>
  <w:num w:numId="5" w16cid:durableId="46077775">
    <w:abstractNumId w:val="0"/>
  </w:num>
  <w:num w:numId="6" w16cid:durableId="488448516">
    <w:abstractNumId w:val="0"/>
  </w:num>
  <w:num w:numId="7" w16cid:durableId="1923024278">
    <w:abstractNumId w:val="0"/>
  </w:num>
  <w:num w:numId="8" w16cid:durableId="2120832261">
    <w:abstractNumId w:val="0"/>
  </w:num>
  <w:num w:numId="9" w16cid:durableId="1753162592">
    <w:abstractNumId w:val="0"/>
  </w:num>
  <w:num w:numId="10" w16cid:durableId="224754965">
    <w:abstractNumId w:val="1"/>
  </w:num>
  <w:num w:numId="11" w16cid:durableId="2050492039">
    <w:abstractNumId w:val="0"/>
  </w:num>
  <w:num w:numId="12" w16cid:durableId="122880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EB8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232F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1935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64C7"/>
    <w:rsid w:val="00160F47"/>
    <w:rsid w:val="00177CA1"/>
    <w:rsid w:val="00183823"/>
    <w:rsid w:val="00183942"/>
    <w:rsid w:val="0019587F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B17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20D5"/>
    <w:rsid w:val="0030740C"/>
    <w:rsid w:val="00315833"/>
    <w:rsid w:val="003215EE"/>
    <w:rsid w:val="003224BF"/>
    <w:rsid w:val="003241A8"/>
    <w:rsid w:val="003253F0"/>
    <w:rsid w:val="003337DA"/>
    <w:rsid w:val="00333C60"/>
    <w:rsid w:val="00334EFB"/>
    <w:rsid w:val="00334F5D"/>
    <w:rsid w:val="00335CDE"/>
    <w:rsid w:val="003365A5"/>
    <w:rsid w:val="00341829"/>
    <w:rsid w:val="00346A07"/>
    <w:rsid w:val="00347192"/>
    <w:rsid w:val="0034744C"/>
    <w:rsid w:val="00350C61"/>
    <w:rsid w:val="003511C2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7C7"/>
    <w:rsid w:val="00403F7D"/>
    <w:rsid w:val="00404628"/>
    <w:rsid w:val="00406785"/>
    <w:rsid w:val="004079B4"/>
    <w:rsid w:val="00417A56"/>
    <w:rsid w:val="00420957"/>
    <w:rsid w:val="00422A10"/>
    <w:rsid w:val="00430179"/>
    <w:rsid w:val="004414B5"/>
    <w:rsid w:val="004415F3"/>
    <w:rsid w:val="00444482"/>
    <w:rsid w:val="00444B42"/>
    <w:rsid w:val="00445AA6"/>
    <w:rsid w:val="00445E44"/>
    <w:rsid w:val="004509E2"/>
    <w:rsid w:val="004515EE"/>
    <w:rsid w:val="004529F0"/>
    <w:rsid w:val="00460A03"/>
    <w:rsid w:val="0047101D"/>
    <w:rsid w:val="00472A11"/>
    <w:rsid w:val="00472AAD"/>
    <w:rsid w:val="00474E33"/>
    <w:rsid w:val="00476803"/>
    <w:rsid w:val="00480975"/>
    <w:rsid w:val="00485BFD"/>
    <w:rsid w:val="004867A2"/>
    <w:rsid w:val="004873F2"/>
    <w:rsid w:val="00490D4C"/>
    <w:rsid w:val="00493A35"/>
    <w:rsid w:val="0049527A"/>
    <w:rsid w:val="004966BF"/>
    <w:rsid w:val="00497984"/>
    <w:rsid w:val="004A227E"/>
    <w:rsid w:val="004A5088"/>
    <w:rsid w:val="004C1E3F"/>
    <w:rsid w:val="004C23F4"/>
    <w:rsid w:val="004C32CE"/>
    <w:rsid w:val="004C3475"/>
    <w:rsid w:val="004C58B6"/>
    <w:rsid w:val="004D16A3"/>
    <w:rsid w:val="004D4AA1"/>
    <w:rsid w:val="004D6D68"/>
    <w:rsid w:val="004E5EDD"/>
    <w:rsid w:val="004F0074"/>
    <w:rsid w:val="004F448A"/>
    <w:rsid w:val="004F493D"/>
    <w:rsid w:val="004F65E8"/>
    <w:rsid w:val="0050005E"/>
    <w:rsid w:val="00502B88"/>
    <w:rsid w:val="005048A5"/>
    <w:rsid w:val="005142C4"/>
    <w:rsid w:val="0051509C"/>
    <w:rsid w:val="0052467B"/>
    <w:rsid w:val="005272E2"/>
    <w:rsid w:val="0053108F"/>
    <w:rsid w:val="00532B56"/>
    <w:rsid w:val="00534B10"/>
    <w:rsid w:val="005446A2"/>
    <w:rsid w:val="00544D2F"/>
    <w:rsid w:val="00551BD8"/>
    <w:rsid w:val="00574646"/>
    <w:rsid w:val="00574A7E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22CC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205E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0176"/>
    <w:rsid w:val="006D6DA1"/>
    <w:rsid w:val="006D79EA"/>
    <w:rsid w:val="006E5D05"/>
    <w:rsid w:val="00701053"/>
    <w:rsid w:val="0070145B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86"/>
    <w:rsid w:val="00783FB1"/>
    <w:rsid w:val="00785CDD"/>
    <w:rsid w:val="00786252"/>
    <w:rsid w:val="00791847"/>
    <w:rsid w:val="007925F0"/>
    <w:rsid w:val="007939B3"/>
    <w:rsid w:val="0079509C"/>
    <w:rsid w:val="00796708"/>
    <w:rsid w:val="007B1B42"/>
    <w:rsid w:val="007C30EB"/>
    <w:rsid w:val="007D1F4C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2AD7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5F3"/>
    <w:rsid w:val="00961124"/>
    <w:rsid w:val="009621B6"/>
    <w:rsid w:val="00974F2D"/>
    <w:rsid w:val="00977524"/>
    <w:rsid w:val="00977E88"/>
    <w:rsid w:val="009828DC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7974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6916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49C3"/>
    <w:rsid w:val="00B40C60"/>
    <w:rsid w:val="00B479A9"/>
    <w:rsid w:val="00B52EDF"/>
    <w:rsid w:val="00B71188"/>
    <w:rsid w:val="00B76A41"/>
    <w:rsid w:val="00B84B38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33C59"/>
    <w:rsid w:val="00C35943"/>
    <w:rsid w:val="00C40FF1"/>
    <w:rsid w:val="00C419E2"/>
    <w:rsid w:val="00C47648"/>
    <w:rsid w:val="00C5020E"/>
    <w:rsid w:val="00C561DD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46DF"/>
    <w:rsid w:val="00CB4E38"/>
    <w:rsid w:val="00CB6BC1"/>
    <w:rsid w:val="00CB6CB8"/>
    <w:rsid w:val="00CC1A68"/>
    <w:rsid w:val="00CC2123"/>
    <w:rsid w:val="00CD2BFD"/>
    <w:rsid w:val="00CD40F1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71ED"/>
    <w:rsid w:val="00D40642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1374"/>
    <w:rsid w:val="00DC737F"/>
    <w:rsid w:val="00DC7694"/>
    <w:rsid w:val="00DD1BF6"/>
    <w:rsid w:val="00DD2F9B"/>
    <w:rsid w:val="00DE0433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3DF1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CB6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7F19"/>
    <w:rsid w:val="00F56DD0"/>
    <w:rsid w:val="00F57852"/>
    <w:rsid w:val="00F6491C"/>
    <w:rsid w:val="00F67BBB"/>
    <w:rsid w:val="00F87D92"/>
    <w:rsid w:val="00F90AA7"/>
    <w:rsid w:val="00F92498"/>
    <w:rsid w:val="00F9496B"/>
    <w:rsid w:val="00F94C7C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28E04D2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4415F3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83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F8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F8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F86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1564C7"/>
    <w:pPr>
      <w:numPr>
        <w:numId w:val="1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25EB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33C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7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41E6B7F1DB4461FB3952E683EE92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BD7D1-91C2-413D-B4D1-894E5C6B4AF1}"/>
      </w:docPartPr>
      <w:docPartBody>
        <w:p w:rsidR="00E73E70" w:rsidRDefault="00110040" w:rsidP="00110040">
          <w:pPr>
            <w:pStyle w:val="941E6B7F1DB4461FB3952E683EE92B0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5BD2A39C57746B58DA146D4C4F65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AAB28-9483-42A2-BB1F-A4DDC98DBD19}"/>
      </w:docPartPr>
      <w:docPartBody>
        <w:p w:rsidR="00E73E70" w:rsidRDefault="00110040" w:rsidP="00110040">
          <w:pPr>
            <w:pStyle w:val="55BD2A39C57746B58DA146D4C4F65DDB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000CEE2DBE9841BE849C2F52E710C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88204-A414-4F0F-B2F4-9505645A0AB0}"/>
      </w:docPartPr>
      <w:docPartBody>
        <w:p w:rsidR="00F62873" w:rsidRDefault="00E45B75" w:rsidP="00E45B75">
          <w:pPr>
            <w:pStyle w:val="000CEE2DBE9841BE849C2F52E710CB3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040"/>
    <w:rsid w:val="00250F91"/>
    <w:rsid w:val="00574A7E"/>
    <w:rsid w:val="0070145B"/>
    <w:rsid w:val="0071346E"/>
    <w:rsid w:val="00D21A9F"/>
    <w:rsid w:val="00E45B75"/>
    <w:rsid w:val="00E73E70"/>
    <w:rsid w:val="00F6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873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41E6B7F1DB4461FB3952E683EE92B01">
    <w:name w:val="941E6B7F1DB4461FB3952E683EE92B01"/>
    <w:rsid w:val="00110040"/>
    <w:rPr>
      <w:lang w:val="en-US" w:eastAsia="en-US"/>
    </w:rPr>
  </w:style>
  <w:style w:type="paragraph" w:customStyle="1" w:styleId="55BD2A39C57746B58DA146D4C4F65DDB">
    <w:name w:val="55BD2A39C57746B58DA146D4C4F65DDB"/>
    <w:rsid w:val="00110040"/>
    <w:rPr>
      <w:lang w:val="en-US" w:eastAsia="en-US"/>
    </w:rPr>
  </w:style>
  <w:style w:type="paragraph" w:customStyle="1" w:styleId="000CEE2DBE9841BE849C2F52E710CB3E">
    <w:name w:val="000CEE2DBE9841BE849C2F52E710CB3E"/>
    <w:rsid w:val="00E45B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542D5-017F-46CC-9948-BD4BAB96B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3B0568-4910-46A5-A4B1-39E00C43F3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purl.org/dc/elements/1.1/"/>
    <ds:schemaRef ds:uri="http://purl.org/dc/terms/"/>
    <ds:schemaRef ds:uri="1c567317-0c4d-4a62-8516-c22afd1b5354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39</cp:revision>
  <cp:lastPrinted>2018-10-22T22:41:00Z</cp:lastPrinted>
  <dcterms:created xsi:type="dcterms:W3CDTF">2019-04-14T23:55:00Z</dcterms:created>
  <dcterms:modified xsi:type="dcterms:W3CDTF">2026-01-08T23:55:00Z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2025-12-23T04:48:54Z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64e1d9db-1bdd-4c93-abb6-c4a063b9a079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