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B788356" w14:textId="77777777" w:rsidR="00BD499F" w:rsidRPr="004C23F4" w:rsidRDefault="007226A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formate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50E20DC9" w14:textId="77777777" w:rsidTr="00B76A41">
        <w:trPr>
          <w:cantSplit/>
          <w:tblHeader/>
        </w:trPr>
        <w:tc>
          <w:tcPr>
            <w:tcW w:w="4077" w:type="dxa"/>
          </w:tcPr>
          <w:p w14:paraId="19533BC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92A2534" w14:textId="77777777" w:rsidR="00F43AD5" w:rsidRPr="00717D45" w:rsidRDefault="007226A2" w:rsidP="007226A2">
            <w:pPr>
              <w:pStyle w:val="Tablefont"/>
              <w:tabs>
                <w:tab w:val="left" w:pos="1190"/>
              </w:tabs>
            </w:pPr>
            <w:r>
              <w:t>107-31-3</w:t>
            </w:r>
          </w:p>
        </w:tc>
      </w:tr>
      <w:tr w:rsidR="00F43AD5" w:rsidRPr="004C23F4" w14:paraId="5B198AC2" w14:textId="77777777" w:rsidTr="00B76A41">
        <w:trPr>
          <w:cantSplit/>
        </w:trPr>
        <w:tc>
          <w:tcPr>
            <w:tcW w:w="4077" w:type="dxa"/>
          </w:tcPr>
          <w:p w14:paraId="0B37C65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5BFD349" w14:textId="77777777" w:rsidR="00F43AD5" w:rsidRPr="00717D45" w:rsidRDefault="00A53427" w:rsidP="00B76A41">
            <w:pPr>
              <w:pStyle w:val="Tablefont"/>
            </w:pPr>
            <w:r>
              <w:t xml:space="preserve">Formic acid methyl ester, methyl </w:t>
            </w:r>
            <w:proofErr w:type="spellStart"/>
            <w:r>
              <w:t>methanoate</w:t>
            </w:r>
            <w:proofErr w:type="spellEnd"/>
          </w:p>
        </w:tc>
      </w:tr>
      <w:tr w:rsidR="00F43AD5" w:rsidRPr="004C23F4" w14:paraId="77AB5B10" w14:textId="77777777" w:rsidTr="00B76A41">
        <w:trPr>
          <w:cantSplit/>
        </w:trPr>
        <w:tc>
          <w:tcPr>
            <w:tcW w:w="4077" w:type="dxa"/>
          </w:tcPr>
          <w:p w14:paraId="7DED1C6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6772CA" w14:textId="77777777" w:rsidR="00F43AD5" w:rsidRPr="00717D45" w:rsidRDefault="00A53427" w:rsidP="00B76A41">
            <w:pPr>
              <w:pStyle w:val="Tablefont"/>
            </w:pPr>
            <w:r>
              <w:t>C</w:t>
            </w:r>
            <w:r w:rsidRPr="00A53427">
              <w:rPr>
                <w:vertAlign w:val="subscript"/>
              </w:rPr>
              <w:t>2</w:t>
            </w:r>
            <w:r>
              <w:t>H</w:t>
            </w:r>
            <w:r w:rsidRPr="00A53427">
              <w:rPr>
                <w:vertAlign w:val="subscript"/>
              </w:rPr>
              <w:t>4</w:t>
            </w:r>
            <w:r>
              <w:t>O</w:t>
            </w:r>
            <w:r w:rsidRPr="00A53427">
              <w:rPr>
                <w:vertAlign w:val="subscript"/>
              </w:rPr>
              <w:t>2</w:t>
            </w:r>
          </w:p>
        </w:tc>
      </w:tr>
      <w:tr w:rsidR="00F43AD5" w:rsidRPr="004C23F4" w14:paraId="061B348E" w14:textId="77777777" w:rsidTr="00B76A41">
        <w:trPr>
          <w:cantSplit/>
        </w:trPr>
        <w:tc>
          <w:tcPr>
            <w:tcW w:w="4077" w:type="dxa"/>
          </w:tcPr>
          <w:p w14:paraId="03D1710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4EA9322" w14:textId="77777777" w:rsidR="00F43AD5" w:rsidRPr="00B40C60" w:rsidRDefault="00A5342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CBBDDB6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6214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962148" w:rsidRPr="004C23F4" w14:paraId="4AEF7343" w14:textId="77777777" w:rsidTr="00A53427">
        <w:trPr>
          <w:cantSplit/>
          <w:tblHeader/>
        </w:trPr>
        <w:tc>
          <w:tcPr>
            <w:tcW w:w="4010" w:type="dxa"/>
            <w:vAlign w:val="center"/>
          </w:tcPr>
          <w:p w14:paraId="2E357CD0" w14:textId="77777777" w:rsidR="00962148" w:rsidRPr="002C58FF" w:rsidRDefault="00962148" w:rsidP="00962148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5020E67" w14:textId="77777777" w:rsidR="00962148" w:rsidRPr="00A53427" w:rsidRDefault="00962148" w:rsidP="00962148">
            <w:pPr>
              <w:pStyle w:val="Tablefont"/>
              <w:rPr>
                <w:b/>
              </w:rPr>
            </w:pPr>
            <w:r w:rsidRPr="00962148">
              <w:rPr>
                <w:b/>
              </w:rPr>
              <w:t>50 ppm (123 mg/m</w:t>
            </w:r>
            <w:r w:rsidRPr="00962148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  <w:r w:rsidRPr="00962148">
              <w:rPr>
                <w:b/>
              </w:rPr>
              <w:t xml:space="preserve"> </w:t>
            </w:r>
          </w:p>
        </w:tc>
      </w:tr>
      <w:tr w:rsidR="00962148" w:rsidRPr="004C23F4" w14:paraId="5B434E07" w14:textId="77777777" w:rsidTr="00A53427">
        <w:trPr>
          <w:cantSplit/>
        </w:trPr>
        <w:tc>
          <w:tcPr>
            <w:tcW w:w="4010" w:type="dxa"/>
            <w:vAlign w:val="center"/>
          </w:tcPr>
          <w:p w14:paraId="5F25B61E" w14:textId="77777777" w:rsidR="00962148" w:rsidRPr="002C58FF" w:rsidRDefault="00962148" w:rsidP="0096214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4C88280" w14:textId="77777777" w:rsidR="00962148" w:rsidRPr="00A53427" w:rsidRDefault="00962148" w:rsidP="00962148">
            <w:pPr>
              <w:pStyle w:val="Tablefont"/>
              <w:rPr>
                <w:b/>
              </w:rPr>
            </w:pPr>
            <w:r w:rsidRPr="00962148">
              <w:rPr>
                <w:b/>
              </w:rPr>
              <w:t>100 ppm (245 mg/m</w:t>
            </w:r>
            <w:r w:rsidRPr="00962148">
              <w:rPr>
                <w:b/>
                <w:vertAlign w:val="superscript"/>
              </w:rPr>
              <w:t>3</w:t>
            </w:r>
            <w:r w:rsidRPr="00962148">
              <w:rPr>
                <w:b/>
              </w:rPr>
              <w:t>)</w:t>
            </w:r>
          </w:p>
        </w:tc>
      </w:tr>
      <w:tr w:rsidR="00A53427" w:rsidRPr="004C23F4" w14:paraId="6E875EEE" w14:textId="77777777" w:rsidTr="00A53427">
        <w:trPr>
          <w:cantSplit/>
        </w:trPr>
        <w:tc>
          <w:tcPr>
            <w:tcW w:w="4010" w:type="dxa"/>
            <w:vAlign w:val="center"/>
          </w:tcPr>
          <w:p w14:paraId="4015411A" w14:textId="77777777" w:rsidR="00A53427" w:rsidRPr="002C58FF" w:rsidRDefault="00A53427" w:rsidP="00A5342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A6F6521" w14:textId="77777777" w:rsidR="00A53427" w:rsidRPr="00A53427" w:rsidRDefault="00962148" w:rsidP="00A53427">
            <w:pPr>
              <w:pStyle w:val="Tablefont"/>
              <w:rPr>
                <w:b/>
              </w:rPr>
            </w:pPr>
            <w:r w:rsidRPr="003207E8">
              <w:rPr>
                <w:b/>
              </w:rPr>
              <w:t>—</w:t>
            </w:r>
          </w:p>
        </w:tc>
      </w:tr>
      <w:tr w:rsidR="00A53427" w:rsidRPr="004C23F4" w14:paraId="07262AB6" w14:textId="77777777" w:rsidTr="00A53427">
        <w:trPr>
          <w:cantSplit/>
        </w:trPr>
        <w:tc>
          <w:tcPr>
            <w:tcW w:w="4010" w:type="dxa"/>
          </w:tcPr>
          <w:p w14:paraId="5A51B64A" w14:textId="77777777" w:rsidR="00A53427" w:rsidRPr="002C58FF" w:rsidRDefault="00A53427" w:rsidP="00A53427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BCB0908" w14:textId="77777777" w:rsidR="00A53427" w:rsidRPr="00A53427" w:rsidRDefault="009C687C" w:rsidP="00A53427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A53427" w:rsidRPr="004C23F4" w14:paraId="07E7D2B1" w14:textId="77777777" w:rsidTr="00A53427">
        <w:trPr>
          <w:cantSplit/>
        </w:trPr>
        <w:tc>
          <w:tcPr>
            <w:tcW w:w="4010" w:type="dxa"/>
            <w:vAlign w:val="center"/>
          </w:tcPr>
          <w:p w14:paraId="5E414170" w14:textId="77777777" w:rsidR="00A53427" w:rsidRPr="002C58FF" w:rsidRDefault="00A53427" w:rsidP="00A53427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8783DCF" w14:textId="77777777" w:rsidR="00A53427" w:rsidRPr="00A53427" w:rsidRDefault="00C56ABB" w:rsidP="00A53427">
            <w:pPr>
              <w:pStyle w:val="Tablefont"/>
              <w:rPr>
                <w:b/>
              </w:rPr>
            </w:pPr>
            <w:r>
              <w:rPr>
                <w:b/>
              </w:rPr>
              <w:t>4,500 ppm</w:t>
            </w:r>
          </w:p>
        </w:tc>
      </w:tr>
      <w:tr w:rsidR="00720082" w:rsidRPr="004C23F4" w14:paraId="5691BC92" w14:textId="77777777" w:rsidTr="00226357">
        <w:trPr>
          <w:cantSplit/>
        </w:trPr>
        <w:tc>
          <w:tcPr>
            <w:tcW w:w="9026" w:type="dxa"/>
            <w:gridSpan w:val="2"/>
            <w:vAlign w:val="center"/>
          </w:tcPr>
          <w:p w14:paraId="638A9562" w14:textId="77777777" w:rsidR="00720082" w:rsidRPr="00A53427" w:rsidRDefault="00720082" w:rsidP="00A53427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720082">
              <w:rPr>
                <w:b/>
              </w:rPr>
              <w:t>:</w:t>
            </w:r>
            <w:r w:rsidRPr="00720082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EADE8007235491DB87CFDCB8CDCD4B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B761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FFC236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6E7E622" w14:textId="77777777" w:rsidR="00962148" w:rsidRPr="00962148" w:rsidRDefault="00962148" w:rsidP="00962148">
      <w:pPr>
        <w:rPr>
          <w:rFonts w:cs="Arial"/>
        </w:rPr>
      </w:pPr>
      <w:r w:rsidRPr="00962148">
        <w:rPr>
          <w:rFonts w:cs="Arial"/>
        </w:rPr>
        <w:t>A TWA of 50 ppm (123 mg/m</w:t>
      </w:r>
      <w:r w:rsidRPr="005B7611">
        <w:rPr>
          <w:rFonts w:cs="Arial"/>
          <w:vertAlign w:val="superscript"/>
        </w:rPr>
        <w:t>3</w:t>
      </w:r>
      <w:r w:rsidRPr="00962148">
        <w:rPr>
          <w:rFonts w:cs="Arial"/>
        </w:rPr>
        <w:t xml:space="preserve">) is recommended to protect for </w:t>
      </w:r>
      <w:r>
        <w:t>upper respiratory tract irritation</w:t>
      </w:r>
      <w:r w:rsidR="0033139E">
        <w:t xml:space="preserve"> and eye</w:t>
      </w:r>
      <w:r>
        <w:t xml:space="preserve"> damage </w:t>
      </w:r>
      <w:r w:rsidRPr="00962148">
        <w:rPr>
          <w:rFonts w:cs="Arial"/>
        </w:rPr>
        <w:t xml:space="preserve">in exposed workers. </w:t>
      </w:r>
    </w:p>
    <w:p w14:paraId="3974A8E1" w14:textId="62DCF6FE" w:rsidR="00962148" w:rsidRPr="00962148" w:rsidRDefault="00962148" w:rsidP="00962148">
      <w:pPr>
        <w:rPr>
          <w:rFonts w:cs="Arial"/>
        </w:rPr>
      </w:pPr>
      <w:r w:rsidRPr="00962148">
        <w:rPr>
          <w:rFonts w:cs="Arial"/>
        </w:rPr>
        <w:t>A STEL of 100 ppm (245 mg/m</w:t>
      </w:r>
      <w:r w:rsidRPr="005B7611">
        <w:rPr>
          <w:rFonts w:cs="Arial"/>
          <w:vertAlign w:val="superscript"/>
        </w:rPr>
        <w:t>3</w:t>
      </w:r>
      <w:r w:rsidRPr="00962148">
        <w:rPr>
          <w:rFonts w:cs="Arial"/>
        </w:rPr>
        <w:t xml:space="preserve">) is recommended to protect for </w:t>
      </w:r>
      <w:r w:rsidR="004E6006">
        <w:rPr>
          <w:rFonts w:cs="Arial"/>
        </w:rPr>
        <w:t xml:space="preserve">acute </w:t>
      </w:r>
      <w:r w:rsidRPr="00962148">
        <w:rPr>
          <w:rFonts w:cs="Arial"/>
        </w:rPr>
        <w:t>sensory irrita</w:t>
      </w:r>
      <w:r w:rsidR="004E6006">
        <w:rPr>
          <w:rFonts w:cs="Arial"/>
        </w:rPr>
        <w:t>tion</w:t>
      </w:r>
      <w:r w:rsidR="0033139E">
        <w:rPr>
          <w:rFonts w:cs="Arial"/>
        </w:rPr>
        <w:t xml:space="preserve"> and </w:t>
      </w:r>
      <w:r w:rsidR="0033139E">
        <w:t>central nervous system</w:t>
      </w:r>
      <w:r w:rsidR="009C687C">
        <w:t xml:space="preserve"> (CNS)</w:t>
      </w:r>
      <w:r w:rsidR="0033139E">
        <w:t xml:space="preserve"> impairment</w:t>
      </w:r>
      <w:r w:rsidRPr="00962148">
        <w:rPr>
          <w:rFonts w:cs="Arial"/>
        </w:rPr>
        <w:t xml:space="preserve"> in exposed workers. </w:t>
      </w:r>
    </w:p>
    <w:p w14:paraId="4B7F836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E0BAB7" w14:textId="6F5ABC25" w:rsidR="004E6006" w:rsidRDefault="0033139E" w:rsidP="00C44660">
      <w:pPr>
        <w:rPr>
          <w:rFonts w:cs="Arial"/>
        </w:rPr>
      </w:pPr>
      <w:r w:rsidRPr="00C44660">
        <w:rPr>
          <w:rFonts w:cs="Arial"/>
        </w:rPr>
        <w:t xml:space="preserve">Methyl </w:t>
      </w:r>
      <w:proofErr w:type="spellStart"/>
      <w:r w:rsidRPr="00C44660">
        <w:rPr>
          <w:rFonts w:cs="Arial"/>
        </w:rPr>
        <w:t>formate</w:t>
      </w:r>
      <w:proofErr w:type="spellEnd"/>
      <w:r w:rsidRPr="00C44660">
        <w:rPr>
          <w:rFonts w:cs="Arial"/>
        </w:rPr>
        <w:t xml:space="preserve"> is used primarily as a</w:t>
      </w:r>
      <w:r w:rsidR="00F96FAA">
        <w:rPr>
          <w:rFonts w:cs="Arial"/>
        </w:rPr>
        <w:t>n insecticide (</w:t>
      </w:r>
      <w:r w:rsidRPr="00C44660">
        <w:rPr>
          <w:rFonts w:cs="Arial"/>
        </w:rPr>
        <w:t xml:space="preserve">fumigant, </w:t>
      </w:r>
      <w:r w:rsidR="00F96FAA">
        <w:rPr>
          <w:rFonts w:cs="Arial"/>
        </w:rPr>
        <w:t>larvicide)</w:t>
      </w:r>
      <w:r w:rsidRPr="00C44660">
        <w:rPr>
          <w:rFonts w:cs="Arial"/>
        </w:rPr>
        <w:t xml:space="preserve">, solvent, blowing agent and in organic synthesis. </w:t>
      </w:r>
    </w:p>
    <w:p w14:paraId="34661F8C" w14:textId="06F0B75A" w:rsidR="0033139E" w:rsidRDefault="00A408F0" w:rsidP="00C44660">
      <w:pPr>
        <w:rPr>
          <w:rFonts w:cs="Arial"/>
        </w:rPr>
      </w:pPr>
      <w:r>
        <w:rPr>
          <w:rFonts w:cs="Arial"/>
        </w:rPr>
        <w:t>C</w:t>
      </w:r>
      <w:r w:rsidR="0033139E" w:rsidRPr="00C44660">
        <w:rPr>
          <w:rFonts w:cs="Arial"/>
        </w:rPr>
        <w:t xml:space="preserve">ritical effects </w:t>
      </w:r>
      <w:r w:rsidR="004E6006">
        <w:rPr>
          <w:rFonts w:cs="Arial"/>
        </w:rPr>
        <w:t xml:space="preserve">of exposure </w:t>
      </w:r>
      <w:r w:rsidR="0033139E" w:rsidRPr="00C44660">
        <w:rPr>
          <w:rFonts w:cs="Arial"/>
        </w:rPr>
        <w:t xml:space="preserve">include respiratory and sensory irritation and eye damage caused by </w:t>
      </w:r>
      <w:r w:rsidR="004E6006">
        <w:rPr>
          <w:rFonts w:cs="Arial"/>
        </w:rPr>
        <w:t xml:space="preserve">its </w:t>
      </w:r>
      <w:r w:rsidR="0033139E" w:rsidRPr="00C44660">
        <w:rPr>
          <w:rFonts w:cs="Arial"/>
        </w:rPr>
        <w:t>metabolism into formic acid.</w:t>
      </w:r>
      <w:r w:rsidR="004E6006">
        <w:rPr>
          <w:rFonts w:cs="Arial"/>
        </w:rPr>
        <w:t xml:space="preserve"> </w:t>
      </w:r>
      <w:r w:rsidR="00C44660">
        <w:rPr>
          <w:rFonts w:cs="Arial"/>
        </w:rPr>
        <w:t xml:space="preserve">Volunteers exposed </w:t>
      </w:r>
      <w:r w:rsidR="00123245">
        <w:rPr>
          <w:rFonts w:cs="Arial"/>
        </w:rPr>
        <w:t>at</w:t>
      </w:r>
      <w:r w:rsidR="00C44660">
        <w:rPr>
          <w:rFonts w:cs="Arial"/>
        </w:rPr>
        <w:t xml:space="preserve"> 100</w:t>
      </w:r>
      <w:r w:rsidR="0087419D">
        <w:rPr>
          <w:rFonts w:cs="Arial"/>
        </w:rPr>
        <w:t xml:space="preserve"> </w:t>
      </w:r>
      <w:r w:rsidR="00C44660">
        <w:rPr>
          <w:rFonts w:cs="Arial"/>
        </w:rPr>
        <w:t xml:space="preserve">ppm for eight hours and workers exposed </w:t>
      </w:r>
      <w:r w:rsidR="00123245">
        <w:rPr>
          <w:rFonts w:cs="Arial"/>
        </w:rPr>
        <w:t>at</w:t>
      </w:r>
      <w:r w:rsidR="00C44660">
        <w:rPr>
          <w:rFonts w:cs="Arial"/>
        </w:rPr>
        <w:t xml:space="preserve"> between</w:t>
      </w:r>
      <w:r w:rsidR="0033139E" w:rsidRPr="00C44660">
        <w:rPr>
          <w:rFonts w:cs="Arial"/>
        </w:rPr>
        <w:t xml:space="preserve"> </w:t>
      </w:r>
      <w:r w:rsidR="00C44660" w:rsidRPr="00C44660">
        <w:rPr>
          <w:rFonts w:cs="Arial"/>
        </w:rPr>
        <w:t>22</w:t>
      </w:r>
      <w:r w:rsidR="004E6006">
        <w:rPr>
          <w:rFonts w:cs="Arial"/>
        </w:rPr>
        <w:t xml:space="preserve"> and </w:t>
      </w:r>
      <w:r w:rsidR="00921DFB">
        <w:rPr>
          <w:rFonts w:cs="Arial"/>
        </w:rPr>
        <w:t>136 </w:t>
      </w:r>
      <w:r w:rsidR="00C44660" w:rsidRPr="00C44660">
        <w:rPr>
          <w:rFonts w:cs="Arial"/>
        </w:rPr>
        <w:t>ppm</w:t>
      </w:r>
      <w:r w:rsidR="00C44660">
        <w:rPr>
          <w:rFonts w:cs="Arial"/>
        </w:rPr>
        <w:t xml:space="preserve"> combined with isopropanol showed no significant neurobehavioral effects (ACGIH 2018). </w:t>
      </w:r>
      <w:r w:rsidR="00440CB2">
        <w:rPr>
          <w:rFonts w:cs="Arial"/>
        </w:rPr>
        <w:t xml:space="preserve">In a </w:t>
      </w:r>
      <w:proofErr w:type="gramStart"/>
      <w:r w:rsidR="00440CB2">
        <w:rPr>
          <w:rFonts w:cs="Arial"/>
        </w:rPr>
        <w:t>two</w:t>
      </w:r>
      <w:r w:rsidR="0087419D">
        <w:rPr>
          <w:rFonts w:cs="Arial"/>
        </w:rPr>
        <w:t xml:space="preserve"> </w:t>
      </w:r>
      <w:r w:rsidR="00440CB2">
        <w:rPr>
          <w:rFonts w:cs="Arial"/>
        </w:rPr>
        <w:t>week</w:t>
      </w:r>
      <w:proofErr w:type="gramEnd"/>
      <w:r w:rsidR="00440CB2">
        <w:rPr>
          <w:rFonts w:cs="Arial"/>
        </w:rPr>
        <w:t xml:space="preserve"> rat inhalation study</w:t>
      </w:r>
      <w:r w:rsidR="004E6006">
        <w:rPr>
          <w:rFonts w:cs="Arial"/>
        </w:rPr>
        <w:t>,</w:t>
      </w:r>
      <w:r w:rsidR="00440CB2">
        <w:rPr>
          <w:rFonts w:cs="Arial"/>
        </w:rPr>
        <w:t xml:space="preserve"> a </w:t>
      </w:r>
      <w:r w:rsidR="004E6006">
        <w:rPr>
          <w:rFonts w:cs="Arial"/>
        </w:rPr>
        <w:t>NOAEC</w:t>
      </w:r>
      <w:r w:rsidR="00440CB2">
        <w:rPr>
          <w:rFonts w:cs="Arial"/>
        </w:rPr>
        <w:t xml:space="preserve"> of 100</w:t>
      </w:r>
      <w:r w:rsidR="00327467">
        <w:rPr>
          <w:rFonts w:cs="Arial"/>
        </w:rPr>
        <w:t xml:space="preserve"> ppm</w:t>
      </w:r>
      <w:r w:rsidR="00440CB2">
        <w:rPr>
          <w:rFonts w:cs="Arial"/>
        </w:rPr>
        <w:t xml:space="preserve"> </w:t>
      </w:r>
      <w:r w:rsidR="004E6006">
        <w:rPr>
          <w:rFonts w:cs="Arial"/>
        </w:rPr>
        <w:t>i</w:t>
      </w:r>
      <w:r w:rsidR="00440CB2">
        <w:rPr>
          <w:rFonts w:cs="Arial"/>
        </w:rPr>
        <w:t>s established</w:t>
      </w:r>
      <w:r w:rsidR="004E6006">
        <w:rPr>
          <w:rFonts w:cs="Arial"/>
        </w:rPr>
        <w:t xml:space="preserve"> and is</w:t>
      </w:r>
      <w:r w:rsidR="00440CB2">
        <w:rPr>
          <w:rFonts w:cs="Arial"/>
        </w:rPr>
        <w:t xml:space="preserve"> us</w:t>
      </w:r>
      <w:r w:rsidR="009C687C">
        <w:rPr>
          <w:rFonts w:cs="Arial"/>
        </w:rPr>
        <w:t xml:space="preserve">ed to calculate an equivalent </w:t>
      </w:r>
      <w:proofErr w:type="gramStart"/>
      <w:r w:rsidR="009C687C">
        <w:rPr>
          <w:rFonts w:cs="Arial"/>
        </w:rPr>
        <w:t>thirteen</w:t>
      </w:r>
      <w:r w:rsidR="00440CB2">
        <w:rPr>
          <w:rFonts w:cs="Arial"/>
        </w:rPr>
        <w:t xml:space="preserve"> week</w:t>
      </w:r>
      <w:proofErr w:type="gramEnd"/>
      <w:r w:rsidR="00440CB2">
        <w:rPr>
          <w:rFonts w:cs="Arial"/>
        </w:rPr>
        <w:t xml:space="preserve"> </w:t>
      </w:r>
      <w:r w:rsidR="004E6006">
        <w:rPr>
          <w:rFonts w:cs="Arial"/>
        </w:rPr>
        <w:t>NOAEC</w:t>
      </w:r>
      <w:r w:rsidR="00440CB2">
        <w:rPr>
          <w:rFonts w:cs="Arial"/>
        </w:rPr>
        <w:t xml:space="preserve"> of 50 ppm </w:t>
      </w:r>
      <w:r w:rsidR="006C3CAB">
        <w:rPr>
          <w:rFonts w:cs="Arial"/>
        </w:rPr>
        <w:t xml:space="preserve">based on analogy to formic acid </w:t>
      </w:r>
      <w:r w:rsidR="00440CB2">
        <w:rPr>
          <w:rFonts w:cs="Arial"/>
        </w:rPr>
        <w:t>(</w:t>
      </w:r>
      <w:r w:rsidR="00440CB2" w:rsidRPr="00DA352E">
        <w:t>SCOEL</w:t>
      </w:r>
      <w:r w:rsidR="00440CB2" w:rsidRPr="003365A5">
        <w:t xml:space="preserve"> </w:t>
      </w:r>
      <w:r w:rsidR="00440CB2">
        <w:rPr>
          <w:rFonts w:cs="Arial"/>
        </w:rPr>
        <w:t xml:space="preserve">2004). Based on the </w:t>
      </w:r>
      <w:r w:rsidR="00842532">
        <w:rPr>
          <w:rFonts w:cs="Arial"/>
        </w:rPr>
        <w:t>potential for optic neuropathy caused</w:t>
      </w:r>
      <w:r w:rsidR="00440CB2" w:rsidRPr="00440CB2">
        <w:rPr>
          <w:rFonts w:cs="Arial"/>
        </w:rPr>
        <w:t xml:space="preserve"> by metabolism</w:t>
      </w:r>
      <w:r w:rsidR="00842532">
        <w:rPr>
          <w:rFonts w:cs="Arial"/>
        </w:rPr>
        <w:t xml:space="preserve"> </w:t>
      </w:r>
      <w:r w:rsidR="00440CB2" w:rsidRPr="00440CB2">
        <w:rPr>
          <w:rFonts w:cs="Arial"/>
        </w:rPr>
        <w:t>into formic acid</w:t>
      </w:r>
      <w:r w:rsidR="004E6006">
        <w:rPr>
          <w:rFonts w:cs="Arial"/>
        </w:rPr>
        <w:t>,</w:t>
      </w:r>
      <w:r w:rsidR="00440CB2" w:rsidRPr="00440CB2">
        <w:rPr>
          <w:rFonts w:cs="Arial"/>
        </w:rPr>
        <w:t xml:space="preserve"> toxicok</w:t>
      </w:r>
      <w:r w:rsidR="009C687C">
        <w:rPr>
          <w:rFonts w:cs="Arial"/>
        </w:rPr>
        <w:t xml:space="preserve">inetic modelling suggested a </w:t>
      </w:r>
      <w:proofErr w:type="gramStart"/>
      <w:r w:rsidR="009C687C">
        <w:rPr>
          <w:rFonts w:cs="Arial"/>
        </w:rPr>
        <w:t>50 </w:t>
      </w:r>
      <w:r w:rsidR="00440CB2" w:rsidRPr="00440CB2">
        <w:rPr>
          <w:rFonts w:cs="Arial"/>
        </w:rPr>
        <w:t>ppm</w:t>
      </w:r>
      <w:proofErr w:type="gramEnd"/>
      <w:r w:rsidR="00440CB2" w:rsidRPr="00440CB2">
        <w:rPr>
          <w:rFonts w:cs="Arial"/>
        </w:rPr>
        <w:t xml:space="preserve"> limit</w:t>
      </w:r>
      <w:r w:rsidR="00842532">
        <w:rPr>
          <w:rFonts w:cs="Arial"/>
        </w:rPr>
        <w:t>.</w:t>
      </w:r>
      <w:r w:rsidR="00C82CBB">
        <w:rPr>
          <w:rFonts w:cs="Arial"/>
        </w:rPr>
        <w:t xml:space="preserve"> A threshold response of 184 ppm for sensory irritation is predicted from mice studies</w:t>
      </w:r>
      <w:r w:rsidR="00A5656B">
        <w:rPr>
          <w:rFonts w:cs="Arial"/>
        </w:rPr>
        <w:t xml:space="preserve"> (ACGIH, 2018)</w:t>
      </w:r>
      <w:r w:rsidR="00C82CBB">
        <w:rPr>
          <w:rFonts w:cs="Arial"/>
        </w:rPr>
        <w:t xml:space="preserve">. </w:t>
      </w:r>
    </w:p>
    <w:p w14:paraId="4CD5172C" w14:textId="7C9EC912" w:rsidR="00440CB2" w:rsidRPr="00C44660" w:rsidRDefault="00440CB2" w:rsidP="00C44660">
      <w:pPr>
        <w:rPr>
          <w:rFonts w:cs="Arial"/>
        </w:rPr>
      </w:pPr>
      <w:r w:rsidRPr="00440CB2">
        <w:rPr>
          <w:rFonts w:cs="Arial"/>
        </w:rPr>
        <w:t xml:space="preserve">Based on the evidence presented in humans </w:t>
      </w:r>
      <w:r w:rsidR="004E6006">
        <w:rPr>
          <w:rFonts w:cs="Arial"/>
        </w:rPr>
        <w:t xml:space="preserve">and </w:t>
      </w:r>
      <w:r w:rsidRPr="00440CB2">
        <w:rPr>
          <w:rFonts w:cs="Arial"/>
        </w:rPr>
        <w:t xml:space="preserve">supported by </w:t>
      </w:r>
      <w:r>
        <w:rPr>
          <w:rFonts w:cs="Arial"/>
        </w:rPr>
        <w:t xml:space="preserve">the calculated </w:t>
      </w:r>
      <w:r w:rsidR="004E6006">
        <w:rPr>
          <w:rFonts w:cs="Arial"/>
        </w:rPr>
        <w:t>NOAEC</w:t>
      </w:r>
      <w:r>
        <w:rPr>
          <w:rFonts w:cs="Arial"/>
        </w:rPr>
        <w:t xml:space="preserve"> in animals</w:t>
      </w:r>
      <w:r w:rsidR="004E6006">
        <w:rPr>
          <w:rFonts w:cs="Arial"/>
        </w:rPr>
        <w:t>,</w:t>
      </w:r>
      <w:r w:rsidRPr="00440CB2">
        <w:rPr>
          <w:rFonts w:cs="Arial"/>
        </w:rPr>
        <w:t xml:space="preserve"> </w:t>
      </w:r>
      <w:r w:rsidR="004E6006">
        <w:rPr>
          <w:rFonts w:cs="Arial"/>
        </w:rPr>
        <w:t>a</w:t>
      </w:r>
      <w:r w:rsidRPr="00440CB2">
        <w:rPr>
          <w:rFonts w:cs="Arial"/>
        </w:rPr>
        <w:t xml:space="preserve"> TWA </w:t>
      </w:r>
      <w:r w:rsidR="009C687C">
        <w:rPr>
          <w:rFonts w:cs="Arial"/>
        </w:rPr>
        <w:t>of 50 </w:t>
      </w:r>
      <w:r w:rsidR="009C687C" w:rsidRPr="00962148">
        <w:rPr>
          <w:rFonts w:cs="Arial"/>
        </w:rPr>
        <w:t>ppm (123 mg/m</w:t>
      </w:r>
      <w:r w:rsidR="009C687C" w:rsidRPr="005B7611">
        <w:rPr>
          <w:rFonts w:cs="Arial"/>
          <w:vertAlign w:val="superscript"/>
        </w:rPr>
        <w:t>3</w:t>
      </w:r>
      <w:r w:rsidR="009C687C" w:rsidRPr="00962148">
        <w:rPr>
          <w:rFonts w:cs="Arial"/>
        </w:rPr>
        <w:t>)</w:t>
      </w:r>
      <w:r w:rsidR="009C687C">
        <w:rPr>
          <w:rFonts w:cs="Arial"/>
        </w:rPr>
        <w:t xml:space="preserve"> </w:t>
      </w:r>
      <w:r w:rsidR="006C3CAB">
        <w:rPr>
          <w:rFonts w:cs="Arial"/>
        </w:rPr>
        <w:t>is recommended</w:t>
      </w:r>
      <w:r w:rsidR="00A408F0">
        <w:rPr>
          <w:rFonts w:cs="Arial"/>
        </w:rPr>
        <w:t xml:space="preserve"> and</w:t>
      </w:r>
      <w:r w:rsidR="006C3CAB">
        <w:rPr>
          <w:rFonts w:cs="Arial"/>
        </w:rPr>
        <w:t xml:space="preserve"> consistent with the primary sources</w:t>
      </w:r>
      <w:r w:rsidR="00C82CBB">
        <w:rPr>
          <w:rFonts w:cs="Arial"/>
        </w:rPr>
        <w:t xml:space="preserve"> (ACGIH, 2018; DFG, 2013 and SCOEL, 2004)</w:t>
      </w:r>
      <w:r w:rsidR="00A408F0">
        <w:rPr>
          <w:rFonts w:cs="Arial"/>
        </w:rPr>
        <w:t>.</w:t>
      </w:r>
      <w:r w:rsidR="00C82CBB">
        <w:rPr>
          <w:rFonts w:cs="Arial"/>
        </w:rPr>
        <w:t xml:space="preserve"> </w:t>
      </w:r>
      <w:r w:rsidR="00575FC1">
        <w:rPr>
          <w:rFonts w:cs="Arial"/>
        </w:rPr>
        <w:t>This TWA</w:t>
      </w:r>
      <w:r w:rsidR="00A408F0">
        <w:rPr>
          <w:rFonts w:cs="Arial"/>
        </w:rPr>
        <w:t xml:space="preserve"> </w:t>
      </w:r>
      <w:r w:rsidR="00C82CBB">
        <w:rPr>
          <w:rFonts w:cs="Arial"/>
        </w:rPr>
        <w:t>is</w:t>
      </w:r>
      <w:r w:rsidR="00C82CBB" w:rsidRPr="00440CB2">
        <w:rPr>
          <w:rFonts w:cs="Arial"/>
        </w:rPr>
        <w:t xml:space="preserve"> considered protective of </w:t>
      </w:r>
      <w:r w:rsidR="00C82CBB">
        <w:t xml:space="preserve">upper respiratory tract irritation and eye damage </w:t>
      </w:r>
      <w:r w:rsidR="00C82CBB" w:rsidRPr="00962148">
        <w:rPr>
          <w:rFonts w:cs="Arial"/>
        </w:rPr>
        <w:t>in exposed workers</w:t>
      </w:r>
      <w:r w:rsidR="00C82CBB">
        <w:rPr>
          <w:rFonts w:cs="Arial"/>
        </w:rPr>
        <w:t xml:space="preserve">, and </w:t>
      </w:r>
      <w:r w:rsidR="00C82CBB">
        <w:t>CNS impairment</w:t>
      </w:r>
      <w:r w:rsidR="00C82CBB" w:rsidRPr="00962148">
        <w:rPr>
          <w:rFonts w:cs="Arial"/>
        </w:rPr>
        <w:t xml:space="preserve"> </w:t>
      </w:r>
      <w:r w:rsidR="00C82CBB">
        <w:rPr>
          <w:rFonts w:cs="Arial"/>
        </w:rPr>
        <w:t xml:space="preserve">resulting from </w:t>
      </w:r>
      <w:r w:rsidR="00C82CBB" w:rsidRPr="00962148">
        <w:rPr>
          <w:rFonts w:cs="Arial"/>
        </w:rPr>
        <w:t>acute exposures</w:t>
      </w:r>
      <w:r w:rsidR="00C82CBB">
        <w:rPr>
          <w:rFonts w:cs="Arial"/>
        </w:rPr>
        <w:t>.</w:t>
      </w:r>
      <w:r w:rsidR="00C82CBB" w:rsidDel="00C82CBB">
        <w:rPr>
          <w:rFonts w:cs="Arial"/>
        </w:rPr>
        <w:t xml:space="preserve"> </w:t>
      </w:r>
      <w:r w:rsidR="00C82CBB">
        <w:rPr>
          <w:rFonts w:cs="Arial"/>
        </w:rPr>
        <w:t>A</w:t>
      </w:r>
      <w:r w:rsidR="009C687C">
        <w:rPr>
          <w:rFonts w:cs="Arial"/>
        </w:rPr>
        <w:t xml:space="preserve"> </w:t>
      </w:r>
      <w:r w:rsidR="009C687C" w:rsidRPr="00962148">
        <w:rPr>
          <w:rFonts w:cs="Arial"/>
        </w:rPr>
        <w:t>STEL of 100</w:t>
      </w:r>
      <w:r w:rsidR="00A408F0">
        <w:rPr>
          <w:rFonts w:cs="Arial"/>
        </w:rPr>
        <w:t> </w:t>
      </w:r>
      <w:r w:rsidR="009C687C" w:rsidRPr="00962148">
        <w:rPr>
          <w:rFonts w:cs="Arial"/>
        </w:rPr>
        <w:t>ppm (245 mg/m</w:t>
      </w:r>
      <w:r w:rsidR="009C687C" w:rsidRPr="005B7611">
        <w:rPr>
          <w:rFonts w:cs="Arial"/>
          <w:vertAlign w:val="superscript"/>
        </w:rPr>
        <w:t>3</w:t>
      </w:r>
      <w:r w:rsidR="009C687C" w:rsidRPr="00962148">
        <w:rPr>
          <w:rFonts w:cs="Arial"/>
        </w:rPr>
        <w:t xml:space="preserve">) </w:t>
      </w:r>
      <w:r w:rsidR="00C82CBB">
        <w:rPr>
          <w:rFonts w:cs="Arial"/>
        </w:rPr>
        <w:t>is recommended to prevent acute sensory irritation</w:t>
      </w:r>
      <w:r w:rsidR="002C13B9">
        <w:rPr>
          <w:rFonts w:cs="Arial"/>
        </w:rPr>
        <w:t xml:space="preserve"> and CNS impairment</w:t>
      </w:r>
      <w:r w:rsidRPr="00440CB2">
        <w:rPr>
          <w:rFonts w:cs="Arial"/>
        </w:rPr>
        <w:t>.</w:t>
      </w:r>
    </w:p>
    <w:p w14:paraId="25E6E09B" w14:textId="77777777" w:rsidR="004529F0" w:rsidRPr="004C23F4" w:rsidRDefault="004529F0" w:rsidP="0087419D">
      <w:pPr>
        <w:pStyle w:val="Heading2"/>
      </w:pPr>
      <w:r>
        <w:lastRenderedPageBreak/>
        <w:t>Recommendation for notations</w:t>
      </w:r>
    </w:p>
    <w:p w14:paraId="25436A2F" w14:textId="77777777" w:rsidR="00A53427" w:rsidRPr="00962148" w:rsidRDefault="00A53427" w:rsidP="00A55BBE">
      <w:r w:rsidRPr="00962148">
        <w:t>Not classified as a carcinogen according to the Globally Harmonized System of Classification and Labelling o</w:t>
      </w:r>
      <w:r w:rsidR="0087419D">
        <w:t>f</w:t>
      </w:r>
      <w:r w:rsidRPr="00962148">
        <w:t xml:space="preserve"> Chemicals (GHS). </w:t>
      </w:r>
    </w:p>
    <w:p w14:paraId="264D58AE" w14:textId="77777777" w:rsidR="00A53427" w:rsidRPr="00962148" w:rsidRDefault="00A53427" w:rsidP="00A55BBE">
      <w:r w:rsidRPr="00962148">
        <w:t>Not classified as a skin</w:t>
      </w:r>
      <w:r w:rsidR="0087419D" w:rsidRPr="0087419D">
        <w:t xml:space="preserve"> </w:t>
      </w:r>
      <w:r w:rsidR="0087419D" w:rsidRPr="00962148">
        <w:t>sensitiser</w:t>
      </w:r>
      <w:r w:rsidRPr="00962148">
        <w:t xml:space="preserve"> or respiratory sensitiser according to the GHS.</w:t>
      </w:r>
    </w:p>
    <w:p w14:paraId="004FC941" w14:textId="77777777" w:rsidR="004529F0" w:rsidRPr="004C23F4" w:rsidRDefault="00962148" w:rsidP="00A55BBE">
      <w:r w:rsidRPr="00962148">
        <w:t>A skin notation</w:t>
      </w:r>
      <w:r>
        <w:t xml:space="preserve"> is</w:t>
      </w:r>
      <w:r w:rsidRPr="00962148">
        <w:t xml:space="preserve"> recommended based on evidence suggesting potential dermal absorption and adverse systemic effects in </w:t>
      </w:r>
      <w:r>
        <w:t xml:space="preserve">humans and </w:t>
      </w:r>
      <w:r w:rsidRPr="00962148">
        <w:t>animals.</w:t>
      </w:r>
    </w:p>
    <w:p w14:paraId="0FE88561" w14:textId="77777777" w:rsidR="0025734A" w:rsidRPr="004C23F4" w:rsidRDefault="0025734A">
      <w:pPr>
        <w:rPr>
          <w:rFonts w:cs="Arial"/>
        </w:rPr>
      </w:pPr>
    </w:p>
    <w:p w14:paraId="665187A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0CDAFF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DE59AA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E642A9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C6A204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B475A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C1C52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5342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53427">
                  <w:t>TWA: 100 ppm (246 mg/m</w:t>
                </w:r>
                <w:r w:rsidR="00A53427" w:rsidRPr="00A53427">
                  <w:rPr>
                    <w:vertAlign w:val="superscript"/>
                  </w:rPr>
                  <w:t>3</w:t>
                </w:r>
                <w:r w:rsidR="00A53427">
                  <w:t>); STEL: 150 ppm (368 mg/m</w:t>
                </w:r>
                <w:r w:rsidR="00A53427" w:rsidRPr="00A53427">
                  <w:rPr>
                    <w:vertAlign w:val="superscript"/>
                  </w:rPr>
                  <w:t>3</w:t>
                </w:r>
                <w:r w:rsidR="00A53427">
                  <w:t>)</w:t>
                </w:r>
              </w:sdtContent>
            </w:sdt>
          </w:p>
        </w:tc>
      </w:tr>
      <w:tr w:rsidR="00C978F0" w:rsidRPr="00DA352E" w14:paraId="4A30DD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1177E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663DAE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A05EDB" w14:textId="77777777" w:rsidR="00C978F0" w:rsidRPr="00DA352E" w:rsidRDefault="00DA352E" w:rsidP="009C4DF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C4DFB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C4DFB">
                  <w:t>TLV-TWA: 50 ppm (123 mg/m</w:t>
                </w:r>
                <w:r w:rsidR="009C4DFB" w:rsidRPr="009C4DFB">
                  <w:rPr>
                    <w:vertAlign w:val="superscript"/>
                  </w:rPr>
                  <w:t>3</w:t>
                </w:r>
                <w:r w:rsidR="00390BA3">
                  <w:t>); TLV-STEL: 100 ppm (245 </w:t>
                </w:r>
                <w:r w:rsidR="009C4DFB">
                  <w:t>mg/m</w:t>
                </w:r>
                <w:r w:rsidR="009C4DFB" w:rsidRPr="009C4DFB">
                  <w:rPr>
                    <w:vertAlign w:val="superscript"/>
                  </w:rPr>
                  <w:t>3</w:t>
                </w:r>
                <w:r w:rsidR="009C4DFB">
                  <w:t>)</w:t>
                </w:r>
              </w:sdtContent>
            </w:sdt>
          </w:p>
        </w:tc>
      </w:tr>
      <w:tr w:rsidR="00C978F0" w:rsidRPr="00DA352E" w14:paraId="279FBE1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D2174D" w14:textId="414C530E" w:rsidR="00B500A8" w:rsidRDefault="00B500A8" w:rsidP="0087419D">
            <w:pPr>
              <w:pStyle w:val="Tabletextprimarysource"/>
            </w:pPr>
            <w:r>
              <w:t xml:space="preserve">TLV-TWA recommended to minimise the risk of </w:t>
            </w:r>
            <w:r w:rsidR="00B5791A">
              <w:t xml:space="preserve">upper respiratory tract irritation, eye damage and </w:t>
            </w:r>
            <w:r w:rsidR="004E6006">
              <w:t>CNS</w:t>
            </w:r>
            <w:r w:rsidR="00B5791A">
              <w:t xml:space="preserve"> impairment</w:t>
            </w:r>
            <w:r>
              <w:t xml:space="preserve"> in exposed workers.</w:t>
            </w:r>
          </w:p>
          <w:p w14:paraId="49D4CC13" w14:textId="77777777" w:rsidR="00B500A8" w:rsidRPr="009C687C" w:rsidRDefault="00B500A8">
            <w:pPr>
              <w:pStyle w:val="Tabletextprimarysource"/>
            </w:pPr>
            <w:r>
              <w:t>Summary of data:</w:t>
            </w:r>
          </w:p>
          <w:p w14:paraId="03A5CC59" w14:textId="243B6E3E" w:rsidR="00B50685" w:rsidRPr="008F50A2" w:rsidRDefault="00B50685">
            <w:pPr>
              <w:pStyle w:val="Tabletextprimarysource"/>
            </w:pPr>
            <w:r>
              <w:rPr>
                <w:rFonts w:cs="Arial"/>
              </w:rPr>
              <w:t xml:space="preserve">Methyl </w:t>
            </w:r>
            <w:proofErr w:type="spellStart"/>
            <w:r>
              <w:rPr>
                <w:rFonts w:cs="Arial"/>
              </w:rPr>
              <w:t>formate</w:t>
            </w:r>
            <w:proofErr w:type="spellEnd"/>
            <w:r>
              <w:rPr>
                <w:rFonts w:cs="Arial"/>
              </w:rPr>
              <w:t xml:space="preserve"> breaks down into methanol and formic acid</w:t>
            </w:r>
            <w:r w:rsidR="004E6006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 w:rsidR="00327467">
              <w:rPr>
                <w:rFonts w:cs="Arial"/>
              </w:rPr>
              <w:t xml:space="preserve">Formic acid is believed to cause optic neuropathy. </w:t>
            </w:r>
            <w:r w:rsidR="004E6006">
              <w:rPr>
                <w:rFonts w:cs="Arial"/>
              </w:rPr>
              <w:t>T</w:t>
            </w:r>
            <w:r>
              <w:rPr>
                <w:rFonts w:cs="Arial"/>
              </w:rPr>
              <w:t>oxicok</w:t>
            </w:r>
            <w:r w:rsidR="009C687C">
              <w:rPr>
                <w:rFonts w:cs="Arial"/>
              </w:rPr>
              <w:t xml:space="preserve">inetic modelling suggested a </w:t>
            </w:r>
            <w:proofErr w:type="gramStart"/>
            <w:r w:rsidR="009C687C">
              <w:rPr>
                <w:rFonts w:cs="Arial"/>
              </w:rPr>
              <w:t>50 </w:t>
            </w:r>
            <w:r>
              <w:rPr>
                <w:rFonts w:cs="Arial"/>
              </w:rPr>
              <w:t>ppm</w:t>
            </w:r>
            <w:proofErr w:type="gramEnd"/>
            <w:r>
              <w:rPr>
                <w:rFonts w:cs="Arial"/>
              </w:rPr>
              <w:t xml:space="preserve"> limit </w:t>
            </w:r>
            <w:r w:rsidR="00327467">
              <w:rPr>
                <w:rFonts w:cs="Arial"/>
              </w:rPr>
              <w:t>to minimise the risk of</w:t>
            </w:r>
            <w:r>
              <w:rPr>
                <w:rFonts w:cs="Arial"/>
              </w:rPr>
              <w:t xml:space="preserve"> optic neuropathy</w:t>
            </w:r>
            <w:r w:rsidR="00B9671E">
              <w:rPr>
                <w:rFonts w:cs="Arial"/>
              </w:rPr>
              <w:t xml:space="preserve"> caused by conversion of methyl </w:t>
            </w:r>
            <w:proofErr w:type="spellStart"/>
            <w:r w:rsidR="00B9671E">
              <w:rPr>
                <w:rFonts w:cs="Arial"/>
              </w:rPr>
              <w:t>formate</w:t>
            </w:r>
            <w:proofErr w:type="spellEnd"/>
            <w:r w:rsidR="00B9671E">
              <w:rPr>
                <w:rFonts w:cs="Arial"/>
              </w:rPr>
              <w:t xml:space="preserve"> to formic acid</w:t>
            </w:r>
            <w:r w:rsidR="0087419D">
              <w:rPr>
                <w:rFonts w:cs="Arial"/>
              </w:rPr>
              <w:t>.</w:t>
            </w:r>
          </w:p>
          <w:p w14:paraId="0A9D24D6" w14:textId="77777777" w:rsidR="00B500A8" w:rsidRDefault="00B500A8" w:rsidP="005B761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499AE98D" w14:textId="3C90CC06" w:rsidR="004E6006" w:rsidRDefault="00B500A8" w:rsidP="005B7611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Volunteers exposed </w:t>
            </w:r>
            <w:r w:rsidR="00123245">
              <w:t>at</w:t>
            </w:r>
            <w:r>
              <w:t xml:space="preserve"> </w:t>
            </w:r>
            <w:r w:rsidR="00320B63">
              <w:t>100 ppm (8 h) were tested for neurobehavioral performance, spirometry, vision, postural sway, mood and electromyography</w:t>
            </w:r>
            <w:r w:rsidR="008D071C">
              <w:t>:</w:t>
            </w:r>
          </w:p>
          <w:p w14:paraId="56FEAED2" w14:textId="6FBE4637" w:rsidR="00B500A8" w:rsidRDefault="004E6006" w:rsidP="000731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320B63">
              <w:t>o significant differences were observed save for signs of an increase in fatigue</w:t>
            </w:r>
          </w:p>
          <w:p w14:paraId="03859E03" w14:textId="77777777" w:rsidR="00B500A8" w:rsidRDefault="00320B63" w:rsidP="000731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Workers exposed </w:t>
            </w:r>
            <w:r w:rsidR="00123245">
              <w:t>at</w:t>
            </w:r>
            <w:r>
              <w:t xml:space="preserve"> </w:t>
            </w:r>
            <w:r>
              <w:rPr>
                <w:rFonts w:cs="Arial"/>
              </w:rPr>
              <w:t>≈ 22</w:t>
            </w:r>
            <w:r w:rsidR="0087419D">
              <w:rPr>
                <w:rFonts w:cs="Arial"/>
              </w:rPr>
              <w:t>–</w:t>
            </w:r>
            <w:r>
              <w:rPr>
                <w:rFonts w:cs="Arial"/>
              </w:rPr>
              <w:t>136 ppm</w:t>
            </w:r>
            <w:r w:rsidR="0018331C">
              <w:rPr>
                <w:rFonts w:cs="Arial"/>
              </w:rPr>
              <w:t xml:space="preserve"> (median 68 ppm)</w:t>
            </w:r>
            <w:r>
              <w:rPr>
                <w:rFonts w:cs="Arial"/>
              </w:rPr>
              <w:t xml:space="preserve"> combined with ≈ 6-73 ppm isopropanol produced no significant neurobehavioral effects</w:t>
            </w:r>
          </w:p>
          <w:p w14:paraId="380B85E6" w14:textId="5C1BE083" w:rsidR="00B500A8" w:rsidRDefault="00773996" w:rsidP="000731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123245">
              <w:t>at</w:t>
            </w:r>
            <w:r>
              <w:t xml:space="preserve"> </w:t>
            </w:r>
            <w:r w:rsidR="009511D0">
              <w:t xml:space="preserve">1,500 ppm for </w:t>
            </w:r>
            <w:r w:rsidR="00A408F0">
              <w:t xml:space="preserve">one </w:t>
            </w:r>
            <w:r w:rsidR="009511D0">
              <w:t>min</w:t>
            </w:r>
            <w:r w:rsidR="00A408F0">
              <w:t>ute</w:t>
            </w:r>
            <w:r w:rsidR="009511D0">
              <w:t xml:space="preserve"> produced no observed adverse effects</w:t>
            </w:r>
          </w:p>
          <w:p w14:paraId="76336062" w14:textId="731F4D73" w:rsidR="00B500A8" w:rsidRDefault="00A55BBE" w:rsidP="00A55B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Methyl </w:t>
            </w:r>
            <w:proofErr w:type="spellStart"/>
            <w:r>
              <w:t>formate</w:t>
            </w:r>
            <w:proofErr w:type="spellEnd"/>
            <w:r>
              <w:t xml:space="preserve"> is readily absorbed through human skin and cause systemic effects and fatality.</w:t>
            </w:r>
          </w:p>
          <w:p w14:paraId="2C05883D" w14:textId="77777777" w:rsidR="00B500A8" w:rsidRDefault="00B500A8" w:rsidP="005B761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6B4850B8" w14:textId="77777777" w:rsidR="00B500A8" w:rsidRDefault="00B5791A" w:rsidP="0007319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B5791A">
              <w:rPr>
                <w:vertAlign w:val="subscript"/>
              </w:rPr>
              <w:t>50</w:t>
            </w:r>
            <w:r>
              <w:t>: 8,500 ppm (rats)</w:t>
            </w:r>
          </w:p>
          <w:p w14:paraId="504D8466" w14:textId="7B6B6E34" w:rsidR="00B500A8" w:rsidRDefault="00B5791A" w:rsidP="00073195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Guinea pigs exposed </w:t>
            </w:r>
            <w:r w:rsidR="00123245">
              <w:t>at</w:t>
            </w:r>
            <w:r>
              <w:t xml:space="preserve"> 1,500</w:t>
            </w:r>
            <w:r w:rsidR="0087419D">
              <w:t>–</w:t>
            </w:r>
            <w:r>
              <w:t>50,000 ppm (inhalation), 50,000</w:t>
            </w:r>
            <w:r w:rsidR="009C687C">
              <w:t xml:space="preserve"> ppm</w:t>
            </w:r>
            <w:r>
              <w:t xml:space="preserve"> proved fatal</w:t>
            </w:r>
            <w:r w:rsidR="008D071C">
              <w:t>:</w:t>
            </w:r>
          </w:p>
          <w:p w14:paraId="48DD2A13" w14:textId="77777777" w:rsidR="00B5791A" w:rsidRDefault="00B5791A" w:rsidP="000731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10,000 pp</w:t>
            </w:r>
            <w:r w:rsidR="003530B5">
              <w:t>m: retching in 6</w:t>
            </w:r>
            <w:r w:rsidR="0087419D">
              <w:t>–</w:t>
            </w:r>
            <w:r w:rsidR="003530B5">
              <w:t>15 min</w:t>
            </w:r>
          </w:p>
          <w:p w14:paraId="67A3FFC1" w14:textId="77777777" w:rsidR="00B500A8" w:rsidRDefault="003530B5" w:rsidP="000731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3,500 ppm (180 min): pulmonary irritation, liver and kidney hyperaemia and congestion of vessels and adrenal of the brain</w:t>
            </w:r>
          </w:p>
          <w:p w14:paraId="19977BB0" w14:textId="77777777" w:rsidR="00B500A8" w:rsidRDefault="0044590C" w:rsidP="005B7611">
            <w:pPr>
              <w:pStyle w:val="ListBullet"/>
              <w:spacing w:before="60" w:after="60"/>
              <w:ind w:left="720"/>
              <w:contextualSpacing w:val="0"/>
            </w:pPr>
            <w:r>
              <w:t>NOAEL(RD</w:t>
            </w:r>
            <w:r w:rsidRPr="0044590C">
              <w:rPr>
                <w:vertAlign w:val="subscript"/>
              </w:rPr>
              <w:t>0</w:t>
            </w:r>
            <w:r>
              <w:t>): 184 ppm (mice) for respiratory depression</w:t>
            </w:r>
          </w:p>
          <w:p w14:paraId="6370C9FB" w14:textId="77777777" w:rsidR="00B500A8" w:rsidRDefault="0044590C" w:rsidP="005B7611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44590C">
              <w:rPr>
                <w:vertAlign w:val="subscript"/>
              </w:rPr>
              <w:t>50</w:t>
            </w:r>
            <w:r>
              <w:t>: 1,600 mg/kg</w:t>
            </w:r>
            <w:r w:rsidR="00877235">
              <w:t xml:space="preserve"> (rabbits, oral)</w:t>
            </w:r>
          </w:p>
          <w:p w14:paraId="7901811D" w14:textId="77777777" w:rsidR="00877235" w:rsidRDefault="00877235" w:rsidP="005B7611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877235">
              <w:rPr>
                <w:vertAlign w:val="subscript"/>
              </w:rPr>
              <w:t>50</w:t>
            </w:r>
            <w:r>
              <w:t>: &gt;4,000 mg/kg (rats, dermal) staggering and irregular breathing indicate dermal absorption</w:t>
            </w:r>
          </w:p>
          <w:p w14:paraId="49C33B0F" w14:textId="77777777" w:rsidR="00B500A8" w:rsidRDefault="00B50685" w:rsidP="005B7611">
            <w:pPr>
              <w:pStyle w:val="ListBullet"/>
              <w:spacing w:before="60" w:after="60"/>
              <w:ind w:left="720"/>
              <w:contextualSpacing w:val="0"/>
            </w:pPr>
            <w:r w:rsidRPr="00B50685">
              <w:t>Negative results in mutagenic assays</w:t>
            </w:r>
            <w:r w:rsidR="0087419D">
              <w:t>.</w:t>
            </w:r>
          </w:p>
          <w:p w14:paraId="51B5AE86" w14:textId="77777777" w:rsidR="00413C10" w:rsidRDefault="00413C10" w:rsidP="0087419D">
            <w:pPr>
              <w:pStyle w:val="Tabletextprimarysource"/>
            </w:pPr>
          </w:p>
          <w:p w14:paraId="3D56653F" w14:textId="1D9AAB98" w:rsidR="00C978F0" w:rsidRDefault="00B50685" w:rsidP="0087419D">
            <w:pPr>
              <w:pStyle w:val="Tabletextprimarysource"/>
            </w:pPr>
            <w:r>
              <w:t xml:space="preserve">A skin notation is recommended due to </w:t>
            </w:r>
            <w:r w:rsidR="00B11C35">
              <w:t>evidence of systemic effect</w:t>
            </w:r>
            <w:r w:rsidR="004E6006">
              <w:t>s</w:t>
            </w:r>
            <w:r w:rsidR="00B11C35">
              <w:t xml:space="preserve"> in humans and animals </w:t>
            </w:r>
            <w:r w:rsidR="004E6006">
              <w:t>after</w:t>
            </w:r>
            <w:r w:rsidR="00B11C35">
              <w:t xml:space="preserve"> dermal exposure.</w:t>
            </w:r>
          </w:p>
          <w:p w14:paraId="36770278" w14:textId="77777777" w:rsidR="00B11C35" w:rsidRDefault="00B11C35" w:rsidP="0087419D">
            <w:pPr>
              <w:pStyle w:val="Tabletextprimarysource"/>
            </w:pPr>
            <w:r>
              <w:t>Insufficient data to recommend a sensitiser or carcinogen notation.</w:t>
            </w:r>
          </w:p>
          <w:p w14:paraId="0EA6949B" w14:textId="77777777" w:rsidR="004E6006" w:rsidRPr="00DA352E" w:rsidRDefault="004E6006" w:rsidP="0087419D">
            <w:pPr>
              <w:pStyle w:val="Tabletextprimarysource"/>
            </w:pPr>
          </w:p>
        </w:tc>
      </w:tr>
      <w:tr w:rsidR="00C978F0" w:rsidRPr="00DA352E" w14:paraId="0F8B5E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4BA87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236A9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236A9">
                  <w:t>MAK: 50 ppm (120 mg/m</w:t>
                </w:r>
                <w:r w:rsidR="00B236A9" w:rsidRPr="00B236A9">
                  <w:rPr>
                    <w:vertAlign w:val="superscript"/>
                  </w:rPr>
                  <w:t>3</w:t>
                </w:r>
                <w:r w:rsidR="00B236A9">
                  <w:t>)</w:t>
                </w:r>
              </w:sdtContent>
            </w:sdt>
          </w:p>
        </w:tc>
      </w:tr>
      <w:tr w:rsidR="00C978F0" w:rsidRPr="00DA352E" w14:paraId="13E404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BF1DC7" w14:textId="77777777" w:rsidR="00C978F0" w:rsidRDefault="0018331C" w:rsidP="003365A5">
            <w:pPr>
              <w:pStyle w:val="Tabletextprimarysource"/>
            </w:pPr>
            <w:r w:rsidRPr="0018331C">
              <w:t xml:space="preserve">As no neuropsychological changes observed </w:t>
            </w:r>
            <w:r>
              <w:t>at</w:t>
            </w:r>
            <w:r w:rsidRPr="0018331C">
              <w:t xml:space="preserve"> concentrations </w:t>
            </w:r>
            <w:r w:rsidR="00390BA3">
              <w:t>&lt;</w:t>
            </w:r>
            <w:r w:rsidRPr="0018331C">
              <w:t xml:space="preserve">50 </w:t>
            </w:r>
            <w:r>
              <w:t xml:space="preserve">ppm </w:t>
            </w:r>
            <w:r w:rsidRPr="0018331C">
              <w:t>the provisional MAK has been retained.</w:t>
            </w:r>
          </w:p>
          <w:p w14:paraId="6EE64B4F" w14:textId="77777777" w:rsidR="004E6006" w:rsidRPr="00DA352E" w:rsidRDefault="004E6006" w:rsidP="003365A5">
            <w:pPr>
              <w:pStyle w:val="Tabletextprimarysource"/>
            </w:pPr>
          </w:p>
        </w:tc>
      </w:tr>
      <w:tr w:rsidR="00C978F0" w:rsidRPr="00DA352E" w14:paraId="7BBADB0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99AE27" w14:textId="77777777" w:rsidR="00C978F0" w:rsidRPr="00DA352E" w:rsidRDefault="00DA352E" w:rsidP="009D262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D2629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D2629" w:rsidRPr="009D2629">
                  <w:t>TWA</w:t>
                </w:r>
                <w:r w:rsidR="009D2629">
                  <w:t>: 50 ppm (125 mg/m</w:t>
                </w:r>
                <w:r w:rsidR="009D2629" w:rsidRPr="009D2629">
                  <w:rPr>
                    <w:vertAlign w:val="superscript"/>
                  </w:rPr>
                  <w:t>3</w:t>
                </w:r>
                <w:r w:rsidR="009D2629">
                  <w:t>); STEL: 100 ppm (250 mg/m</w:t>
                </w:r>
                <w:r w:rsidR="009D2629" w:rsidRPr="009D2629">
                  <w:rPr>
                    <w:vertAlign w:val="superscript"/>
                  </w:rPr>
                  <w:t>3</w:t>
                </w:r>
                <w:r w:rsidR="009D2629">
                  <w:t xml:space="preserve">) </w:t>
                </w:r>
              </w:sdtContent>
            </w:sdt>
          </w:p>
        </w:tc>
      </w:tr>
      <w:tr w:rsidR="00C978F0" w:rsidRPr="00DA352E" w14:paraId="0FB1FA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721CC5" w14:textId="77777777" w:rsidR="0018331C" w:rsidRDefault="0018331C" w:rsidP="0087419D">
            <w:pPr>
              <w:pStyle w:val="Tabletextprimarysource"/>
            </w:pPr>
            <w:r>
              <w:t>Summary of additional data:</w:t>
            </w:r>
          </w:p>
          <w:p w14:paraId="16C6A170" w14:textId="5E409C11" w:rsidR="00C978F0" w:rsidRDefault="00092825" w:rsidP="005B7611">
            <w:pPr>
              <w:pStyle w:val="ListBullet"/>
              <w:spacing w:before="60" w:after="60"/>
              <w:ind w:left="720"/>
              <w:contextualSpacing w:val="0"/>
            </w:pPr>
            <w:r>
              <w:t>NOAE</w:t>
            </w:r>
            <w:r w:rsidR="004E6006">
              <w:t>C</w:t>
            </w:r>
            <w:r>
              <w:t>: 100 ppm (rats, 6 h/d, 5 d/</w:t>
            </w:r>
            <w:proofErr w:type="spellStart"/>
            <w:r>
              <w:t>wk</w:t>
            </w:r>
            <w:proofErr w:type="spellEnd"/>
            <w:r>
              <w:t xml:space="preserve">, 2 </w:t>
            </w:r>
            <w:proofErr w:type="spellStart"/>
            <w:r>
              <w:t>wk</w:t>
            </w:r>
            <w:proofErr w:type="spellEnd"/>
            <w:r>
              <w:t>, inhalation)</w:t>
            </w:r>
            <w:r w:rsidR="008D071C">
              <w:t>:</w:t>
            </w:r>
          </w:p>
          <w:p w14:paraId="5D2C006E" w14:textId="77777777" w:rsidR="00092825" w:rsidRDefault="00092825" w:rsidP="000731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500 ppm: slight nasal olfactory epithelium degeneration</w:t>
            </w:r>
          </w:p>
          <w:p w14:paraId="7C196562" w14:textId="3D13499B" w:rsidR="00092825" w:rsidRDefault="00092825" w:rsidP="000731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1,500 ppm: </w:t>
            </w:r>
            <w:r w:rsidR="004E6006">
              <w:t>b</w:t>
            </w:r>
            <w:r w:rsidR="00413C10">
              <w:t xml:space="preserve">ody </w:t>
            </w:r>
            <w:r w:rsidR="004E6006">
              <w:t>w</w:t>
            </w:r>
            <w:r w:rsidR="00413C10">
              <w:t>eight</w:t>
            </w:r>
            <w:r>
              <w:t xml:space="preserve"> changes, </w:t>
            </w:r>
            <w:r w:rsidRPr="00092825">
              <w:t xml:space="preserve">multifocal </w:t>
            </w:r>
            <w:proofErr w:type="spellStart"/>
            <w:r w:rsidRPr="00092825">
              <w:t>squamoid</w:t>
            </w:r>
            <w:proofErr w:type="spellEnd"/>
            <w:r w:rsidRPr="00092825">
              <w:t xml:space="preserve"> metaplasia of the olfactory epithelium </w:t>
            </w:r>
            <w:r>
              <w:t>and</w:t>
            </w:r>
            <w:r w:rsidRPr="00092825">
              <w:t xml:space="preserve"> multifocal inflammatory cell infiltration</w:t>
            </w:r>
          </w:p>
          <w:p w14:paraId="7553503E" w14:textId="6809FD5F" w:rsidR="00092825" w:rsidRDefault="00092825" w:rsidP="0007319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by analogy to formic acid studies a 13 </w:t>
            </w:r>
            <w:proofErr w:type="spellStart"/>
            <w:r>
              <w:t>wk</w:t>
            </w:r>
            <w:proofErr w:type="spellEnd"/>
            <w:r>
              <w:t xml:space="preserve"> NOAE</w:t>
            </w:r>
            <w:r w:rsidR="00DC48FD">
              <w:t>C</w:t>
            </w:r>
            <w:r>
              <w:t xml:space="preserve"> of 50 ppm estimated</w:t>
            </w:r>
            <w:r w:rsidR="006B3FB1">
              <w:t xml:space="preserve"> (no further information on extrapolation)</w:t>
            </w:r>
            <w:r w:rsidR="0087419D">
              <w:t>.</w:t>
            </w:r>
          </w:p>
          <w:p w14:paraId="183A4D3E" w14:textId="77777777" w:rsidR="004E6006" w:rsidRPr="00DA352E" w:rsidRDefault="004E6006" w:rsidP="0032746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021E56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E7867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56A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56ABB">
                  <w:t>NA</w:t>
                </w:r>
                <w:proofErr w:type="spellEnd"/>
              </w:sdtContent>
            </w:sdt>
          </w:p>
        </w:tc>
      </w:tr>
      <w:tr w:rsidR="00DA352E" w:rsidRPr="00DA352E" w14:paraId="2928576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EE1855" w14:textId="77777777" w:rsidR="00DA352E" w:rsidRPr="00DA352E" w:rsidRDefault="00C56ABB" w:rsidP="003365A5">
            <w:pPr>
              <w:pStyle w:val="Tabletextprimarysource"/>
            </w:pPr>
            <w:r>
              <w:t>No report</w:t>
            </w:r>
            <w:r w:rsidR="0087419D">
              <w:t>.</w:t>
            </w:r>
          </w:p>
        </w:tc>
      </w:tr>
      <w:tr w:rsidR="00DA352E" w:rsidRPr="00DA352E" w14:paraId="373AA6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AE428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56A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56ABB">
                  <w:t>NA</w:t>
                </w:r>
                <w:proofErr w:type="spellEnd"/>
              </w:sdtContent>
            </w:sdt>
          </w:p>
        </w:tc>
      </w:tr>
      <w:tr w:rsidR="00DA352E" w:rsidRPr="00DA352E" w14:paraId="5A4E5F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23D926" w14:textId="77777777" w:rsidR="00DA352E" w:rsidRPr="00DA352E" w:rsidRDefault="00C56ABB" w:rsidP="003365A5">
            <w:pPr>
              <w:pStyle w:val="Tabletextprimarysource"/>
            </w:pPr>
            <w:r>
              <w:t>No report</w:t>
            </w:r>
            <w:r w:rsidR="0087419D">
              <w:t>.</w:t>
            </w:r>
          </w:p>
        </w:tc>
      </w:tr>
    </w:tbl>
    <w:p w14:paraId="0BC48CC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E598669" w14:textId="77777777" w:rsidR="007E2A4B" w:rsidRDefault="00890515">
      <w:r>
        <w:t>NIL</w:t>
      </w:r>
      <w:r w:rsidR="004E6006">
        <w:t>.</w:t>
      </w:r>
    </w:p>
    <w:bookmarkEnd w:id="0"/>
    <w:p w14:paraId="1B86350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9FEC6F9" w14:textId="77777777" w:rsidTr="00890515">
        <w:trPr>
          <w:trHeight w:val="454"/>
          <w:tblHeader/>
        </w:trPr>
        <w:tc>
          <w:tcPr>
            <w:tcW w:w="6597" w:type="dxa"/>
            <w:vAlign w:val="center"/>
          </w:tcPr>
          <w:p w14:paraId="06AC061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0723F9B" w14:textId="77777777" w:rsidR="002E0D61" w:rsidRDefault="0089051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CE24CF6" w14:textId="77777777" w:rsidTr="00890515">
        <w:trPr>
          <w:trHeight w:val="454"/>
        </w:trPr>
        <w:tc>
          <w:tcPr>
            <w:tcW w:w="6597" w:type="dxa"/>
            <w:vAlign w:val="center"/>
          </w:tcPr>
          <w:p w14:paraId="0E23F1A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3F9B004" w14:textId="77777777" w:rsidR="008A36CF" w:rsidRDefault="0089051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E6006" w14:paraId="24E09E58" w14:textId="77777777" w:rsidTr="00363A00">
        <w:trPr>
          <w:trHeight w:val="454"/>
        </w:trPr>
        <w:sdt>
          <w:sdtPr>
            <w:rPr>
              <w:b/>
            </w:rPr>
            <w:id w:val="1830936485"/>
            <w:placeholder>
              <w:docPart w:val="94F712810B7A4BECA2BB3A707F5A7DA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0AF6C75" w14:textId="77777777" w:rsidR="004E6006" w:rsidRDefault="004E600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82767A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26AFC8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ABFD7F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CCD135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53A52B2" w14:textId="77777777" w:rsidTr="00812887">
        <w:trPr>
          <w:cantSplit/>
        </w:trPr>
        <w:tc>
          <w:tcPr>
            <w:tcW w:w="3227" w:type="dxa"/>
          </w:tcPr>
          <w:p w14:paraId="6D672C7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A21FED7" w14:textId="77777777" w:rsidR="00687890" w:rsidRPr="00DD2F9B" w:rsidRDefault="00B236A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29E1523" w14:textId="77777777" w:rsidTr="00812887">
        <w:trPr>
          <w:cantSplit/>
        </w:trPr>
        <w:tc>
          <w:tcPr>
            <w:tcW w:w="3227" w:type="dxa"/>
          </w:tcPr>
          <w:p w14:paraId="598379A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3DE4F8A" w14:textId="77777777" w:rsidR="007925F0" w:rsidRPr="00DD2F9B" w:rsidRDefault="00B236A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707B410" w14:textId="77777777" w:rsidTr="00812887">
        <w:trPr>
          <w:cantSplit/>
        </w:trPr>
        <w:tc>
          <w:tcPr>
            <w:tcW w:w="3227" w:type="dxa"/>
          </w:tcPr>
          <w:p w14:paraId="259D957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97ACC98" w14:textId="77777777" w:rsidR="00AF483F" w:rsidRPr="00DD2F9B" w:rsidRDefault="00C56AB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09F0C8F" w14:textId="77777777" w:rsidTr="00812887">
        <w:trPr>
          <w:cantSplit/>
        </w:trPr>
        <w:tc>
          <w:tcPr>
            <w:tcW w:w="3227" w:type="dxa"/>
          </w:tcPr>
          <w:p w14:paraId="2D93C9A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9AB6DC6" w14:textId="77777777" w:rsidR="00687890" w:rsidRPr="00DD2F9B" w:rsidRDefault="00C56AB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0419C2E" w14:textId="77777777" w:rsidTr="00812887">
        <w:trPr>
          <w:cantSplit/>
        </w:trPr>
        <w:tc>
          <w:tcPr>
            <w:tcW w:w="3227" w:type="dxa"/>
          </w:tcPr>
          <w:p w14:paraId="50B1BCA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D9FA31E" w14:textId="77777777" w:rsidR="00E41A26" w:rsidRPr="00DD2F9B" w:rsidRDefault="00C56AB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03C26A" w14:textId="77777777" w:rsidTr="00812887">
        <w:trPr>
          <w:cantSplit/>
        </w:trPr>
        <w:tc>
          <w:tcPr>
            <w:tcW w:w="3227" w:type="dxa"/>
          </w:tcPr>
          <w:p w14:paraId="701141D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1189B1E" w14:textId="77777777" w:rsidR="002E0D61" w:rsidRPr="00DD2F9B" w:rsidRDefault="00C56ABB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0C31B27B" w14:textId="77777777" w:rsidTr="00812887">
        <w:trPr>
          <w:cantSplit/>
        </w:trPr>
        <w:tc>
          <w:tcPr>
            <w:tcW w:w="3227" w:type="dxa"/>
          </w:tcPr>
          <w:p w14:paraId="1346214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4780A59" w14:textId="77777777" w:rsidR="002E0D61" w:rsidRPr="00DD2F9B" w:rsidRDefault="00B236A9" w:rsidP="00DD2F9B">
            <w:pPr>
              <w:pStyle w:val="Tablefont"/>
            </w:pPr>
            <w:r>
              <w:t>H</w:t>
            </w:r>
            <w:r w:rsidR="008F58EF">
              <w:t xml:space="preserve"> (skin)</w:t>
            </w:r>
          </w:p>
        </w:tc>
      </w:tr>
      <w:tr w:rsidR="002E0D61" w:rsidRPr="004C23F4" w14:paraId="568430B0" w14:textId="77777777" w:rsidTr="00812887">
        <w:trPr>
          <w:cantSplit/>
        </w:trPr>
        <w:tc>
          <w:tcPr>
            <w:tcW w:w="3227" w:type="dxa"/>
          </w:tcPr>
          <w:p w14:paraId="6998CA5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59815AC" w14:textId="77777777" w:rsidR="002E0D61" w:rsidRPr="00DD2F9B" w:rsidRDefault="00C56ABB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3906CD35" w14:textId="77777777" w:rsidTr="00812887">
        <w:trPr>
          <w:cantSplit/>
        </w:trPr>
        <w:tc>
          <w:tcPr>
            <w:tcW w:w="3227" w:type="dxa"/>
          </w:tcPr>
          <w:p w14:paraId="284CBB8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2C34A51" w14:textId="77777777" w:rsidR="002E0D61" w:rsidRPr="00DD2F9B" w:rsidRDefault="00C56AB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BF1370F" w14:textId="77777777" w:rsidTr="00812887">
        <w:trPr>
          <w:cantSplit/>
        </w:trPr>
        <w:tc>
          <w:tcPr>
            <w:tcW w:w="3227" w:type="dxa"/>
          </w:tcPr>
          <w:p w14:paraId="54FB448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6815D9D" w14:textId="77777777" w:rsidR="00386093" w:rsidRPr="00DD2F9B" w:rsidRDefault="00C56AB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2B6F068" w14:textId="77777777" w:rsidTr="00812887">
        <w:trPr>
          <w:cantSplit/>
        </w:trPr>
        <w:tc>
          <w:tcPr>
            <w:tcW w:w="3227" w:type="dxa"/>
          </w:tcPr>
          <w:p w14:paraId="1FDA314A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0A19AA9" w14:textId="77777777" w:rsidR="00386093" w:rsidRPr="00DD2F9B" w:rsidRDefault="008F58E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F31834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986D95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C38251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54BE90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A88C3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1"/>
              <w:gridCol w:w="900"/>
              <w:gridCol w:w="900"/>
              <w:gridCol w:w="3249"/>
            </w:tblGrid>
            <w:tr w:rsidR="00890515" w:rsidRPr="00890515" w14:paraId="7109FFD7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F29707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598B491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41464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4.00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F0183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0515" w:rsidRPr="00890515" w14:paraId="094B93A2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A8C19C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843BC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EB3068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ACC699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0515" w:rsidRPr="00890515" w14:paraId="40EE5B2F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B5C3C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BE2DFB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F6DB42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467475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0515" w:rsidRPr="00890515" w14:paraId="5B14989D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2CFA23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84D5F3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109ED2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A9CC6F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0515" w:rsidRPr="00890515" w14:paraId="1822FD12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2F9427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38331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CE5A4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627B59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0515" w:rsidRPr="00890515" w14:paraId="1214D726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535935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920C89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F7CC26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5F8241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0515" w:rsidRPr="00890515" w14:paraId="33A6EA49" w14:textId="77777777" w:rsidTr="0089051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8E96FC" w14:textId="77777777" w:rsidR="00890515" w:rsidRPr="00890515" w:rsidRDefault="00890515" w:rsidP="008905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4314A5" w14:textId="77777777" w:rsidR="00890515" w:rsidRPr="00890515" w:rsidRDefault="00890515" w:rsidP="008905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7BC248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05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D8EA73" w14:textId="77777777" w:rsidR="00890515" w:rsidRPr="00890515" w:rsidRDefault="00890515" w:rsidP="0089051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89051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</w:t>
                  </w:r>
                  <w:proofErr w:type="gramEnd"/>
                  <w:r w:rsidRPr="0089051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notation is warranted</w:t>
                  </w:r>
                </w:p>
              </w:tc>
            </w:tr>
          </w:tbl>
          <w:p w14:paraId="2576D3D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F1824A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2105FC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C424CB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686F276" w14:textId="77777777" w:rsidR="00EB3D1B" w:rsidRDefault="00C56AB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9361C2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D8667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E297A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EE0B4D6" w14:textId="77777777" w:rsidR="001B79E5" w:rsidRDefault="00B236A9" w:rsidP="001B79E5">
                <w:pPr>
                  <w:pStyle w:val="Tablefont"/>
                </w:pPr>
                <w:r>
                  <w:t>60.06</w:t>
                </w:r>
              </w:p>
            </w:tc>
          </w:sdtContent>
        </w:sdt>
      </w:tr>
      <w:tr w:rsidR="00A31D99" w:rsidRPr="004C23F4" w14:paraId="22DA3BE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39EFB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1AF72F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F2FD1D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3811E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130190" w14:textId="77777777" w:rsidR="00687890" w:rsidRPr="004C23F4" w:rsidRDefault="00B5791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37F8D68" w14:textId="77777777" w:rsidTr="00EA6243">
        <w:trPr>
          <w:cantSplit/>
        </w:trPr>
        <w:tc>
          <w:tcPr>
            <w:tcW w:w="4077" w:type="dxa"/>
            <w:vAlign w:val="center"/>
          </w:tcPr>
          <w:p w14:paraId="48913D5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6EAA9C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6075CE0" w14:textId="77777777" w:rsidTr="00EA6243">
        <w:trPr>
          <w:cantSplit/>
        </w:trPr>
        <w:tc>
          <w:tcPr>
            <w:tcW w:w="4077" w:type="dxa"/>
            <w:vAlign w:val="center"/>
          </w:tcPr>
          <w:p w14:paraId="7F60BA6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CDAEEC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B7153C" w14:textId="77777777" w:rsidTr="00EA6243">
        <w:trPr>
          <w:cantSplit/>
        </w:trPr>
        <w:tc>
          <w:tcPr>
            <w:tcW w:w="4077" w:type="dxa"/>
            <w:vAlign w:val="center"/>
          </w:tcPr>
          <w:p w14:paraId="5382DEA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EA3BDD9" w14:textId="77777777" w:rsidR="00E06F40" w:rsidRPr="00A006A0" w:rsidRDefault="0065286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CB66BB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F15CBA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506D2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17776D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960A08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232811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68F0FD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AFC001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09C351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3AE93AC" w14:textId="77777777" w:rsidR="008F58EF" w:rsidRDefault="008F58EF" w:rsidP="008F58E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(2013) </w:t>
      </w:r>
      <w:r w:rsidRPr="008F58EF">
        <w:t>Formic acid methyl ester</w:t>
      </w:r>
      <w:r>
        <w:t xml:space="preserve"> – MAK value documentation.</w:t>
      </w:r>
    </w:p>
    <w:p w14:paraId="5B63E3CF" w14:textId="77777777" w:rsidR="008F58EF" w:rsidRDefault="008F58EF" w:rsidP="008F58EF">
      <w:pPr>
        <w:rPr>
          <w:b/>
        </w:rPr>
      </w:pPr>
      <w:r w:rsidRPr="002022B6">
        <w:lastRenderedPageBreak/>
        <w:t>EU Scientific Committee on Occupational Exposure Limits (SCOEL)</w:t>
      </w:r>
      <w:r>
        <w:t xml:space="preserve"> (2004) Recommendation from the Scientific Committee on Occupational Exposure Limits for methyl </w:t>
      </w:r>
      <w:proofErr w:type="spellStart"/>
      <w:r>
        <w:t>formate</w:t>
      </w:r>
      <w:proofErr w:type="spellEnd"/>
      <w:r>
        <w:t>. SCOEL/SUM/59.</w:t>
      </w:r>
    </w:p>
    <w:p w14:paraId="222755A0" w14:textId="77777777" w:rsidR="008F58EF" w:rsidRPr="00351FE0" w:rsidRDefault="008F58EF" w:rsidP="00084859">
      <w:r w:rsidRPr="00D86E03">
        <w:t>US National Institute for Occupational Safety and Health (NIOSH)</w:t>
      </w:r>
      <w:r>
        <w:t xml:space="preserve"> (1994) Immediately dangerous to life or health concentrations – methyl </w:t>
      </w:r>
      <w:proofErr w:type="spellStart"/>
      <w:r>
        <w:t>formate</w:t>
      </w:r>
      <w:proofErr w:type="spellEnd"/>
      <w:r>
        <w:t>.</w:t>
      </w:r>
      <w:r w:rsidR="0087419D">
        <w:t xml:space="preserve"> </w:t>
      </w:r>
    </w:p>
    <w:sectPr w:rsidR="008F58E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A7C98" w14:textId="77777777" w:rsidR="00A348B6" w:rsidRDefault="00A348B6" w:rsidP="00F43AD5">
      <w:pPr>
        <w:spacing w:after="0" w:line="240" w:lineRule="auto"/>
      </w:pPr>
      <w:r>
        <w:separator/>
      </w:r>
    </w:p>
  </w:endnote>
  <w:endnote w:type="continuationSeparator" w:id="0">
    <w:p w14:paraId="3ABAB962" w14:textId="77777777" w:rsidR="00A348B6" w:rsidRDefault="00A348B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48BB125" w14:textId="77777777" w:rsidR="008A36CF" w:rsidRDefault="00A5342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Methyl </w:t>
        </w:r>
        <w:proofErr w:type="spellStart"/>
        <w:r>
          <w:rPr>
            <w:b/>
            <w:sz w:val="18"/>
            <w:szCs w:val="18"/>
          </w:rPr>
          <w:t>formate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107-31-3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E1782FF" w14:textId="17E79CF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432F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2CF5" w14:textId="77777777" w:rsidR="00A348B6" w:rsidRDefault="00A348B6" w:rsidP="00F43AD5">
      <w:pPr>
        <w:spacing w:after="0" w:line="240" w:lineRule="auto"/>
      </w:pPr>
      <w:r>
        <w:separator/>
      </w:r>
    </w:p>
  </w:footnote>
  <w:footnote w:type="continuationSeparator" w:id="0">
    <w:p w14:paraId="66EF600E" w14:textId="77777777" w:rsidR="00A348B6" w:rsidRDefault="00A348B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4D21" w14:textId="316622D7" w:rsidR="008432FE" w:rsidRDefault="008432FE" w:rsidP="008432FE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028802" wp14:editId="5256E167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E6B8C4" w14:textId="4E5CA10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873F1" w14:textId="0FA04B74" w:rsidR="008432FE" w:rsidRDefault="008432FE" w:rsidP="008432F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F02DE56" wp14:editId="3DDBA80D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37AE78" w14:textId="632312F9" w:rsidR="008A36CF" w:rsidRDefault="008A36CF" w:rsidP="008432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C6A02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7C13AF"/>
    <w:multiLevelType w:val="hybridMultilevel"/>
    <w:tmpl w:val="8DFC6B1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1811962">
    <w:abstractNumId w:val="0"/>
  </w:num>
  <w:num w:numId="2" w16cid:durableId="482047863">
    <w:abstractNumId w:val="1"/>
  </w:num>
  <w:num w:numId="3" w16cid:durableId="505243153">
    <w:abstractNumId w:val="0"/>
  </w:num>
  <w:num w:numId="4" w16cid:durableId="686758999">
    <w:abstractNumId w:val="0"/>
  </w:num>
  <w:num w:numId="5" w16cid:durableId="1269388028">
    <w:abstractNumId w:val="0"/>
  </w:num>
  <w:num w:numId="6" w16cid:durableId="652031122">
    <w:abstractNumId w:val="0"/>
  </w:num>
  <w:num w:numId="7" w16cid:durableId="176698650">
    <w:abstractNumId w:val="0"/>
  </w:num>
  <w:num w:numId="8" w16cid:durableId="20159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314"/>
    <w:rsid w:val="00052060"/>
    <w:rsid w:val="0005574A"/>
    <w:rsid w:val="00055FE1"/>
    <w:rsid w:val="00056EC2"/>
    <w:rsid w:val="00060B48"/>
    <w:rsid w:val="00067F32"/>
    <w:rsid w:val="00071807"/>
    <w:rsid w:val="00073195"/>
    <w:rsid w:val="000803E1"/>
    <w:rsid w:val="00084513"/>
    <w:rsid w:val="00084859"/>
    <w:rsid w:val="000901B9"/>
    <w:rsid w:val="00092825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3245"/>
    <w:rsid w:val="001269A7"/>
    <w:rsid w:val="00131092"/>
    <w:rsid w:val="00140E6A"/>
    <w:rsid w:val="00146545"/>
    <w:rsid w:val="00146B75"/>
    <w:rsid w:val="0015266D"/>
    <w:rsid w:val="0015288A"/>
    <w:rsid w:val="001561DE"/>
    <w:rsid w:val="00160F47"/>
    <w:rsid w:val="00177CA1"/>
    <w:rsid w:val="0018331C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13B9"/>
    <w:rsid w:val="002C34F2"/>
    <w:rsid w:val="002C58FF"/>
    <w:rsid w:val="002C7AFE"/>
    <w:rsid w:val="002D05D2"/>
    <w:rsid w:val="002E0D61"/>
    <w:rsid w:val="002E4C7B"/>
    <w:rsid w:val="00302CE2"/>
    <w:rsid w:val="00304CB7"/>
    <w:rsid w:val="0030740C"/>
    <w:rsid w:val="00315833"/>
    <w:rsid w:val="00320B63"/>
    <w:rsid w:val="003215EE"/>
    <w:rsid w:val="003224BF"/>
    <w:rsid w:val="003241A8"/>
    <w:rsid w:val="003253F0"/>
    <w:rsid w:val="00327467"/>
    <w:rsid w:val="0033139E"/>
    <w:rsid w:val="003337DA"/>
    <w:rsid w:val="00334EFB"/>
    <w:rsid w:val="00335CDE"/>
    <w:rsid w:val="003365A5"/>
    <w:rsid w:val="00347192"/>
    <w:rsid w:val="0034744C"/>
    <w:rsid w:val="00351FE0"/>
    <w:rsid w:val="00352615"/>
    <w:rsid w:val="003530B5"/>
    <w:rsid w:val="0035412B"/>
    <w:rsid w:val="003567A8"/>
    <w:rsid w:val="00362895"/>
    <w:rsid w:val="00370DBF"/>
    <w:rsid w:val="00386093"/>
    <w:rsid w:val="003904A4"/>
    <w:rsid w:val="00390BA3"/>
    <w:rsid w:val="00391841"/>
    <w:rsid w:val="00391B6D"/>
    <w:rsid w:val="00394922"/>
    <w:rsid w:val="003A0E32"/>
    <w:rsid w:val="003A2B94"/>
    <w:rsid w:val="003B387D"/>
    <w:rsid w:val="003C0D58"/>
    <w:rsid w:val="003D0D14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3C10"/>
    <w:rsid w:val="00417A56"/>
    <w:rsid w:val="00420957"/>
    <w:rsid w:val="00422A10"/>
    <w:rsid w:val="00430179"/>
    <w:rsid w:val="00440CB2"/>
    <w:rsid w:val="004414B5"/>
    <w:rsid w:val="00444482"/>
    <w:rsid w:val="00444B42"/>
    <w:rsid w:val="0044590C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996"/>
    <w:rsid w:val="004C1E3F"/>
    <w:rsid w:val="004C23F4"/>
    <w:rsid w:val="004C3475"/>
    <w:rsid w:val="004C58B6"/>
    <w:rsid w:val="004D16A3"/>
    <w:rsid w:val="004D4AA1"/>
    <w:rsid w:val="004D6D68"/>
    <w:rsid w:val="004E5EDD"/>
    <w:rsid w:val="004E6006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5FC1"/>
    <w:rsid w:val="00581055"/>
    <w:rsid w:val="00591E38"/>
    <w:rsid w:val="005A19C5"/>
    <w:rsid w:val="005A3034"/>
    <w:rsid w:val="005A462D"/>
    <w:rsid w:val="005B253B"/>
    <w:rsid w:val="005B7611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867"/>
    <w:rsid w:val="006532ED"/>
    <w:rsid w:val="006549F2"/>
    <w:rsid w:val="006567B7"/>
    <w:rsid w:val="00657BFB"/>
    <w:rsid w:val="0066333C"/>
    <w:rsid w:val="006639B4"/>
    <w:rsid w:val="006650FE"/>
    <w:rsid w:val="0067305D"/>
    <w:rsid w:val="0067640C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3FB1"/>
    <w:rsid w:val="006B4E6C"/>
    <w:rsid w:val="006B50B6"/>
    <w:rsid w:val="006C3CAB"/>
    <w:rsid w:val="006C7D29"/>
    <w:rsid w:val="006D79EA"/>
    <w:rsid w:val="006E5D05"/>
    <w:rsid w:val="00701053"/>
    <w:rsid w:val="00701507"/>
    <w:rsid w:val="00714021"/>
    <w:rsid w:val="00716A0F"/>
    <w:rsid w:val="00717D45"/>
    <w:rsid w:val="00720082"/>
    <w:rsid w:val="007208F7"/>
    <w:rsid w:val="007218AF"/>
    <w:rsid w:val="007226A2"/>
    <w:rsid w:val="007365D1"/>
    <w:rsid w:val="00740E0E"/>
    <w:rsid w:val="00750212"/>
    <w:rsid w:val="00754779"/>
    <w:rsid w:val="0075716D"/>
    <w:rsid w:val="00765F14"/>
    <w:rsid w:val="00770E31"/>
    <w:rsid w:val="00773996"/>
    <w:rsid w:val="007770F1"/>
    <w:rsid w:val="00780AC7"/>
    <w:rsid w:val="00783FB1"/>
    <w:rsid w:val="00785CDD"/>
    <w:rsid w:val="00791847"/>
    <w:rsid w:val="007925F0"/>
    <w:rsid w:val="007939B3"/>
    <w:rsid w:val="0079509C"/>
    <w:rsid w:val="007961AF"/>
    <w:rsid w:val="00796708"/>
    <w:rsid w:val="007B1B42"/>
    <w:rsid w:val="007C30EB"/>
    <w:rsid w:val="007C7331"/>
    <w:rsid w:val="007E063C"/>
    <w:rsid w:val="007E2A4B"/>
    <w:rsid w:val="007E307D"/>
    <w:rsid w:val="007E6A4E"/>
    <w:rsid w:val="007E6C94"/>
    <w:rsid w:val="007F1005"/>
    <w:rsid w:val="007F25E0"/>
    <w:rsid w:val="007F5328"/>
    <w:rsid w:val="00800A74"/>
    <w:rsid w:val="00804F5A"/>
    <w:rsid w:val="00810C6D"/>
    <w:rsid w:val="00812887"/>
    <w:rsid w:val="00820C54"/>
    <w:rsid w:val="00826F21"/>
    <w:rsid w:val="00834CC8"/>
    <w:rsid w:val="00835E00"/>
    <w:rsid w:val="00837113"/>
    <w:rsid w:val="008414E4"/>
    <w:rsid w:val="00842532"/>
    <w:rsid w:val="008432FE"/>
    <w:rsid w:val="00843E21"/>
    <w:rsid w:val="0084508E"/>
    <w:rsid w:val="00857A8A"/>
    <w:rsid w:val="008630EE"/>
    <w:rsid w:val="00864D13"/>
    <w:rsid w:val="00871CD5"/>
    <w:rsid w:val="0087419D"/>
    <w:rsid w:val="008745A2"/>
    <w:rsid w:val="008768A8"/>
    <w:rsid w:val="00877235"/>
    <w:rsid w:val="00881FF8"/>
    <w:rsid w:val="0088798F"/>
    <w:rsid w:val="00887E4B"/>
    <w:rsid w:val="00890515"/>
    <w:rsid w:val="008915C8"/>
    <w:rsid w:val="008A36CF"/>
    <w:rsid w:val="008A3BC4"/>
    <w:rsid w:val="008B403C"/>
    <w:rsid w:val="008B7983"/>
    <w:rsid w:val="008C2511"/>
    <w:rsid w:val="008D026D"/>
    <w:rsid w:val="008D071C"/>
    <w:rsid w:val="008D23AB"/>
    <w:rsid w:val="008D4B8B"/>
    <w:rsid w:val="008D5A78"/>
    <w:rsid w:val="008E7B64"/>
    <w:rsid w:val="008E7FC8"/>
    <w:rsid w:val="008F58EF"/>
    <w:rsid w:val="008F5DCD"/>
    <w:rsid w:val="00900951"/>
    <w:rsid w:val="009118A6"/>
    <w:rsid w:val="00916909"/>
    <w:rsid w:val="00916EC0"/>
    <w:rsid w:val="00920467"/>
    <w:rsid w:val="00921DE7"/>
    <w:rsid w:val="00921DFB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1D0"/>
    <w:rsid w:val="0095260E"/>
    <w:rsid w:val="009578DD"/>
    <w:rsid w:val="00961124"/>
    <w:rsid w:val="00962148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DFB"/>
    <w:rsid w:val="009C5874"/>
    <w:rsid w:val="009C687C"/>
    <w:rsid w:val="009D262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48B6"/>
    <w:rsid w:val="00A357BA"/>
    <w:rsid w:val="00A35ADC"/>
    <w:rsid w:val="00A402A3"/>
    <w:rsid w:val="00A408F0"/>
    <w:rsid w:val="00A41EC8"/>
    <w:rsid w:val="00A53427"/>
    <w:rsid w:val="00A53681"/>
    <w:rsid w:val="00A55BBE"/>
    <w:rsid w:val="00A5656B"/>
    <w:rsid w:val="00A633D4"/>
    <w:rsid w:val="00A6461A"/>
    <w:rsid w:val="00A77D8C"/>
    <w:rsid w:val="00A84504"/>
    <w:rsid w:val="00A8672F"/>
    <w:rsid w:val="00A87621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1C35"/>
    <w:rsid w:val="00B1422A"/>
    <w:rsid w:val="00B1765C"/>
    <w:rsid w:val="00B213C4"/>
    <w:rsid w:val="00B236A9"/>
    <w:rsid w:val="00B40C60"/>
    <w:rsid w:val="00B479A9"/>
    <w:rsid w:val="00B500A8"/>
    <w:rsid w:val="00B50685"/>
    <w:rsid w:val="00B5218E"/>
    <w:rsid w:val="00B52EDF"/>
    <w:rsid w:val="00B5791A"/>
    <w:rsid w:val="00B71188"/>
    <w:rsid w:val="00B76A41"/>
    <w:rsid w:val="00B87D4C"/>
    <w:rsid w:val="00B93646"/>
    <w:rsid w:val="00B9671E"/>
    <w:rsid w:val="00BA0B38"/>
    <w:rsid w:val="00BA1DBB"/>
    <w:rsid w:val="00BA4510"/>
    <w:rsid w:val="00BA529A"/>
    <w:rsid w:val="00BB31A9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4660"/>
    <w:rsid w:val="00C5020E"/>
    <w:rsid w:val="00C56ABB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CBB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4BA9"/>
    <w:rsid w:val="00D97989"/>
    <w:rsid w:val="00D97D8D"/>
    <w:rsid w:val="00DA352E"/>
    <w:rsid w:val="00DC48F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3F3F"/>
    <w:rsid w:val="00E949AF"/>
    <w:rsid w:val="00E96077"/>
    <w:rsid w:val="00EA0A06"/>
    <w:rsid w:val="00EA297A"/>
    <w:rsid w:val="00EA6243"/>
    <w:rsid w:val="00EA74AB"/>
    <w:rsid w:val="00EB3D1B"/>
    <w:rsid w:val="00ED1D89"/>
    <w:rsid w:val="00ED66BC"/>
    <w:rsid w:val="00ED741D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156"/>
    <w:rsid w:val="00F56DD0"/>
    <w:rsid w:val="00F605C6"/>
    <w:rsid w:val="00F6491C"/>
    <w:rsid w:val="00F67BBB"/>
    <w:rsid w:val="00F711EA"/>
    <w:rsid w:val="00F715C1"/>
    <w:rsid w:val="00F87D92"/>
    <w:rsid w:val="00F90AA7"/>
    <w:rsid w:val="00F92498"/>
    <w:rsid w:val="00F9496B"/>
    <w:rsid w:val="00F96FAA"/>
    <w:rsid w:val="00F970C9"/>
    <w:rsid w:val="00FA06A8"/>
    <w:rsid w:val="00FA3DF5"/>
    <w:rsid w:val="00FA741F"/>
    <w:rsid w:val="00FB4E07"/>
    <w:rsid w:val="00FB755A"/>
    <w:rsid w:val="00FC2172"/>
    <w:rsid w:val="00FC60A2"/>
    <w:rsid w:val="00FD1871"/>
    <w:rsid w:val="00FD3110"/>
    <w:rsid w:val="00FF446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7BB982E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F58E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500A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2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14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14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00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EADE8007235491DB87CFDCB8CDCD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82686-559A-4496-AA4A-F301365708B3}"/>
      </w:docPartPr>
      <w:docPartBody>
        <w:p w:rsidR="007A3B66" w:rsidRDefault="001A751E" w:rsidP="001A751E">
          <w:pPr>
            <w:pStyle w:val="DEADE8007235491DB87CFDCB8CDCD4BD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4F712810B7A4BECA2BB3A707F5A7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CF280-5F29-4167-AB82-BF2C50D37E67}"/>
      </w:docPartPr>
      <w:docPartBody>
        <w:p w:rsidR="00C147BB" w:rsidRDefault="00271BDF" w:rsidP="00271BDF">
          <w:pPr>
            <w:pStyle w:val="94F712810B7A4BECA2BB3A707F5A7DA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751E"/>
    <w:rsid w:val="00271BDF"/>
    <w:rsid w:val="00302CE2"/>
    <w:rsid w:val="00304CB7"/>
    <w:rsid w:val="0038787F"/>
    <w:rsid w:val="004B0AC5"/>
    <w:rsid w:val="007A3B66"/>
    <w:rsid w:val="007D1315"/>
    <w:rsid w:val="00B61D19"/>
    <w:rsid w:val="00C147BB"/>
    <w:rsid w:val="00D21A9F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1BD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EADE8007235491DB87CFDCB8CDCD4BD">
    <w:name w:val="DEADE8007235491DB87CFDCB8CDCD4BD"/>
    <w:rsid w:val="001A751E"/>
  </w:style>
  <w:style w:type="paragraph" w:customStyle="1" w:styleId="94F712810B7A4BECA2BB3A707F5A7DAF">
    <w:name w:val="94F712810B7A4BECA2BB3A707F5A7DAF"/>
    <w:rsid w:val="00271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a0509f21-ed56-4150-9955-96be669e5f2d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2834F0-C4D8-4953-AB01-B32250E9C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BEFCA8-F184-4F3C-BC49-0517568FD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6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53</cp:revision>
  <cp:lastPrinted>2018-10-22T22:41:00Z</cp:lastPrinted>
  <dcterms:created xsi:type="dcterms:W3CDTF">2019-04-14T23:55:00Z</dcterms:created>
  <dcterms:modified xsi:type="dcterms:W3CDTF">2026-01-09T01:38:00Z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2025-12-23T04:48:00Z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f0409a75-29c0-401d-b8d3-78a9b66e3d5b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