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1DDBCF6F" w14:textId="77777777" w:rsidR="00BD499F" w:rsidRPr="004C23F4" w:rsidRDefault="001C40AB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Methyl Chloride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3"/>
        <w:gridCol w:w="5043"/>
      </w:tblGrid>
      <w:tr w:rsidR="00F43AD5" w:rsidRPr="004C23F4" w14:paraId="06048DAD" w14:textId="77777777" w:rsidTr="00B76A41">
        <w:trPr>
          <w:cantSplit/>
          <w:tblHeader/>
        </w:trPr>
        <w:tc>
          <w:tcPr>
            <w:tcW w:w="4077" w:type="dxa"/>
          </w:tcPr>
          <w:p w14:paraId="14B186DB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798F3581" w14:textId="790DE1D1" w:rsidR="00F43AD5" w:rsidRPr="00717D45" w:rsidRDefault="002704CF" w:rsidP="005642AE">
            <w:pPr>
              <w:pStyle w:val="Tablefont"/>
            </w:pPr>
            <w:r>
              <w:t>74-87-3</w:t>
            </w:r>
          </w:p>
        </w:tc>
      </w:tr>
      <w:tr w:rsidR="00F43AD5" w:rsidRPr="004C23F4" w14:paraId="0267C544" w14:textId="77777777" w:rsidTr="00B76A41">
        <w:trPr>
          <w:cantSplit/>
        </w:trPr>
        <w:tc>
          <w:tcPr>
            <w:tcW w:w="4077" w:type="dxa"/>
          </w:tcPr>
          <w:p w14:paraId="77BBEA67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7F1C7956" w14:textId="77777777" w:rsidR="00F43AD5" w:rsidRPr="00717D45" w:rsidRDefault="00D807B5" w:rsidP="00B76A41">
            <w:pPr>
              <w:pStyle w:val="Tablefont"/>
            </w:pPr>
            <w:r>
              <w:t>Chloromethane</w:t>
            </w:r>
          </w:p>
        </w:tc>
      </w:tr>
      <w:tr w:rsidR="00F43AD5" w:rsidRPr="004C23F4" w14:paraId="6339D2CF" w14:textId="77777777" w:rsidTr="00B76A41">
        <w:trPr>
          <w:cantSplit/>
        </w:trPr>
        <w:tc>
          <w:tcPr>
            <w:tcW w:w="4077" w:type="dxa"/>
          </w:tcPr>
          <w:p w14:paraId="62078044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54D0A43E" w14:textId="77777777" w:rsidR="00F43AD5" w:rsidRPr="002704CF" w:rsidRDefault="00D807B5" w:rsidP="00B76A41">
            <w:pPr>
              <w:pStyle w:val="Tablefont"/>
            </w:pPr>
            <w:r>
              <w:t>CH</w:t>
            </w:r>
            <w:r>
              <w:rPr>
                <w:vertAlign w:val="subscript"/>
              </w:rPr>
              <w:t>3</w:t>
            </w:r>
            <w:r w:rsidR="002704CF">
              <w:t>Cl</w:t>
            </w:r>
          </w:p>
        </w:tc>
      </w:tr>
      <w:tr w:rsidR="00F43AD5" w:rsidRPr="004C23F4" w14:paraId="3B3814FE" w14:textId="77777777" w:rsidTr="00B76A41">
        <w:trPr>
          <w:cantSplit/>
        </w:trPr>
        <w:tc>
          <w:tcPr>
            <w:tcW w:w="4077" w:type="dxa"/>
          </w:tcPr>
          <w:p w14:paraId="3C594BCE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48BDFA4C" w14:textId="77777777" w:rsidR="00F43AD5" w:rsidRPr="00B40C60" w:rsidRDefault="00F43AD5" w:rsidP="00B76A41">
            <w:pPr>
              <w:pStyle w:val="Tablerowheading"/>
              <w:rPr>
                <w:b w:val="0"/>
              </w:rPr>
            </w:pPr>
          </w:p>
        </w:tc>
      </w:tr>
    </w:tbl>
    <w:p w14:paraId="718A36E0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D64002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61B151C2" w14:textId="77777777" w:rsidTr="001D5BF8">
        <w:trPr>
          <w:cantSplit/>
          <w:tblHeader/>
        </w:trPr>
        <w:tc>
          <w:tcPr>
            <w:tcW w:w="4005" w:type="dxa"/>
            <w:vAlign w:val="center"/>
          </w:tcPr>
          <w:p w14:paraId="5E683113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5E2F8FED" w14:textId="77777777" w:rsidR="002C7AFE" w:rsidRPr="00D64002" w:rsidRDefault="00D6400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20 ppm (42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1D5BF8" w:rsidRPr="004C23F4" w14:paraId="5FF6C284" w14:textId="77777777" w:rsidTr="001D5BF8">
        <w:trPr>
          <w:cantSplit/>
        </w:trPr>
        <w:tc>
          <w:tcPr>
            <w:tcW w:w="4005" w:type="dxa"/>
            <w:vAlign w:val="center"/>
          </w:tcPr>
          <w:p w14:paraId="6A9A776F" w14:textId="77777777" w:rsidR="001D5BF8" w:rsidRPr="002C58FF" w:rsidRDefault="001D5BF8" w:rsidP="001D5BF8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21" w:type="dxa"/>
          </w:tcPr>
          <w:p w14:paraId="42E4D61C" w14:textId="779C7F08" w:rsidR="001D5BF8" w:rsidRPr="00D64002" w:rsidRDefault="001D5BF8" w:rsidP="001D5BF8">
            <w:pPr>
              <w:pStyle w:val="Tablefont"/>
              <w:rPr>
                <w:b/>
              </w:rPr>
            </w:pPr>
            <w:r>
              <w:rPr>
                <w:b/>
              </w:rPr>
              <w:t>80 ppm (167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1D5BF8" w:rsidRPr="004C23F4" w14:paraId="5E7B3161" w14:textId="77777777" w:rsidTr="001D5BF8">
        <w:trPr>
          <w:cantSplit/>
        </w:trPr>
        <w:tc>
          <w:tcPr>
            <w:tcW w:w="4005" w:type="dxa"/>
            <w:vAlign w:val="center"/>
          </w:tcPr>
          <w:p w14:paraId="189133B2" w14:textId="77777777" w:rsidR="001D5BF8" w:rsidRPr="002C58FF" w:rsidRDefault="001D5BF8" w:rsidP="001D5BF8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1579032A" w14:textId="44C67121" w:rsidR="001D5BF8" w:rsidRPr="004E789E" w:rsidRDefault="00433161" w:rsidP="001D5BF8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1D5BF8" w:rsidRPr="004C23F4" w14:paraId="52832318" w14:textId="77777777" w:rsidTr="001D5BF8">
        <w:trPr>
          <w:cantSplit/>
        </w:trPr>
        <w:tc>
          <w:tcPr>
            <w:tcW w:w="4005" w:type="dxa"/>
          </w:tcPr>
          <w:p w14:paraId="37224F40" w14:textId="77777777" w:rsidR="001D5BF8" w:rsidRPr="002C58FF" w:rsidRDefault="001D5BF8" w:rsidP="001D5BF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21" w:type="dxa"/>
          </w:tcPr>
          <w:p w14:paraId="3A470B23" w14:textId="70E3C9DD" w:rsidR="001D5BF8" w:rsidRPr="00EB3D1B" w:rsidRDefault="001D5BF8" w:rsidP="001D5BF8">
            <w:pPr>
              <w:pStyle w:val="Tablefont"/>
              <w:rPr>
                <w:b/>
              </w:rPr>
            </w:pPr>
            <w:r>
              <w:rPr>
                <w:b/>
              </w:rPr>
              <w:t>Carc. 2, Sk.</w:t>
            </w:r>
            <w:r w:rsidR="00311B15">
              <w:rPr>
                <w:b/>
              </w:rPr>
              <w:t>, DSEN</w:t>
            </w:r>
          </w:p>
        </w:tc>
      </w:tr>
      <w:tr w:rsidR="001D5BF8" w:rsidRPr="004C23F4" w14:paraId="41563A74" w14:textId="77777777" w:rsidTr="001D5BF8">
        <w:trPr>
          <w:cantSplit/>
        </w:trPr>
        <w:tc>
          <w:tcPr>
            <w:tcW w:w="4005" w:type="dxa"/>
            <w:vAlign w:val="center"/>
          </w:tcPr>
          <w:p w14:paraId="0BE62058" w14:textId="77777777" w:rsidR="001D5BF8" w:rsidRDefault="001D5BF8" w:rsidP="001D5BF8">
            <w:pPr>
              <w:pStyle w:val="Tablerowright"/>
            </w:pPr>
            <w:r>
              <w:t>IDLH:</w:t>
            </w:r>
          </w:p>
          <w:p w14:paraId="16739488" w14:textId="77777777" w:rsidR="001D5BF8" w:rsidRPr="002C58FF" w:rsidRDefault="001D5BF8" w:rsidP="001D5BF8">
            <w:pPr>
              <w:pStyle w:val="Tablerowright"/>
              <w:jc w:val="left"/>
            </w:pPr>
            <w:r>
              <w:t>Sampling and analysis:</w:t>
            </w:r>
          </w:p>
        </w:tc>
        <w:tc>
          <w:tcPr>
            <w:tcW w:w="5021" w:type="dxa"/>
          </w:tcPr>
          <w:p w14:paraId="6B15E099" w14:textId="67DAD25C" w:rsidR="001D5BF8" w:rsidRPr="00EB3D1B" w:rsidRDefault="001D5BF8" w:rsidP="001D5BF8">
            <w:pPr>
              <w:pStyle w:val="Tablefont"/>
              <w:rPr>
                <w:b/>
              </w:rPr>
            </w:pPr>
            <w:r>
              <w:rPr>
                <w:b/>
              </w:rPr>
              <w:t>2,000 ppm</w:t>
            </w:r>
          </w:p>
        </w:tc>
      </w:tr>
    </w:tbl>
    <w:p w14:paraId="240D4B22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2D082CC5" w14:textId="6ADEE15B" w:rsidR="006639B4" w:rsidRDefault="007C22BE" w:rsidP="000C139A">
      <w:pPr>
        <w:rPr>
          <w:rFonts w:cs="Arial"/>
        </w:rPr>
      </w:pPr>
      <w:r>
        <w:rPr>
          <w:rFonts w:cs="Arial"/>
        </w:rPr>
        <w:t>A TWA of 20 ppm (42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) is recommended to protect </w:t>
      </w:r>
      <w:r w:rsidR="00E44F4A">
        <w:rPr>
          <w:rFonts w:cs="Arial"/>
        </w:rPr>
        <w:t>for</w:t>
      </w:r>
      <w:r>
        <w:rPr>
          <w:rFonts w:cs="Arial"/>
        </w:rPr>
        <w:t xml:space="preserve"> neurotoxic effects in </w:t>
      </w:r>
      <w:r w:rsidR="00635845">
        <w:rPr>
          <w:rFonts w:cs="Arial"/>
        </w:rPr>
        <w:t xml:space="preserve">exposed </w:t>
      </w:r>
      <w:r>
        <w:rPr>
          <w:rFonts w:cs="Arial"/>
        </w:rPr>
        <w:t>workers</w:t>
      </w:r>
      <w:r w:rsidR="00635845">
        <w:rPr>
          <w:rFonts w:cs="Arial"/>
        </w:rPr>
        <w:t xml:space="preserve">. It </w:t>
      </w:r>
      <w:r>
        <w:rPr>
          <w:rFonts w:cs="Arial"/>
        </w:rPr>
        <w:t xml:space="preserve">is considered to be protective of </w:t>
      </w:r>
      <w:r w:rsidR="002704CF">
        <w:rPr>
          <w:rFonts w:cs="Arial"/>
        </w:rPr>
        <w:t xml:space="preserve">ocular and </w:t>
      </w:r>
      <w:r w:rsidR="00D807B5">
        <w:rPr>
          <w:rFonts w:cs="Arial"/>
        </w:rPr>
        <w:t xml:space="preserve">central nervous </w:t>
      </w:r>
      <w:r w:rsidR="002704CF">
        <w:rPr>
          <w:rFonts w:cs="Arial"/>
        </w:rPr>
        <w:t xml:space="preserve">system </w:t>
      </w:r>
      <w:r w:rsidR="00387D95">
        <w:rPr>
          <w:rFonts w:cs="Arial"/>
        </w:rPr>
        <w:t xml:space="preserve">(CNS) </w:t>
      </w:r>
      <w:r w:rsidR="00D807B5">
        <w:rPr>
          <w:rFonts w:cs="Arial"/>
        </w:rPr>
        <w:t>effects</w:t>
      </w:r>
      <w:r>
        <w:rPr>
          <w:rFonts w:cs="Arial"/>
        </w:rPr>
        <w:t xml:space="preserve"> and changes to the performance</w:t>
      </w:r>
      <w:r w:rsidR="00D807B5">
        <w:rPr>
          <w:rFonts w:cs="Arial"/>
        </w:rPr>
        <w:t xml:space="preserve"> of</w:t>
      </w:r>
      <w:r>
        <w:rPr>
          <w:rFonts w:cs="Arial"/>
        </w:rPr>
        <w:t xml:space="preserve"> complex tasks.</w:t>
      </w:r>
    </w:p>
    <w:p w14:paraId="4C2F92FA" w14:textId="6F5AF683" w:rsidR="004E789E" w:rsidRPr="004E789E" w:rsidRDefault="004E789E" w:rsidP="000C139A">
      <w:pPr>
        <w:rPr>
          <w:rFonts w:cs="Arial"/>
        </w:rPr>
      </w:pPr>
      <w:r>
        <w:rPr>
          <w:rFonts w:cs="Arial"/>
        </w:rPr>
        <w:t xml:space="preserve">A </w:t>
      </w:r>
      <w:r w:rsidR="001D5BF8">
        <w:rPr>
          <w:rFonts w:cs="Arial"/>
        </w:rPr>
        <w:t>STEL</w:t>
      </w:r>
      <w:r>
        <w:rPr>
          <w:rFonts w:cs="Arial"/>
        </w:rPr>
        <w:t xml:space="preserve"> of </w:t>
      </w:r>
      <w:r w:rsidR="001D5BF8">
        <w:rPr>
          <w:rFonts w:cs="Arial"/>
        </w:rPr>
        <w:t>80</w:t>
      </w:r>
      <w:r>
        <w:rPr>
          <w:rFonts w:cs="Arial"/>
        </w:rPr>
        <w:t xml:space="preserve"> ppm (</w:t>
      </w:r>
      <w:r w:rsidR="001D5BF8">
        <w:rPr>
          <w:rFonts w:cs="Arial"/>
        </w:rPr>
        <w:t>167</w:t>
      </w:r>
      <w:r>
        <w:rPr>
          <w:rFonts w:cs="Arial"/>
        </w:rPr>
        <w:t xml:space="preserve">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) is recommended to protect </w:t>
      </w:r>
      <w:r w:rsidR="00D5615F">
        <w:rPr>
          <w:rFonts w:cs="Arial"/>
        </w:rPr>
        <w:t>for</w:t>
      </w:r>
      <w:r>
        <w:rPr>
          <w:rFonts w:cs="Arial"/>
        </w:rPr>
        <w:t xml:space="preserve"> symptoms of moderate exposure</w:t>
      </w:r>
      <w:r w:rsidR="00FA7462">
        <w:rPr>
          <w:rFonts w:cs="Arial"/>
        </w:rPr>
        <w:t>, such as diplopia (double vision) and difficulty focusing.</w:t>
      </w:r>
    </w:p>
    <w:p w14:paraId="2DAA5E1B" w14:textId="4395BBF1" w:rsidR="00C7155E" w:rsidRDefault="00F10C97" w:rsidP="003365A5">
      <w:pPr>
        <w:pStyle w:val="Heading2"/>
      </w:pPr>
      <w:r>
        <w:t>Discussion and conclusions</w:t>
      </w:r>
    </w:p>
    <w:p w14:paraId="6257E51D" w14:textId="2BB7AE63" w:rsidR="00E736E5" w:rsidRPr="00E736E5" w:rsidRDefault="00E736E5" w:rsidP="00E736E5">
      <w:pPr>
        <w:rPr>
          <w:lang w:eastAsia="en-AU"/>
        </w:rPr>
      </w:pPr>
      <w:r>
        <w:rPr>
          <w:lang w:eastAsia="en-AU"/>
        </w:rPr>
        <w:t xml:space="preserve">Methyl chloride is used as a methylating agent in the production of </w:t>
      </w:r>
      <w:r w:rsidR="00A54FEE">
        <w:rPr>
          <w:lang w:eastAsia="en-AU"/>
        </w:rPr>
        <w:t>a range of chemical products including silicones, plastics, pesticides and pharmaceuticals.</w:t>
      </w:r>
    </w:p>
    <w:p w14:paraId="7BE8F1CB" w14:textId="1806F352" w:rsidR="003446D6" w:rsidRDefault="00FF1585" w:rsidP="006639B4">
      <w:pPr>
        <w:rPr>
          <w:rFonts w:cs="Arial"/>
        </w:rPr>
      </w:pPr>
      <w:r>
        <w:rPr>
          <w:rFonts w:cs="Arial"/>
        </w:rPr>
        <w:t>Methyl chloride is a gas under standard conditions and its</w:t>
      </w:r>
      <w:r w:rsidR="00D807B5">
        <w:rPr>
          <w:rFonts w:cs="Arial"/>
        </w:rPr>
        <w:t xml:space="preserve"> critical effects are </w:t>
      </w:r>
      <w:r w:rsidR="002704CF">
        <w:rPr>
          <w:rFonts w:cs="Arial"/>
        </w:rPr>
        <w:t xml:space="preserve">on the </w:t>
      </w:r>
      <w:r w:rsidR="00387D95">
        <w:rPr>
          <w:rFonts w:cs="Arial"/>
        </w:rPr>
        <w:t>CNS</w:t>
      </w:r>
      <w:r w:rsidR="00D807B5">
        <w:rPr>
          <w:rFonts w:cs="Arial"/>
        </w:rPr>
        <w:t xml:space="preserve">. </w:t>
      </w:r>
      <w:r w:rsidR="007C22BE">
        <w:rPr>
          <w:rFonts w:cs="Arial"/>
        </w:rPr>
        <w:t xml:space="preserve">Animal studies have </w:t>
      </w:r>
      <w:r w:rsidR="003446D6">
        <w:rPr>
          <w:rFonts w:cs="Arial"/>
        </w:rPr>
        <w:t>shown</w:t>
      </w:r>
      <w:r w:rsidR="007C22BE">
        <w:rPr>
          <w:rFonts w:cs="Arial"/>
        </w:rPr>
        <w:t xml:space="preserve"> </w:t>
      </w:r>
      <w:r w:rsidR="00A01C3C">
        <w:rPr>
          <w:rFonts w:cs="Arial"/>
        </w:rPr>
        <w:t>that methyl</w:t>
      </w:r>
      <w:r w:rsidR="003446D6">
        <w:rPr>
          <w:rFonts w:cs="Arial"/>
        </w:rPr>
        <w:t xml:space="preserve"> chloride is non-genotoxic due to its rapid metabolism. Extreme exposures </w:t>
      </w:r>
      <w:r w:rsidR="00D807B5">
        <w:rPr>
          <w:rFonts w:cs="Arial"/>
        </w:rPr>
        <w:t xml:space="preserve">(greater than those required to elicit neurotoxic effects) </w:t>
      </w:r>
      <w:r w:rsidR="003446D6">
        <w:rPr>
          <w:rFonts w:cs="Arial"/>
        </w:rPr>
        <w:t>in animals lead to the development of renal tumours</w:t>
      </w:r>
      <w:r w:rsidR="002E23BF">
        <w:rPr>
          <w:rFonts w:cs="Arial"/>
        </w:rPr>
        <w:t>. H</w:t>
      </w:r>
      <w:r w:rsidR="003446D6">
        <w:rPr>
          <w:rFonts w:cs="Arial"/>
        </w:rPr>
        <w:t>owever</w:t>
      </w:r>
      <w:r w:rsidR="0049215F">
        <w:rPr>
          <w:rFonts w:cs="Arial"/>
        </w:rPr>
        <w:t>,</w:t>
      </w:r>
      <w:r w:rsidR="003446D6">
        <w:rPr>
          <w:rFonts w:cs="Arial"/>
        </w:rPr>
        <w:t xml:space="preserve"> the experimental conditions of these studies do not allow extrapolation to exposure in humans</w:t>
      </w:r>
      <w:r w:rsidR="00F430DD">
        <w:rPr>
          <w:rFonts w:cs="Arial"/>
        </w:rPr>
        <w:t xml:space="preserve"> (SCOEL, 2016)</w:t>
      </w:r>
      <w:r w:rsidR="003446D6">
        <w:rPr>
          <w:rFonts w:cs="Arial"/>
        </w:rPr>
        <w:t>.</w:t>
      </w:r>
    </w:p>
    <w:p w14:paraId="3290FD98" w14:textId="78B9D08C" w:rsidR="006639B4" w:rsidRPr="004C23F4" w:rsidRDefault="003446D6" w:rsidP="006639B4">
      <w:pPr>
        <w:rPr>
          <w:rFonts w:cs="Arial"/>
        </w:rPr>
      </w:pPr>
      <w:r>
        <w:rPr>
          <w:rFonts w:cs="Arial"/>
        </w:rPr>
        <w:t xml:space="preserve">The TWA </w:t>
      </w:r>
      <w:r w:rsidR="00635845">
        <w:rPr>
          <w:rFonts w:cs="Arial"/>
        </w:rPr>
        <w:t>is</w:t>
      </w:r>
      <w:r>
        <w:rPr>
          <w:rFonts w:cs="Arial"/>
        </w:rPr>
        <w:t xml:space="preserve"> derived from a </w:t>
      </w:r>
      <w:r w:rsidR="00F430DD">
        <w:rPr>
          <w:rFonts w:cs="Arial"/>
        </w:rPr>
        <w:t>NOAEL</w:t>
      </w:r>
      <w:r w:rsidR="002700EC">
        <w:rPr>
          <w:rFonts w:cs="Arial"/>
        </w:rPr>
        <w:t xml:space="preserve"> of 150 ppm</w:t>
      </w:r>
      <w:r>
        <w:rPr>
          <w:rFonts w:cs="Arial"/>
        </w:rPr>
        <w:t xml:space="preserve"> presented in an animal study</w:t>
      </w:r>
      <w:r w:rsidR="002700EC">
        <w:rPr>
          <w:rFonts w:cs="Arial"/>
        </w:rPr>
        <w:t xml:space="preserve"> (</w:t>
      </w:r>
      <w:r w:rsidR="00F430DD">
        <w:rPr>
          <w:rFonts w:cs="Arial"/>
        </w:rPr>
        <w:t>ACGIH, 2001</w:t>
      </w:r>
      <w:r w:rsidR="0047633B">
        <w:rPr>
          <w:rFonts w:cs="Arial"/>
        </w:rPr>
        <w:t>; SCOEL, 2016</w:t>
      </w:r>
      <w:r w:rsidR="002700EC">
        <w:rPr>
          <w:rFonts w:cs="Arial"/>
        </w:rPr>
        <w:t>)</w:t>
      </w:r>
      <w:r w:rsidR="00635845">
        <w:rPr>
          <w:rFonts w:cs="Arial"/>
        </w:rPr>
        <w:t xml:space="preserve"> with u</w:t>
      </w:r>
      <w:r w:rsidR="002700EC">
        <w:rPr>
          <w:rFonts w:cs="Arial"/>
        </w:rPr>
        <w:t>ncertainty factors of 5 and 2.5</w:t>
      </w:r>
      <w:r w:rsidR="00635845">
        <w:rPr>
          <w:rFonts w:cs="Arial"/>
        </w:rPr>
        <w:t xml:space="preserve"> to </w:t>
      </w:r>
      <w:r w:rsidR="002700EC">
        <w:rPr>
          <w:rFonts w:cs="Arial"/>
        </w:rPr>
        <w:t>account for human inter-individual differences and interspecies differences</w:t>
      </w:r>
      <w:r w:rsidR="002E23BF">
        <w:rPr>
          <w:rFonts w:cs="Arial"/>
        </w:rPr>
        <w:t>,</w:t>
      </w:r>
      <w:r w:rsidR="00635845" w:rsidRPr="00635845">
        <w:rPr>
          <w:rFonts w:cs="Arial"/>
        </w:rPr>
        <w:t xml:space="preserve"> </w:t>
      </w:r>
      <w:r w:rsidR="00635845">
        <w:rPr>
          <w:rFonts w:cs="Arial"/>
        </w:rPr>
        <w:t xml:space="preserve">respectively. </w:t>
      </w:r>
      <w:r w:rsidR="004E789E">
        <w:rPr>
          <w:rFonts w:cs="Arial"/>
        </w:rPr>
        <w:t xml:space="preserve">The recommended </w:t>
      </w:r>
      <w:r w:rsidR="001D5BF8">
        <w:rPr>
          <w:rFonts w:cs="Arial"/>
        </w:rPr>
        <w:t>STEL</w:t>
      </w:r>
      <w:r w:rsidR="004E789E">
        <w:rPr>
          <w:rFonts w:cs="Arial"/>
        </w:rPr>
        <w:t xml:space="preserve"> </w:t>
      </w:r>
      <w:r w:rsidR="00635845">
        <w:rPr>
          <w:rFonts w:cs="Arial"/>
        </w:rPr>
        <w:t>is</w:t>
      </w:r>
      <w:r w:rsidR="004E789E">
        <w:rPr>
          <w:rFonts w:cs="Arial"/>
        </w:rPr>
        <w:t xml:space="preserve"> derived from</w:t>
      </w:r>
      <w:r w:rsidR="00237997">
        <w:rPr>
          <w:rFonts w:cs="Arial"/>
        </w:rPr>
        <w:t xml:space="preserve"> </w:t>
      </w:r>
      <w:r w:rsidR="0047633B">
        <w:rPr>
          <w:rFonts w:cs="Arial"/>
        </w:rPr>
        <w:t>an</w:t>
      </w:r>
      <w:r w:rsidR="00F430DD">
        <w:rPr>
          <w:rFonts w:cs="Arial"/>
        </w:rPr>
        <w:t xml:space="preserve"> occupational </w:t>
      </w:r>
      <w:r w:rsidR="0047633B">
        <w:rPr>
          <w:rFonts w:cs="Arial"/>
        </w:rPr>
        <w:t>chronic exposure study</w:t>
      </w:r>
      <w:r w:rsidR="00635845">
        <w:rPr>
          <w:rFonts w:cs="Arial"/>
        </w:rPr>
        <w:t xml:space="preserve"> in</w:t>
      </w:r>
      <w:r w:rsidR="0047633B">
        <w:rPr>
          <w:rFonts w:cs="Arial"/>
        </w:rPr>
        <w:t xml:space="preserve"> which </w:t>
      </w:r>
      <w:r w:rsidR="00F430DD">
        <w:rPr>
          <w:rFonts w:cs="Arial"/>
        </w:rPr>
        <w:t xml:space="preserve">no symptoms of intoxication were </w:t>
      </w:r>
      <w:r w:rsidR="0047633B">
        <w:rPr>
          <w:rFonts w:cs="Arial"/>
        </w:rPr>
        <w:t xml:space="preserve">reported </w:t>
      </w:r>
      <w:r w:rsidR="00635845">
        <w:rPr>
          <w:rFonts w:cs="Arial"/>
        </w:rPr>
        <w:t xml:space="preserve">at </w:t>
      </w:r>
      <w:r w:rsidR="0047633B">
        <w:rPr>
          <w:rFonts w:cs="Arial"/>
        </w:rPr>
        <w:t>1</w:t>
      </w:r>
      <w:r w:rsidR="001D5BF8">
        <w:rPr>
          <w:rFonts w:cs="Arial"/>
        </w:rPr>
        <w:t>00</w:t>
      </w:r>
      <w:r w:rsidR="0047633B">
        <w:rPr>
          <w:rFonts w:cs="Arial"/>
        </w:rPr>
        <w:t xml:space="preserve"> ppm</w:t>
      </w:r>
      <w:r w:rsidR="00433161">
        <w:rPr>
          <w:rFonts w:cs="Arial"/>
        </w:rPr>
        <w:t xml:space="preserve"> per </w:t>
      </w:r>
      <w:r w:rsidR="0049215F">
        <w:rPr>
          <w:rFonts w:cs="Arial"/>
        </w:rPr>
        <w:t>d</w:t>
      </w:r>
      <w:r w:rsidR="00433161">
        <w:rPr>
          <w:rFonts w:cs="Arial"/>
        </w:rPr>
        <w:t xml:space="preserve">ay </w:t>
      </w:r>
      <w:r w:rsidR="00237997">
        <w:rPr>
          <w:rFonts w:cs="Arial"/>
        </w:rPr>
        <w:t>(ACGIH, 2001).</w:t>
      </w:r>
      <w:r w:rsidR="0047633B">
        <w:rPr>
          <w:rFonts w:cs="Arial"/>
        </w:rPr>
        <w:t xml:space="preserve"> </w:t>
      </w:r>
    </w:p>
    <w:p w14:paraId="7F5D8C01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00B65159" w14:textId="07279226" w:rsidR="00311B15" w:rsidRDefault="00434B8C" w:rsidP="002E23BF">
      <w:r>
        <w:t>C</w:t>
      </w:r>
      <w:r w:rsidR="00790952">
        <w:t>lassified as a category 2 carcinogen according to the Globally Harmoni</w:t>
      </w:r>
      <w:r>
        <w:t>z</w:t>
      </w:r>
      <w:r w:rsidR="00790952">
        <w:t xml:space="preserve">ed System of Classification and Labelling of Chemicals (GHS). </w:t>
      </w:r>
    </w:p>
    <w:p w14:paraId="1B4DCF08" w14:textId="77777777" w:rsidR="005F4367" w:rsidRDefault="00434B8C" w:rsidP="005F4367">
      <w:r>
        <w:t xml:space="preserve">Classified as a skin sensitiser </w:t>
      </w:r>
      <w:r w:rsidR="002E23BF">
        <w:t>and</w:t>
      </w:r>
      <w:r>
        <w:t xml:space="preserve"> not a respiratory sensitiser according to the GHS.</w:t>
      </w:r>
    </w:p>
    <w:p w14:paraId="1BF3ED8A" w14:textId="14B91455" w:rsidR="00A31B4D" w:rsidRDefault="00FF1585" w:rsidP="005F4367">
      <w:r>
        <w:lastRenderedPageBreak/>
        <w:t xml:space="preserve">A skin </w:t>
      </w:r>
      <w:r w:rsidR="008406CF">
        <w:t>notation is</w:t>
      </w:r>
      <w:r w:rsidR="002E23BF">
        <w:t xml:space="preserve"> recommended,</w:t>
      </w:r>
      <w:r w:rsidR="008406CF">
        <w:t xml:space="preserve"> supported by evidence from </w:t>
      </w:r>
      <w:r w:rsidR="004E2C20">
        <w:t>human observations</w:t>
      </w:r>
      <w:r w:rsidR="008406CF">
        <w:t>.</w:t>
      </w:r>
    </w:p>
    <w:p w14:paraId="0D1235D5" w14:textId="5334BB1D" w:rsidR="002E23BF" w:rsidRDefault="002E23BF">
      <w:pPr>
        <w:spacing w:after="200"/>
      </w:pPr>
      <w:r>
        <w:br w:type="page"/>
      </w:r>
    </w:p>
    <w:p w14:paraId="4A0837BA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384EB1B6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4C41D440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3E047679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6E2D8E22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1478825B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A64840">
                  <w:t>2011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EE04CF">
                  <w:t>TWA: 50 ppm (103 mg/m</w:t>
                </w:r>
                <w:r w:rsidR="00EE04CF">
                  <w:rPr>
                    <w:vertAlign w:val="superscript"/>
                  </w:rPr>
                  <w:t>3</w:t>
                </w:r>
                <w:r w:rsidR="00EE04CF">
                  <w:t>); STEL: 100 ppm (207 mg/m</w:t>
                </w:r>
                <w:r w:rsidR="00EE04CF">
                  <w:rPr>
                    <w:vertAlign w:val="superscript"/>
                  </w:rPr>
                  <w:t>3</w:t>
                </w:r>
                <w:r w:rsidR="00EE04CF">
                  <w:t>)</w:t>
                </w:r>
              </w:sdtContent>
            </w:sdt>
          </w:p>
        </w:tc>
      </w:tr>
      <w:tr w:rsidR="00C978F0" w:rsidRPr="00DA352E" w14:paraId="35B9F11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4B2AD94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1EC0558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962CF88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1C40AB">
                  <w:t>2001</w:t>
                </w:r>
              </w:sdtContent>
            </w:sdt>
            <w:r w:rsidR="00916EC0" w:rsidRPr="003365A5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1C40AB">
                  <w:t>TLV-TWA: 50 ppm (103 mg/m</w:t>
                </w:r>
                <w:r w:rsidR="001C40AB">
                  <w:rPr>
                    <w:vertAlign w:val="superscript"/>
                  </w:rPr>
                  <w:t>3</w:t>
                </w:r>
                <w:r w:rsidR="001C40AB">
                  <w:t>); TLV-STEL: 100 ppm (207 mg/m</w:t>
                </w:r>
                <w:r w:rsidR="001C40AB">
                  <w:rPr>
                    <w:vertAlign w:val="superscript"/>
                  </w:rPr>
                  <w:t>3</w:t>
                </w:r>
                <w:r w:rsidR="001C40AB">
                  <w:t xml:space="preserve">) </w:t>
                </w:r>
              </w:sdtContent>
            </w:sdt>
          </w:p>
        </w:tc>
      </w:tr>
      <w:tr w:rsidR="00C978F0" w:rsidRPr="00DA352E" w14:paraId="66A458C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C3BC97F" w14:textId="5D4C71D7" w:rsidR="002E23BF" w:rsidRDefault="001C40AB" w:rsidP="00CD5915">
            <w:r>
              <w:t xml:space="preserve">TLV-TWA recommended to minimise the potential for subtle changes in performance of complex tasks. </w:t>
            </w:r>
            <w:r w:rsidR="00434B8C">
              <w:t xml:space="preserve">The </w:t>
            </w:r>
            <w:r>
              <w:t xml:space="preserve">TLV-TWA should also protect </w:t>
            </w:r>
            <w:r w:rsidR="007E7995">
              <w:t xml:space="preserve">for </w:t>
            </w:r>
            <w:r>
              <w:t xml:space="preserve">other </w:t>
            </w:r>
            <w:r w:rsidR="00B13B85">
              <w:t xml:space="preserve">CNS </w:t>
            </w:r>
            <w:r>
              <w:t>effects such as drowsiness, headache, dizziness, blurred vision, speech</w:t>
            </w:r>
            <w:r w:rsidR="002E23BF">
              <w:t xml:space="preserve"> difficulties, mental confusion</w:t>
            </w:r>
            <w:r>
              <w:t xml:space="preserve"> and staggering gait.</w:t>
            </w:r>
            <w:r w:rsidR="002E23BF">
              <w:t xml:space="preserve"> Principal route of absorption is inhalation</w:t>
            </w:r>
            <w:r w:rsidR="0049215F">
              <w:t>;</w:t>
            </w:r>
            <w:r w:rsidR="002E23BF">
              <w:t xml:space="preserve"> however</w:t>
            </w:r>
            <w:r w:rsidR="00A514C6">
              <w:t>,</w:t>
            </w:r>
            <w:r w:rsidR="002E23BF">
              <w:t xml:space="preserve"> dermal absorption is possible</w:t>
            </w:r>
            <w:r w:rsidR="00A514C6">
              <w:t>.</w:t>
            </w:r>
            <w:r w:rsidR="002E23BF">
              <w:t xml:space="preserve"> </w:t>
            </w:r>
          </w:p>
          <w:p w14:paraId="618C1F6B" w14:textId="6C0B6558" w:rsidR="001C40AB" w:rsidRDefault="001C40AB" w:rsidP="001C40AB">
            <w:pPr>
              <w:pStyle w:val="Tabletextprimarysource"/>
            </w:pPr>
            <w:r>
              <w:t>Summary of data:</w:t>
            </w:r>
          </w:p>
          <w:p w14:paraId="5A480648" w14:textId="6178B6F0" w:rsidR="00B13B85" w:rsidRDefault="00B13B85" w:rsidP="00B13B85">
            <w:pPr>
              <w:pStyle w:val="ListBullet"/>
              <w:numPr>
                <w:ilvl w:val="0"/>
                <w:numId w:val="0"/>
              </w:numPr>
            </w:pPr>
            <w:r>
              <w:t>Human data:</w:t>
            </w:r>
          </w:p>
          <w:p w14:paraId="6BD4095C" w14:textId="27F574EE" w:rsidR="00CA52D6" w:rsidRDefault="001709BE" w:rsidP="00343F14">
            <w:pPr>
              <w:pStyle w:val="ListBullet"/>
              <w:tabs>
                <w:tab w:val="clear" w:pos="360"/>
              </w:tabs>
              <w:spacing w:before="0"/>
              <w:ind w:left="726" w:hanging="357"/>
              <w:contextualSpacing w:val="0"/>
            </w:pPr>
            <w:r>
              <w:t xml:space="preserve">Moderate exposure characterised by ocular symptoms </w:t>
            </w:r>
            <w:r w:rsidR="00CA52D6">
              <w:t>t</w:t>
            </w:r>
            <w:r w:rsidR="00E44F4A">
              <w:t>hat include mistiness, diplopia</w:t>
            </w:r>
            <w:r w:rsidR="00CA52D6">
              <w:t xml:space="preserve"> and difficulty focusing. </w:t>
            </w:r>
            <w:r w:rsidR="00E44F4A">
              <w:t>S</w:t>
            </w:r>
            <w:r w:rsidR="00CA52D6">
              <w:t xml:space="preserve">ymptoms may persist for several </w:t>
            </w:r>
            <w:r w:rsidR="00434B8C">
              <w:t>weeks</w:t>
            </w:r>
          </w:p>
          <w:p w14:paraId="40780A34" w14:textId="0E93987E" w:rsidR="00CA52D6" w:rsidRDefault="00FA7462" w:rsidP="00343F14">
            <w:pPr>
              <w:pStyle w:val="ListBullet"/>
              <w:tabs>
                <w:tab w:val="clear" w:pos="360"/>
              </w:tabs>
              <w:spacing w:before="0"/>
              <w:ind w:left="726" w:hanging="357"/>
              <w:contextualSpacing w:val="0"/>
            </w:pPr>
            <w:r>
              <w:t xml:space="preserve">Moderate to high </w:t>
            </w:r>
            <w:r w:rsidR="00CA52D6">
              <w:t xml:space="preserve">exposure associated with </w:t>
            </w:r>
            <w:r>
              <w:t xml:space="preserve">kidney and liver damage, </w:t>
            </w:r>
            <w:r w:rsidR="00CA52D6">
              <w:t>CNS depression</w:t>
            </w:r>
            <w:r w:rsidR="003B7E1D">
              <w:t>, respiratory failure</w:t>
            </w:r>
            <w:r>
              <w:t xml:space="preserve">, </w:t>
            </w:r>
            <w:r w:rsidR="003B7E1D">
              <w:t>coma</w:t>
            </w:r>
            <w:r>
              <w:t xml:space="preserve"> and death</w:t>
            </w:r>
          </w:p>
          <w:p w14:paraId="582C496D" w14:textId="0124E6D2" w:rsidR="003B7E1D" w:rsidRDefault="003B7E1D" w:rsidP="00343F14">
            <w:pPr>
              <w:pStyle w:val="ListBullet"/>
              <w:tabs>
                <w:tab w:val="clear" w:pos="360"/>
              </w:tabs>
              <w:spacing w:before="0"/>
              <w:ind w:left="726" w:hanging="357"/>
              <w:contextualSpacing w:val="0"/>
            </w:pPr>
            <w:r>
              <w:t xml:space="preserve">Severe acute exposure may lead to nausea, vomiting, abdominal pain, and </w:t>
            </w:r>
            <w:r w:rsidR="00E44F4A">
              <w:t>diarrhoea</w:t>
            </w:r>
          </w:p>
          <w:p w14:paraId="3609C0F3" w14:textId="4295014D" w:rsidR="003B7E1D" w:rsidRDefault="008F6DF5" w:rsidP="00343F14">
            <w:pPr>
              <w:pStyle w:val="ListBullet"/>
              <w:tabs>
                <w:tab w:val="clear" w:pos="360"/>
              </w:tabs>
              <w:spacing w:before="0"/>
              <w:ind w:left="726" w:hanging="357"/>
              <w:contextualSpacing w:val="0"/>
            </w:pPr>
            <w:r>
              <w:t xml:space="preserve">Chronic </w:t>
            </w:r>
            <w:r w:rsidR="00CA52D6">
              <w:t xml:space="preserve">and subacute </w:t>
            </w:r>
            <w:r>
              <w:t xml:space="preserve">exposure in humans </w:t>
            </w:r>
            <w:r w:rsidR="00FA7462">
              <w:t>can result in</w:t>
            </w:r>
            <w:r w:rsidR="00CA52D6">
              <w:t xml:space="preserve"> ataxia, staggering gait, tremors, vertigo, slurred speech, and blurred v</w:t>
            </w:r>
            <w:r w:rsidR="00245941">
              <w:t>ision</w:t>
            </w:r>
          </w:p>
          <w:p w14:paraId="6E1E1A13" w14:textId="3B1EA946" w:rsidR="00BD43B8" w:rsidRDefault="00675C32" w:rsidP="00343F14">
            <w:pPr>
              <w:pStyle w:val="ListBullet"/>
              <w:tabs>
                <w:tab w:val="clear" w:pos="360"/>
              </w:tabs>
              <w:spacing w:before="0"/>
              <w:ind w:left="726" w:hanging="357"/>
              <w:contextualSpacing w:val="0"/>
            </w:pPr>
            <w:r>
              <w:t>R</w:t>
            </w:r>
            <w:r w:rsidR="003B7E1D">
              <w:t>eport of moderate</w:t>
            </w:r>
            <w:r w:rsidR="002E23BF">
              <w:t xml:space="preserve"> to </w:t>
            </w:r>
            <w:r w:rsidR="003B7E1D">
              <w:t xml:space="preserve">severe exposure </w:t>
            </w:r>
            <w:r w:rsidR="00E44F4A">
              <w:t>(&gt;500 ppm) in rubber manufacturing</w:t>
            </w:r>
            <w:r w:rsidR="003B7E1D">
              <w:t xml:space="preserve"> found workers</w:t>
            </w:r>
            <w:r w:rsidR="00E44F4A">
              <w:t xml:space="preserve"> were disabled for </w:t>
            </w:r>
            <w:r w:rsidR="00CA1B97" w:rsidRPr="00343F14">
              <w:t>≤</w:t>
            </w:r>
            <w:r w:rsidR="00E44F4A">
              <w:t>30 d</w:t>
            </w:r>
            <w:r w:rsidR="003B7E1D">
              <w:t xml:space="preserve"> prior to recovery</w:t>
            </w:r>
          </w:p>
          <w:p w14:paraId="42F10E2D" w14:textId="7E740357" w:rsidR="002E23BF" w:rsidRDefault="00BD43B8" w:rsidP="00343F14">
            <w:pPr>
              <w:pStyle w:val="ListBullet"/>
              <w:tabs>
                <w:tab w:val="clear" w:pos="360"/>
              </w:tabs>
              <w:spacing w:before="0"/>
              <w:ind w:left="726" w:hanging="357"/>
              <w:contextualSpacing w:val="0"/>
            </w:pPr>
            <w:r>
              <w:t>Available data does not suggest irreversible adverse effects to body organs after repeated exposures at 100</w:t>
            </w:r>
            <w:r w:rsidR="005642AE">
              <w:t>–</w:t>
            </w:r>
            <w:r>
              <w:t>200 ppm</w:t>
            </w:r>
            <w:r w:rsidR="002E23BF">
              <w:t>/d</w:t>
            </w:r>
          </w:p>
          <w:p w14:paraId="0B76A581" w14:textId="0EA09E99" w:rsidR="00BD43B8" w:rsidRDefault="00BD43B8" w:rsidP="00343F14">
            <w:pPr>
              <w:pStyle w:val="ListBullet"/>
              <w:tabs>
                <w:tab w:val="clear" w:pos="360"/>
              </w:tabs>
              <w:spacing w:before="0"/>
              <w:ind w:left="726" w:hanging="357"/>
              <w:contextualSpacing w:val="0"/>
            </w:pPr>
            <w:r>
              <w:t>Safety margin in TLV-TWA incorporated to protect against impairment in completing complex tasks</w:t>
            </w:r>
          </w:p>
          <w:p w14:paraId="61B80F37" w14:textId="483BCB4C" w:rsidR="00BD43B8" w:rsidRDefault="00BD43B8" w:rsidP="00343F14">
            <w:pPr>
              <w:pStyle w:val="ListBullet"/>
              <w:tabs>
                <w:tab w:val="clear" w:pos="360"/>
              </w:tabs>
              <w:spacing w:before="0"/>
              <w:ind w:left="726" w:hanging="357"/>
              <w:contextualSpacing w:val="0"/>
            </w:pPr>
            <w:r>
              <w:t>Skin notation recommended due to systemic intoxication through skin absorption</w:t>
            </w:r>
          </w:p>
          <w:p w14:paraId="7DA8B9AD" w14:textId="4C628B21" w:rsidR="00FA7462" w:rsidRDefault="00675C32" w:rsidP="00343F14">
            <w:pPr>
              <w:pStyle w:val="ListBullet"/>
              <w:tabs>
                <w:tab w:val="clear" w:pos="360"/>
              </w:tabs>
              <w:spacing w:before="0"/>
              <w:ind w:left="726" w:hanging="357"/>
              <w:contextualSpacing w:val="0"/>
            </w:pPr>
            <w:r>
              <w:t>Ins</w:t>
            </w:r>
            <w:r w:rsidR="00BD43B8">
              <w:t>ufficient data available to recommend a sensitiser notation</w:t>
            </w:r>
            <w:r w:rsidR="00433161">
              <w:t>.</w:t>
            </w:r>
          </w:p>
          <w:p w14:paraId="4EBE873A" w14:textId="77777777" w:rsidR="00CA1B97" w:rsidRDefault="00CA1B97" w:rsidP="00B13B85">
            <w:pPr>
              <w:pStyle w:val="ListBullet"/>
              <w:numPr>
                <w:ilvl w:val="0"/>
                <w:numId w:val="0"/>
              </w:numPr>
            </w:pPr>
          </w:p>
          <w:p w14:paraId="1BF52424" w14:textId="7FB1455A" w:rsidR="00B13B85" w:rsidRDefault="00B13B85" w:rsidP="00B13B85">
            <w:pPr>
              <w:pStyle w:val="ListBullet"/>
              <w:numPr>
                <w:ilvl w:val="0"/>
                <w:numId w:val="0"/>
              </w:numPr>
            </w:pPr>
            <w:r>
              <w:t>Animal data:</w:t>
            </w:r>
          </w:p>
          <w:p w14:paraId="5BDA4AC0" w14:textId="733A95CD" w:rsidR="00B13B85" w:rsidRDefault="00B13B85" w:rsidP="00343F14">
            <w:pPr>
              <w:pStyle w:val="ListBullet"/>
              <w:tabs>
                <w:tab w:val="clear" w:pos="360"/>
              </w:tabs>
              <w:spacing w:before="0"/>
              <w:ind w:left="726" w:hanging="357"/>
              <w:contextualSpacing w:val="0"/>
            </w:pPr>
            <w:r>
              <w:t>LC</w:t>
            </w:r>
            <w:r w:rsidRPr="00B13B85">
              <w:rPr>
                <w:vertAlign w:val="subscript"/>
              </w:rPr>
              <w:t>50</w:t>
            </w:r>
            <w:r>
              <w:t xml:space="preserve">: </w:t>
            </w:r>
            <w:r w:rsidR="00BD43B8">
              <w:t>2</w:t>
            </w:r>
            <w:r w:rsidR="00433161">
              <w:t>,</w:t>
            </w:r>
            <w:r w:rsidR="00BD43B8">
              <w:t>760</w:t>
            </w:r>
            <w:r w:rsidR="00AF7B69">
              <w:t xml:space="preserve"> ppm</w:t>
            </w:r>
            <w:r w:rsidR="00BD43B8">
              <w:t xml:space="preserve"> (undisclosed species, 4 h)</w:t>
            </w:r>
          </w:p>
          <w:p w14:paraId="1B847000" w14:textId="7DF47BC0" w:rsidR="00E44F4A" w:rsidRDefault="00CB146C" w:rsidP="00343F14">
            <w:pPr>
              <w:pStyle w:val="ListBullet"/>
              <w:tabs>
                <w:tab w:val="clear" w:pos="360"/>
              </w:tabs>
              <w:spacing w:before="0"/>
              <w:ind w:left="726" w:hanging="357"/>
              <w:contextualSpacing w:val="0"/>
            </w:pPr>
            <w:r>
              <w:t>Renal tumours observed in male mice chronically exposed to 1</w:t>
            </w:r>
            <w:r w:rsidR="00433161">
              <w:t>,</w:t>
            </w:r>
            <w:r>
              <w:t>000 ppm</w:t>
            </w:r>
            <w:r w:rsidR="002E23BF">
              <w:t>/d</w:t>
            </w:r>
          </w:p>
          <w:p w14:paraId="2D28FC8E" w14:textId="4A42EDAA" w:rsidR="003B7E1D" w:rsidRDefault="00E44F4A" w:rsidP="00343F14">
            <w:pPr>
              <w:pStyle w:val="ListBullet"/>
              <w:tabs>
                <w:tab w:val="clear" w:pos="360"/>
              </w:tabs>
              <w:spacing w:before="0"/>
              <w:ind w:left="726" w:hanging="357"/>
              <w:contextualSpacing w:val="0"/>
            </w:pPr>
            <w:r>
              <w:t>M</w:t>
            </w:r>
            <w:r w:rsidR="00CB146C">
              <w:t>ale and female mice experienced limb muscle impairment and degeneration of the cerebellum</w:t>
            </w:r>
          </w:p>
          <w:p w14:paraId="2E5C0705" w14:textId="77777777" w:rsidR="005E558F" w:rsidRDefault="00B94FEC" w:rsidP="00343F14">
            <w:pPr>
              <w:pStyle w:val="ListBullet"/>
              <w:tabs>
                <w:tab w:val="clear" w:pos="360"/>
              </w:tabs>
              <w:spacing w:before="0"/>
              <w:ind w:left="726" w:hanging="357"/>
              <w:contextualSpacing w:val="0"/>
            </w:pPr>
            <w:r>
              <w:t xml:space="preserve">Highest </w:t>
            </w:r>
            <w:r w:rsidR="00B13B85">
              <w:t>NOAEL</w:t>
            </w:r>
            <w:r w:rsidR="002E23BF">
              <w:t>:</w:t>
            </w:r>
            <w:r w:rsidR="00BD43B8">
              <w:t xml:space="preserve"> 150 ppm (fertility, male F344 rats)</w:t>
            </w:r>
            <w:r w:rsidR="00675C32">
              <w:t>.</w:t>
            </w:r>
          </w:p>
          <w:p w14:paraId="1E1A00FB" w14:textId="26D401F6" w:rsidR="00433161" w:rsidRPr="00DA352E" w:rsidRDefault="00433161" w:rsidP="00433161">
            <w:pPr>
              <w:pStyle w:val="ListBullet"/>
              <w:numPr>
                <w:ilvl w:val="0"/>
                <w:numId w:val="0"/>
              </w:numPr>
              <w:ind w:left="731"/>
            </w:pPr>
          </w:p>
        </w:tc>
      </w:tr>
      <w:tr w:rsidR="00C978F0" w:rsidRPr="00DA352E" w14:paraId="3D3052C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9EDA719" w14:textId="3DDD8827" w:rsidR="00C978F0" w:rsidRPr="00DA352E" w:rsidRDefault="00DA352E" w:rsidP="000E42DA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8406CF">
                  <w:t>1984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FD694C">
                  <w:t xml:space="preserve">MAK: 50 </w:t>
                </w:r>
                <w:r w:rsidR="00FA7462">
                  <w:t>ppm</w:t>
                </w:r>
                <w:r w:rsidR="00FD694C">
                  <w:t xml:space="preserve"> (</w:t>
                </w:r>
                <w:r w:rsidR="000E42DA">
                  <w:t xml:space="preserve">100 </w:t>
                </w:r>
                <w:r w:rsidR="00FD694C">
                  <w:t>mg/m</w:t>
                </w:r>
                <w:r w:rsidR="00FD694C">
                  <w:rPr>
                    <w:vertAlign w:val="superscript"/>
                  </w:rPr>
                  <w:t>3</w:t>
                </w:r>
                <w:r w:rsidR="00FD694C">
                  <w:t>)</w:t>
                </w:r>
              </w:sdtContent>
            </w:sdt>
          </w:p>
        </w:tc>
      </w:tr>
      <w:tr w:rsidR="00C978F0" w:rsidRPr="00DA352E" w14:paraId="01832CA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6690386" w14:textId="7599391F" w:rsidR="00FD694C" w:rsidRDefault="00FD694C" w:rsidP="00CD5915">
            <w:r>
              <w:t>MAK established provisionally on the basis of one workplace study and animal studies.</w:t>
            </w:r>
            <w:r w:rsidR="008406CF">
              <w:t xml:space="preserve"> Skin notation revised in 199</w:t>
            </w:r>
            <w:r w:rsidR="00BB621C">
              <w:t>8</w:t>
            </w:r>
            <w:r w:rsidR="008406CF">
              <w:t>.</w:t>
            </w:r>
          </w:p>
          <w:p w14:paraId="38F3EE41" w14:textId="4ED0908A" w:rsidR="002E23BF" w:rsidRDefault="002E23BF" w:rsidP="002E23BF">
            <w:pPr>
              <w:pStyle w:val="Tabletextprimarysource"/>
            </w:pPr>
            <w:r>
              <w:t>Summary of additional data:</w:t>
            </w:r>
          </w:p>
          <w:p w14:paraId="16E803C5" w14:textId="77777777" w:rsidR="008406CF" w:rsidRDefault="008406CF" w:rsidP="008406CF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Human data:</w:t>
            </w:r>
          </w:p>
          <w:p w14:paraId="55B8F75C" w14:textId="4A401A46" w:rsidR="003929C1" w:rsidRPr="009256C4" w:rsidRDefault="00E44F4A" w:rsidP="00343F14">
            <w:pPr>
              <w:pStyle w:val="ListBullet"/>
              <w:tabs>
                <w:tab w:val="clear" w:pos="360"/>
              </w:tabs>
              <w:spacing w:before="0"/>
              <w:ind w:left="726" w:hanging="357"/>
              <w:contextualSpacing w:val="0"/>
            </w:pPr>
            <w:r>
              <w:t xml:space="preserve">Odour threshold 10 </w:t>
            </w:r>
            <w:r w:rsidR="000E42DA">
              <w:t>ppm</w:t>
            </w:r>
          </w:p>
          <w:p w14:paraId="708E877B" w14:textId="0B7FF9E6" w:rsidR="00463142" w:rsidRDefault="009256C4" w:rsidP="00343F14">
            <w:pPr>
              <w:pStyle w:val="ListBullet"/>
              <w:tabs>
                <w:tab w:val="clear" w:pos="360"/>
              </w:tabs>
              <w:spacing w:before="0"/>
              <w:ind w:left="726" w:hanging="357"/>
              <w:contextualSpacing w:val="0"/>
            </w:pPr>
            <w:r>
              <w:t>Liquid contact with skin can cause blisters due to chilling</w:t>
            </w:r>
          </w:p>
          <w:p w14:paraId="0DDE5E44" w14:textId="60A27F2C" w:rsidR="003929C1" w:rsidRDefault="003929C1" w:rsidP="00343F14">
            <w:pPr>
              <w:pStyle w:val="ListBullet"/>
              <w:tabs>
                <w:tab w:val="clear" w:pos="360"/>
              </w:tabs>
              <w:spacing w:before="0"/>
              <w:ind w:left="726" w:hanging="357"/>
              <w:contextualSpacing w:val="0"/>
            </w:pPr>
            <w:r>
              <w:t xml:space="preserve">Human population may be divided into two groups </w:t>
            </w:r>
            <w:r w:rsidR="00CA1B97">
              <w:t>based on their capacity to metabolise methyl chloride</w:t>
            </w:r>
            <w:r>
              <w:t xml:space="preserve"> (one considerably faster than the other)</w:t>
            </w:r>
            <w:r w:rsidR="00433161">
              <w:t>.</w:t>
            </w:r>
          </w:p>
          <w:p w14:paraId="54F5B484" w14:textId="77777777" w:rsidR="00433161" w:rsidRDefault="00433161" w:rsidP="00433161">
            <w:pPr>
              <w:pStyle w:val="ListBullet"/>
              <w:numPr>
                <w:ilvl w:val="0"/>
                <w:numId w:val="0"/>
              </w:numPr>
              <w:ind w:left="731"/>
            </w:pPr>
          </w:p>
          <w:p w14:paraId="6430394E" w14:textId="3E7E5DF9" w:rsidR="00463142" w:rsidRDefault="00463142" w:rsidP="00463142">
            <w:pPr>
              <w:pStyle w:val="ListBullet"/>
              <w:numPr>
                <w:ilvl w:val="0"/>
                <w:numId w:val="0"/>
              </w:numPr>
            </w:pPr>
            <w:r>
              <w:t>Animal data:</w:t>
            </w:r>
          </w:p>
          <w:p w14:paraId="087F80CB" w14:textId="172AEEF7" w:rsidR="00AE4CC5" w:rsidRDefault="00AE4CC5" w:rsidP="00343F14">
            <w:pPr>
              <w:pStyle w:val="ListBullet"/>
              <w:tabs>
                <w:tab w:val="clear" w:pos="360"/>
              </w:tabs>
              <w:spacing w:before="0"/>
              <w:ind w:left="726" w:hanging="357"/>
              <w:contextualSpacing w:val="0"/>
            </w:pPr>
            <w:r>
              <w:t xml:space="preserve">Toxicity varies greatly </w:t>
            </w:r>
            <w:r w:rsidR="00A514C6">
              <w:t xml:space="preserve">among </w:t>
            </w:r>
            <w:r>
              <w:t>different animal species</w:t>
            </w:r>
          </w:p>
          <w:p w14:paraId="1E7C9E1A" w14:textId="093215F0" w:rsidR="00AE4CC5" w:rsidRPr="00463142" w:rsidRDefault="00463142" w:rsidP="00343F14">
            <w:pPr>
              <w:pStyle w:val="ListBullet"/>
              <w:tabs>
                <w:tab w:val="clear" w:pos="360"/>
              </w:tabs>
              <w:spacing w:before="0"/>
              <w:ind w:left="726" w:hanging="357"/>
              <w:contextualSpacing w:val="0"/>
            </w:pPr>
            <w:r>
              <w:t xml:space="preserve">Fertility </w:t>
            </w:r>
            <w:r w:rsidR="00433161">
              <w:t xml:space="preserve">NOAEL: </w:t>
            </w:r>
            <w:r w:rsidR="00BD43B8">
              <w:t xml:space="preserve">150 ppm (male F344 rats) </w:t>
            </w:r>
            <w:r w:rsidR="002E23BF">
              <w:t>used to support MAK</w:t>
            </w:r>
          </w:p>
          <w:p w14:paraId="7797866E" w14:textId="50AF765E" w:rsidR="00463142" w:rsidRPr="00AE4CC5" w:rsidRDefault="002E23BF" w:rsidP="00343F14">
            <w:pPr>
              <w:pStyle w:val="ListBullet"/>
              <w:tabs>
                <w:tab w:val="clear" w:pos="360"/>
              </w:tabs>
              <w:spacing w:before="0"/>
              <w:ind w:left="726" w:hanging="357"/>
              <w:contextualSpacing w:val="0"/>
            </w:pPr>
            <w:r>
              <w:t xml:space="preserve">Teratogenic NOAEL: </w:t>
            </w:r>
            <w:r w:rsidR="00463142">
              <w:t>250 ppm (mice)</w:t>
            </w:r>
          </w:p>
          <w:p w14:paraId="793AF3D2" w14:textId="77777777" w:rsidR="009256C4" w:rsidRDefault="00AE4CC5" w:rsidP="00343F14">
            <w:pPr>
              <w:pStyle w:val="ListBullet"/>
              <w:tabs>
                <w:tab w:val="clear" w:pos="360"/>
              </w:tabs>
              <w:spacing w:before="0"/>
              <w:ind w:left="726" w:hanging="357"/>
              <w:contextualSpacing w:val="0"/>
            </w:pPr>
            <w:r>
              <w:t>Direct mutagen in bacterial study</w:t>
            </w:r>
            <w:r w:rsidR="00BD43B8">
              <w:t>,</w:t>
            </w:r>
            <w:r>
              <w:t xml:space="preserve"> but insufficient evidence </w:t>
            </w:r>
            <w:r w:rsidR="00387D95">
              <w:t>in animals to be classified as</w:t>
            </w:r>
            <w:r>
              <w:t xml:space="preserve"> genotoxic</w:t>
            </w:r>
            <w:r w:rsidR="003929C1">
              <w:t>. Infertility of severely exposed rats due to inflammatory action rather than a mutagenic pathway</w:t>
            </w:r>
            <w:r w:rsidR="00675C32">
              <w:t>.</w:t>
            </w:r>
          </w:p>
          <w:p w14:paraId="39A17145" w14:textId="20A1C623" w:rsidR="00433161" w:rsidRPr="00DA352E" w:rsidRDefault="00433161" w:rsidP="00433161">
            <w:pPr>
              <w:pStyle w:val="ListBullet"/>
              <w:numPr>
                <w:ilvl w:val="0"/>
                <w:numId w:val="0"/>
              </w:numPr>
              <w:ind w:left="731"/>
            </w:pPr>
          </w:p>
        </w:tc>
      </w:tr>
      <w:tr w:rsidR="00C978F0" w:rsidRPr="00DA352E" w14:paraId="0F694D2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0559CB3" w14:textId="77777777" w:rsidR="00C978F0" w:rsidRPr="003C4FE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EE04CF">
                  <w:t>2016</w:t>
                </w:r>
              </w:sdtContent>
            </w:sdt>
            <w:r w:rsidR="00916EC0" w:rsidRPr="003365A5">
              <w:tab/>
            </w:r>
            <w:r w:rsidR="0051509C">
              <w:tab/>
            </w:r>
            <w:r w:rsidR="003C4FEE">
              <w:t>8-hour TWA: 20 ppm (42 mg/m</w:t>
            </w:r>
            <w:r w:rsidR="003C4FEE">
              <w:rPr>
                <w:vertAlign w:val="superscript"/>
              </w:rPr>
              <w:t>3</w:t>
            </w:r>
            <w:r w:rsidR="003C4FEE">
              <w:t>)</w:t>
            </w:r>
          </w:p>
        </w:tc>
      </w:tr>
      <w:tr w:rsidR="00C978F0" w:rsidRPr="00DA352E" w14:paraId="56F240B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899EE63" w14:textId="2A128F46" w:rsidR="00653C00" w:rsidRDefault="00653C00" w:rsidP="00CD5915">
            <w:r>
              <w:t xml:space="preserve">TWA based on </w:t>
            </w:r>
            <w:r w:rsidR="0086586D">
              <w:t>NOAEL</w:t>
            </w:r>
            <w:r>
              <w:t xml:space="preserve"> of 150 ppm in </w:t>
            </w:r>
            <w:r w:rsidR="002700EC">
              <w:t xml:space="preserve">F344 </w:t>
            </w:r>
            <w:r w:rsidR="00E44F4A">
              <w:t xml:space="preserve">susceptible </w:t>
            </w:r>
            <w:r w:rsidR="002700EC">
              <w:t>rats</w:t>
            </w:r>
            <w:r>
              <w:t xml:space="preserve">. Uncertainty factor of 5 applied for inter-individual variations </w:t>
            </w:r>
            <w:r w:rsidR="00A64840">
              <w:t>combined with an</w:t>
            </w:r>
            <w:r>
              <w:t xml:space="preserve"> uncertainty factor of 2.5 for</w:t>
            </w:r>
            <w:r w:rsidR="00A64840">
              <w:t xml:space="preserve"> differences in</w:t>
            </w:r>
            <w:r>
              <w:t xml:space="preserve"> interspecies</w:t>
            </w:r>
            <w:r w:rsidR="00A64840">
              <w:t xml:space="preserve"> susceptibility (overall uncertainty factor of 7.5)</w:t>
            </w:r>
            <w:r w:rsidR="002E23BF">
              <w:t>.</w:t>
            </w:r>
          </w:p>
          <w:p w14:paraId="64624B8F" w14:textId="331D5DC2" w:rsidR="002E23BF" w:rsidRDefault="002E23BF" w:rsidP="002E23BF">
            <w:pPr>
              <w:pStyle w:val="Tabletextprimarysource"/>
            </w:pPr>
            <w:r>
              <w:t>Summary of additional data:</w:t>
            </w:r>
          </w:p>
          <w:p w14:paraId="345B068F" w14:textId="13EC36E6" w:rsidR="00A64840" w:rsidRDefault="00A64840" w:rsidP="00343F14">
            <w:pPr>
              <w:pStyle w:val="ListBullet"/>
              <w:tabs>
                <w:tab w:val="clear" w:pos="360"/>
              </w:tabs>
              <w:spacing w:before="0"/>
              <w:ind w:left="726" w:hanging="357"/>
              <w:contextualSpacing w:val="0"/>
            </w:pPr>
            <w:r>
              <w:t xml:space="preserve">Most workplace </w:t>
            </w:r>
            <w:r w:rsidR="00E34335">
              <w:t xml:space="preserve">exposures </w:t>
            </w:r>
            <w:r w:rsidR="002A2187">
              <w:t>are acute; very few reported chronic cases</w:t>
            </w:r>
          </w:p>
          <w:p w14:paraId="23177770" w14:textId="053FBDD5" w:rsidR="002A2187" w:rsidRDefault="00E44F4A" w:rsidP="00343F14">
            <w:pPr>
              <w:pStyle w:val="ListBullet"/>
              <w:tabs>
                <w:tab w:val="clear" w:pos="360"/>
              </w:tabs>
              <w:spacing w:before="0"/>
              <w:ind w:left="726" w:hanging="357"/>
              <w:contextualSpacing w:val="0"/>
            </w:pPr>
            <w:r>
              <w:t>Metabolism in humans depends on</w:t>
            </w:r>
            <w:r w:rsidR="002A2187">
              <w:t xml:space="preserve"> GSTT1-1</w:t>
            </w:r>
            <w:r w:rsidR="005B1FB7">
              <w:t xml:space="preserve"> (</w:t>
            </w:r>
            <w:r w:rsidR="005B1FB7" w:rsidRPr="00343F14">
              <w:t>glutathione S-transferase (GST) theta</w:t>
            </w:r>
            <w:r w:rsidR="005B1FB7">
              <w:t>)</w:t>
            </w:r>
            <w:r w:rsidR="002A2187">
              <w:t xml:space="preserve">, </w:t>
            </w:r>
            <w:r w:rsidR="005B1FB7">
              <w:t xml:space="preserve">which is </w:t>
            </w:r>
            <w:r w:rsidR="002A2187">
              <w:t xml:space="preserve">deficient in 20% of the European population. This </w:t>
            </w:r>
            <w:r>
              <w:t>sub-</w:t>
            </w:r>
            <w:r w:rsidR="002A2187">
              <w:t>popu</w:t>
            </w:r>
            <w:r>
              <w:t xml:space="preserve">lation may be more resistant to </w:t>
            </w:r>
            <w:r w:rsidR="002E23BF">
              <w:t xml:space="preserve">intoxication and </w:t>
            </w:r>
            <w:r w:rsidR="002A2187">
              <w:t>is reflected in the application of uncertainty factors to derive the recommended TWA</w:t>
            </w:r>
          </w:p>
          <w:p w14:paraId="39A50147" w14:textId="50F94BD1" w:rsidR="00BD43B8" w:rsidRDefault="00A31B4D" w:rsidP="00343F14">
            <w:pPr>
              <w:pStyle w:val="ListBullet"/>
              <w:tabs>
                <w:tab w:val="clear" w:pos="360"/>
              </w:tabs>
              <w:spacing w:before="0"/>
              <w:ind w:left="726" w:hanging="357"/>
              <w:contextualSpacing w:val="0"/>
            </w:pPr>
            <w:r>
              <w:t xml:space="preserve">Prolonged skin contact with liquid methyl chloride is unlikely as </w:t>
            </w:r>
            <w:r w:rsidR="00E34335">
              <w:t xml:space="preserve">the substance is </w:t>
            </w:r>
            <w:r w:rsidR="00E44F4A">
              <w:t xml:space="preserve">a </w:t>
            </w:r>
            <w:r>
              <w:t>gas under standard conditions</w:t>
            </w:r>
            <w:r w:rsidR="00FF1585">
              <w:t xml:space="preserve">. Exposure through skin absorption is considered to be very low </w:t>
            </w:r>
          </w:p>
          <w:p w14:paraId="564DD535" w14:textId="12D48DD9" w:rsidR="00A31B4D" w:rsidRDefault="002E23BF" w:rsidP="00343F14">
            <w:pPr>
              <w:pStyle w:val="ListBullet"/>
              <w:tabs>
                <w:tab w:val="clear" w:pos="360"/>
              </w:tabs>
              <w:spacing w:before="0"/>
              <w:ind w:left="726" w:hanging="357"/>
              <w:contextualSpacing w:val="0"/>
            </w:pPr>
            <w:r>
              <w:t>C</w:t>
            </w:r>
            <w:r w:rsidR="00BD43B8">
              <w:t>arcinogenicity group and skin notation not assigned</w:t>
            </w:r>
          </w:p>
          <w:p w14:paraId="63C4386E" w14:textId="72DB01BD" w:rsidR="003C4FEE" w:rsidRDefault="00675C32" w:rsidP="00343F14">
            <w:pPr>
              <w:pStyle w:val="ListBullet"/>
              <w:tabs>
                <w:tab w:val="clear" w:pos="360"/>
              </w:tabs>
              <w:spacing w:before="0"/>
              <w:ind w:left="726" w:hanging="357"/>
              <w:contextualSpacing w:val="0"/>
            </w:pPr>
            <w:r>
              <w:t xml:space="preserve">Animal study indicated </w:t>
            </w:r>
            <w:r w:rsidR="00B13B85">
              <w:t>LOAEL</w:t>
            </w:r>
            <w:r w:rsidR="003C4FEE">
              <w:t xml:space="preserve"> of 400 ppm </w:t>
            </w:r>
            <w:r w:rsidR="00BD43B8">
              <w:t xml:space="preserve">(cerebellar degeneration, C57BL/6 </w:t>
            </w:r>
            <w:r w:rsidR="003C4FEE">
              <w:t>mice</w:t>
            </w:r>
            <w:r w:rsidR="00245941">
              <w:t>)</w:t>
            </w:r>
          </w:p>
          <w:p w14:paraId="6698CF78" w14:textId="77777777" w:rsidR="007E7995" w:rsidRPr="00433161" w:rsidRDefault="007E7995" w:rsidP="007E7995">
            <w:pPr>
              <w:pStyle w:val="ListBullet"/>
              <w:tabs>
                <w:tab w:val="clear" w:pos="360"/>
              </w:tabs>
              <w:ind w:left="731"/>
            </w:pPr>
            <w:r>
              <w:rPr>
                <w:rFonts w:cs="Arial"/>
              </w:rPr>
              <w:t>Insufficient data are available to derive a STEL</w:t>
            </w:r>
            <w:r w:rsidR="002E23BF">
              <w:rPr>
                <w:rFonts w:cs="Arial"/>
              </w:rPr>
              <w:t>.</w:t>
            </w:r>
            <w:r>
              <w:rPr>
                <w:rFonts w:cs="Arial"/>
              </w:rPr>
              <w:t xml:space="preserve"> </w:t>
            </w:r>
          </w:p>
          <w:p w14:paraId="2FB53D02" w14:textId="7E71961D" w:rsidR="00433161" w:rsidRPr="00DA352E" w:rsidRDefault="00433161" w:rsidP="00433161">
            <w:pPr>
              <w:pStyle w:val="ListBullet"/>
              <w:numPr>
                <w:ilvl w:val="0"/>
                <w:numId w:val="0"/>
              </w:numPr>
              <w:ind w:left="731"/>
            </w:pPr>
          </w:p>
        </w:tc>
      </w:tr>
      <w:tr w:rsidR="00DA352E" w:rsidRPr="00DA352E" w14:paraId="69FEA4A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6AA2FF6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EE04C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EE04CF">
                  <w:t>NA</w:t>
                </w:r>
              </w:sdtContent>
            </w:sdt>
          </w:p>
        </w:tc>
      </w:tr>
      <w:tr w:rsidR="00DA352E" w:rsidRPr="00DA352E" w14:paraId="40E8364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90005B7" w14:textId="77777777" w:rsidR="00DA352E" w:rsidRPr="00DA352E" w:rsidRDefault="00EE04CF" w:rsidP="003365A5">
            <w:pPr>
              <w:pStyle w:val="Tabletextprimarysource"/>
            </w:pPr>
            <w:r>
              <w:t>No report</w:t>
            </w:r>
          </w:p>
        </w:tc>
      </w:tr>
      <w:tr w:rsidR="00DA352E" w:rsidRPr="00DA352E" w14:paraId="0D0D3B1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776A10D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EE04CF">
                  <w:t>2004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EE04CF">
                  <w:t>NA</w:t>
                </w:r>
              </w:sdtContent>
            </w:sdt>
          </w:p>
        </w:tc>
      </w:tr>
      <w:tr w:rsidR="00DA352E" w:rsidRPr="00DA352E" w14:paraId="5E0FB44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FA123F2" w14:textId="77777777" w:rsidR="00EE04CF" w:rsidRDefault="00EE04CF" w:rsidP="00EE04CF">
            <w:pPr>
              <w:pStyle w:val="Tabletextprimarysource"/>
            </w:pPr>
            <w:r>
              <w:t>Summary of additional data:</w:t>
            </w:r>
          </w:p>
          <w:p w14:paraId="400A82E6" w14:textId="77777777" w:rsidR="00DA352E" w:rsidRDefault="00EE04CF" w:rsidP="00343F14">
            <w:pPr>
              <w:pStyle w:val="ListBullet"/>
              <w:tabs>
                <w:tab w:val="clear" w:pos="360"/>
              </w:tabs>
              <w:spacing w:before="0"/>
              <w:ind w:left="726" w:hanging="357"/>
              <w:contextualSpacing w:val="0"/>
            </w:pPr>
            <w:r>
              <w:t>No</w:t>
            </w:r>
            <w:r w:rsidR="002E23BF">
              <w:t xml:space="preserve"> human fertility, developmental</w:t>
            </w:r>
            <w:r>
              <w:t xml:space="preserve"> or lactation studies found regarding effects of exposure</w:t>
            </w:r>
            <w:r w:rsidR="00675C32">
              <w:t>.</w:t>
            </w:r>
          </w:p>
          <w:p w14:paraId="73ECCA09" w14:textId="5BC21773" w:rsidR="00433161" w:rsidRPr="00DA352E" w:rsidRDefault="00433161" w:rsidP="00433161">
            <w:pPr>
              <w:pStyle w:val="ListBullet"/>
              <w:numPr>
                <w:ilvl w:val="0"/>
                <w:numId w:val="0"/>
              </w:numPr>
              <w:ind w:left="731"/>
            </w:pPr>
          </w:p>
        </w:tc>
      </w:tr>
    </w:tbl>
    <w:p w14:paraId="1B83EF1F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4"/>
        <w:gridCol w:w="422"/>
        <w:gridCol w:w="661"/>
        <w:gridCol w:w="6449"/>
      </w:tblGrid>
      <w:tr w:rsidR="00B94FEC" w:rsidRPr="00263255" w14:paraId="1629DB25" w14:textId="77777777" w:rsidTr="00434B8C">
        <w:trPr>
          <w:cantSplit/>
          <w:trHeight w:val="393"/>
          <w:tblHeader/>
        </w:trPr>
        <w:tc>
          <w:tcPr>
            <w:tcW w:w="1494" w:type="dxa"/>
            <w:shd w:val="clear" w:color="auto" w:fill="BFBFBF" w:themeFill="background1" w:themeFillShade="BF"/>
            <w:vAlign w:val="center"/>
          </w:tcPr>
          <w:p w14:paraId="2F793E3F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5955C363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4A359843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9" w:type="dxa"/>
            <w:shd w:val="clear" w:color="auto" w:fill="BFBFBF" w:themeFill="background1" w:themeFillShade="BF"/>
            <w:vAlign w:val="center"/>
          </w:tcPr>
          <w:p w14:paraId="051F2061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B94FEC" w:rsidRPr="004C23F4" w14:paraId="4A911B8D" w14:textId="77777777" w:rsidTr="00CD5915">
        <w:trPr>
          <w:cantSplit/>
        </w:trPr>
        <w:tc>
          <w:tcPr>
            <w:tcW w:w="1494" w:type="dxa"/>
          </w:tcPr>
          <w:p w14:paraId="742EF322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2" w:type="dxa"/>
          </w:tcPr>
          <w:p w14:paraId="483264E0" w14:textId="5CBA75C3" w:rsidR="004966BF" w:rsidRPr="00CE617F" w:rsidRDefault="009473AB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884B8E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054B33A" w14:textId="01B5823A" w:rsidR="004966BF" w:rsidRPr="004C23F4" w:rsidRDefault="004A22B2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2014</w:t>
            </w:r>
          </w:p>
        </w:tc>
        <w:tc>
          <w:tcPr>
            <w:tcW w:w="6449" w:type="dxa"/>
          </w:tcPr>
          <w:p w14:paraId="7FD90B56" w14:textId="045B3ADB" w:rsidR="004966BF" w:rsidRDefault="00884B8E" w:rsidP="00884B8E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Harmful systemic effects following acute a</w:t>
            </w:r>
            <w:r w:rsidR="00675C32">
              <w:rPr>
                <w:rStyle w:val="checkbox"/>
                <w:rFonts w:ascii="Arial" w:hAnsi="Arial" w:cs="Arial"/>
              </w:rPr>
              <w:t>nd repeated inhalation exposure</w:t>
            </w:r>
          </w:p>
          <w:p w14:paraId="5C6C8758" w14:textId="36AF8315" w:rsidR="00884B8E" w:rsidRPr="00884B8E" w:rsidRDefault="00884B8E" w:rsidP="005642AE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NOAEC of 100</w:t>
            </w:r>
            <w:r w:rsidR="005642AE">
              <w:rPr>
                <w:rStyle w:val="checkbox"/>
                <w:rFonts w:ascii="Arial" w:hAnsi="Arial" w:cs="Arial"/>
              </w:rPr>
              <w:t>–</w:t>
            </w:r>
            <w:r>
              <w:rPr>
                <w:rStyle w:val="checkbox"/>
                <w:rFonts w:ascii="Arial" w:hAnsi="Arial" w:cs="Arial"/>
              </w:rPr>
              <w:t>200 mg/m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 xml:space="preserve"> (</w:t>
            </w:r>
            <w:r w:rsidR="008930E0">
              <w:rPr>
                <w:rStyle w:val="checkbox"/>
                <w:rFonts w:ascii="Arial" w:hAnsi="Arial" w:cs="Arial"/>
              </w:rPr>
              <w:t>50</w:t>
            </w:r>
            <w:r w:rsidR="005642AE">
              <w:rPr>
                <w:rStyle w:val="checkbox"/>
                <w:rFonts w:ascii="Arial" w:hAnsi="Arial" w:cs="Arial"/>
              </w:rPr>
              <w:t>–</w:t>
            </w:r>
            <w:r w:rsidR="008930E0">
              <w:rPr>
                <w:rStyle w:val="checkbox"/>
                <w:rFonts w:ascii="Arial" w:hAnsi="Arial" w:cs="Arial"/>
              </w:rPr>
              <w:t>100</w:t>
            </w:r>
            <w:r>
              <w:rPr>
                <w:rStyle w:val="checkbox"/>
                <w:rFonts w:ascii="Arial" w:hAnsi="Arial" w:cs="Arial"/>
              </w:rPr>
              <w:t xml:space="preserve"> ppm) for neurotoxicity indicated from human case studies.</w:t>
            </w:r>
          </w:p>
        </w:tc>
      </w:tr>
      <w:tr w:rsidR="00B94FEC" w:rsidRPr="004C23F4" w14:paraId="44DA9B4B" w14:textId="77777777" w:rsidTr="00CD5915">
        <w:trPr>
          <w:cantSplit/>
        </w:trPr>
        <w:tc>
          <w:tcPr>
            <w:tcW w:w="1494" w:type="dxa"/>
          </w:tcPr>
          <w:p w14:paraId="5DBCCE5C" w14:textId="77777777" w:rsidR="004966BF" w:rsidRPr="004C23F4" w:rsidRDefault="004966BF" w:rsidP="00224EE2">
            <w:pPr>
              <w:pStyle w:val="Tablefont"/>
            </w:pPr>
            <w:r>
              <w:t>IARC</w:t>
            </w:r>
          </w:p>
        </w:tc>
        <w:tc>
          <w:tcPr>
            <w:tcW w:w="422" w:type="dxa"/>
          </w:tcPr>
          <w:p w14:paraId="2F458E78" w14:textId="77777777" w:rsidR="004966BF" w:rsidRPr="00CE617F" w:rsidRDefault="009473AB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20BC8D26515A4C11AC6304FB75A7CBA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CB146C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1A774C6A" w14:textId="77777777" w:rsidR="004966BF" w:rsidRPr="004C23F4" w:rsidRDefault="003446D6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1999</w:t>
            </w:r>
          </w:p>
        </w:tc>
        <w:tc>
          <w:tcPr>
            <w:tcW w:w="6449" w:type="dxa"/>
          </w:tcPr>
          <w:p w14:paraId="6DBB4889" w14:textId="6F9C3D1F" w:rsidR="004966BF" w:rsidRPr="004C23F4" w:rsidRDefault="00CB146C" w:rsidP="00884B8E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Inadequate evidence of carcinogenicity in animals</w:t>
            </w:r>
            <w:r w:rsidR="00675C32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B94FEC" w:rsidRPr="004C23F4" w14:paraId="3773FF5E" w14:textId="77777777" w:rsidTr="00434B8C">
        <w:trPr>
          <w:cantSplit/>
        </w:trPr>
        <w:tc>
          <w:tcPr>
            <w:tcW w:w="1494" w:type="dxa"/>
          </w:tcPr>
          <w:p w14:paraId="6FD8262A" w14:textId="77777777" w:rsidR="004966BF" w:rsidRPr="004C23F4" w:rsidRDefault="004966BF" w:rsidP="00224EE2">
            <w:pPr>
              <w:pStyle w:val="Tablefont"/>
            </w:pPr>
            <w:r>
              <w:t>OECD</w:t>
            </w:r>
          </w:p>
        </w:tc>
        <w:tc>
          <w:tcPr>
            <w:tcW w:w="422" w:type="dxa"/>
          </w:tcPr>
          <w:p w14:paraId="523D0CF3" w14:textId="3299E266" w:rsidR="004966BF" w:rsidRPr="00CE617F" w:rsidRDefault="009473AB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491947220"/>
                <w:placeholder>
                  <w:docPart w:val="320A77D155374054996F168A20882C2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8930E0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B26A238" w14:textId="113E1ACA" w:rsidR="004966BF" w:rsidRPr="004C23F4" w:rsidRDefault="006B0DAD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2002</w:t>
            </w:r>
          </w:p>
        </w:tc>
        <w:tc>
          <w:tcPr>
            <w:tcW w:w="6449" w:type="dxa"/>
          </w:tcPr>
          <w:p w14:paraId="5583A125" w14:textId="6F20E0D5" w:rsidR="008930E0" w:rsidRDefault="008930E0" w:rsidP="00BD43B8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H</w:t>
            </w:r>
            <w:r w:rsidRPr="008930E0">
              <w:rPr>
                <w:rStyle w:val="checkbox"/>
                <w:rFonts w:ascii="Arial" w:hAnsi="Arial" w:cs="Arial"/>
              </w:rPr>
              <w:t>uman data consistently in</w:t>
            </w:r>
            <w:r>
              <w:rPr>
                <w:rStyle w:val="checkbox"/>
                <w:rFonts w:ascii="Arial" w:hAnsi="Arial" w:cs="Arial"/>
              </w:rPr>
              <w:t>dicate a NOEL of 100</w:t>
            </w:r>
            <w:r w:rsidR="00D1063C">
              <w:rPr>
                <w:rStyle w:val="checkbox"/>
                <w:rFonts w:ascii="Arial" w:hAnsi="Arial" w:cs="Arial"/>
              </w:rPr>
              <w:t>–</w:t>
            </w:r>
            <w:r>
              <w:rPr>
                <w:rStyle w:val="checkbox"/>
                <w:rFonts w:ascii="Arial" w:hAnsi="Arial" w:cs="Arial"/>
              </w:rPr>
              <w:t>200 mg/m</w:t>
            </w:r>
            <w:r w:rsidRPr="008930E0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="002E23BF">
              <w:rPr>
                <w:rStyle w:val="checkbox"/>
                <w:rFonts w:ascii="Arial" w:hAnsi="Arial" w:cs="Arial"/>
              </w:rPr>
              <w:t>/d</w:t>
            </w:r>
            <w:r w:rsidR="00D1063C">
              <w:rPr>
                <w:rStyle w:val="checkbox"/>
                <w:rFonts w:ascii="Arial" w:hAnsi="Arial" w:cs="Arial"/>
              </w:rPr>
              <w:t xml:space="preserve"> </w:t>
            </w:r>
            <w:r w:rsidRPr="008930E0">
              <w:rPr>
                <w:rStyle w:val="checkbox"/>
                <w:rFonts w:ascii="Arial" w:hAnsi="Arial" w:cs="Arial"/>
              </w:rPr>
              <w:t>(50</w:t>
            </w:r>
            <w:r w:rsidR="00D1063C">
              <w:rPr>
                <w:rStyle w:val="checkbox"/>
                <w:rFonts w:ascii="Arial" w:hAnsi="Arial" w:cs="Arial"/>
              </w:rPr>
              <w:t>–</w:t>
            </w:r>
            <w:r w:rsidRPr="008930E0">
              <w:rPr>
                <w:rStyle w:val="checkbox"/>
                <w:rFonts w:ascii="Arial" w:hAnsi="Arial" w:cs="Arial"/>
              </w:rPr>
              <w:t>100 ppm</w:t>
            </w:r>
            <w:r w:rsidR="002E23BF">
              <w:rPr>
                <w:rStyle w:val="checkbox"/>
                <w:rFonts w:ascii="Arial" w:hAnsi="Arial" w:cs="Arial"/>
              </w:rPr>
              <w:t>/d</w:t>
            </w:r>
            <w:r w:rsidRPr="008930E0">
              <w:rPr>
                <w:rStyle w:val="checkbox"/>
                <w:rFonts w:ascii="Arial" w:hAnsi="Arial" w:cs="Arial"/>
              </w:rPr>
              <w:t xml:space="preserve">) for all </w:t>
            </w:r>
            <w:r>
              <w:rPr>
                <w:rStyle w:val="checkbox"/>
                <w:rFonts w:ascii="Arial" w:hAnsi="Arial" w:cs="Arial"/>
              </w:rPr>
              <w:t xml:space="preserve">neurotoxic </w:t>
            </w:r>
            <w:r w:rsidRPr="008930E0">
              <w:rPr>
                <w:rStyle w:val="checkbox"/>
                <w:rFonts w:ascii="Arial" w:hAnsi="Arial" w:cs="Arial"/>
              </w:rPr>
              <w:t xml:space="preserve">effects </w:t>
            </w:r>
            <w:r w:rsidR="00BD43B8">
              <w:rPr>
                <w:rStyle w:val="checkbox"/>
                <w:rFonts w:ascii="Arial" w:hAnsi="Arial" w:cs="Arial"/>
              </w:rPr>
              <w:t>(inhalation)</w:t>
            </w:r>
          </w:p>
          <w:p w14:paraId="6429ECF3" w14:textId="6972A83B" w:rsidR="004966BF" w:rsidRPr="004C23F4" w:rsidRDefault="00D1063C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≤</w:t>
            </w:r>
            <w:r w:rsidR="008930E0" w:rsidRPr="008930E0">
              <w:rPr>
                <w:rStyle w:val="checkbox"/>
                <w:rFonts w:ascii="Arial" w:hAnsi="Arial" w:cs="Arial"/>
              </w:rPr>
              <w:t>200 mg/m</w:t>
            </w:r>
            <w:r w:rsidR="008930E0" w:rsidRPr="008930E0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="002E23BF">
              <w:rPr>
                <w:rStyle w:val="checkbox"/>
                <w:rFonts w:ascii="Arial" w:hAnsi="Arial" w:cs="Arial"/>
              </w:rPr>
              <w:t>/d</w:t>
            </w:r>
            <w:r w:rsidR="008930E0">
              <w:rPr>
                <w:rStyle w:val="checkbox"/>
                <w:rFonts w:ascii="Arial" w:hAnsi="Arial" w:cs="Arial"/>
              </w:rPr>
              <w:t xml:space="preserve"> </w:t>
            </w:r>
            <w:r w:rsidR="008930E0" w:rsidRPr="008930E0">
              <w:rPr>
                <w:rStyle w:val="checkbox"/>
                <w:rFonts w:ascii="Arial" w:hAnsi="Arial" w:cs="Arial"/>
              </w:rPr>
              <w:t>(100 ppm</w:t>
            </w:r>
            <w:r w:rsidR="002E23BF">
              <w:rPr>
                <w:rStyle w:val="checkbox"/>
                <w:rFonts w:ascii="Arial" w:hAnsi="Arial" w:cs="Arial"/>
              </w:rPr>
              <w:t>/d</w:t>
            </w:r>
            <w:r w:rsidR="008930E0">
              <w:rPr>
                <w:rStyle w:val="checkbox"/>
                <w:rFonts w:ascii="Arial" w:hAnsi="Arial" w:cs="Arial"/>
              </w:rPr>
              <w:t>)</w:t>
            </w:r>
            <w:r w:rsidR="008930E0" w:rsidRPr="008930E0">
              <w:rPr>
                <w:rStyle w:val="checkbox"/>
                <w:rFonts w:ascii="Arial" w:hAnsi="Arial" w:cs="Arial"/>
              </w:rPr>
              <w:t xml:space="preserve"> </w:t>
            </w:r>
            <w:r w:rsidR="008930E0">
              <w:rPr>
                <w:rStyle w:val="checkbox"/>
                <w:rFonts w:ascii="Arial" w:hAnsi="Arial" w:cs="Arial"/>
              </w:rPr>
              <w:t>produces n</w:t>
            </w:r>
            <w:r w:rsidR="008930E0" w:rsidRPr="008930E0">
              <w:rPr>
                <w:rStyle w:val="checkbox"/>
                <w:rFonts w:ascii="Arial" w:hAnsi="Arial" w:cs="Arial"/>
              </w:rPr>
              <w:t xml:space="preserve">o adverse effect </w:t>
            </w:r>
            <w:r w:rsidR="008930E0">
              <w:rPr>
                <w:rStyle w:val="checkbox"/>
                <w:rFonts w:ascii="Arial" w:hAnsi="Arial" w:cs="Arial"/>
              </w:rPr>
              <w:t>in</w:t>
            </w:r>
            <w:r w:rsidR="008930E0" w:rsidRPr="008930E0">
              <w:rPr>
                <w:rStyle w:val="checkbox"/>
                <w:rFonts w:ascii="Arial" w:hAnsi="Arial" w:cs="Arial"/>
              </w:rPr>
              <w:t xml:space="preserve"> repeated, prolonged daily </w:t>
            </w:r>
            <w:r w:rsidR="008930E0">
              <w:rPr>
                <w:rStyle w:val="checkbox"/>
                <w:rFonts w:ascii="Arial" w:hAnsi="Arial" w:cs="Arial"/>
              </w:rPr>
              <w:t xml:space="preserve">occupational exposure. However, </w:t>
            </w:r>
            <w:r w:rsidR="008930E0" w:rsidRPr="008930E0">
              <w:rPr>
                <w:rStyle w:val="checkbox"/>
                <w:rFonts w:ascii="Arial" w:hAnsi="Arial" w:cs="Arial"/>
              </w:rPr>
              <w:t xml:space="preserve">CNS effects occurred </w:t>
            </w:r>
            <w:r w:rsidR="008930E0">
              <w:rPr>
                <w:rStyle w:val="checkbox"/>
                <w:rFonts w:ascii="Arial" w:hAnsi="Arial" w:cs="Arial"/>
              </w:rPr>
              <w:t>at long-term average exposure of 400 mg/</w:t>
            </w:r>
            <w:r w:rsidR="008930E0" w:rsidRPr="008930E0">
              <w:rPr>
                <w:rStyle w:val="checkbox"/>
                <w:rFonts w:ascii="Arial" w:hAnsi="Arial" w:cs="Arial"/>
              </w:rPr>
              <w:t>m</w:t>
            </w:r>
            <w:r w:rsidR="008930E0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="002E23BF">
              <w:rPr>
                <w:rStyle w:val="checkbox"/>
                <w:rFonts w:ascii="Arial" w:hAnsi="Arial" w:cs="Arial"/>
              </w:rPr>
              <w:t xml:space="preserve">/d </w:t>
            </w:r>
            <w:r w:rsidR="008930E0">
              <w:rPr>
                <w:rStyle w:val="checkbox"/>
                <w:rFonts w:ascii="Arial" w:hAnsi="Arial" w:cs="Arial"/>
              </w:rPr>
              <w:t>(200 ppm</w:t>
            </w:r>
            <w:r w:rsidR="002E23BF">
              <w:rPr>
                <w:rStyle w:val="checkbox"/>
                <w:rFonts w:ascii="Arial" w:hAnsi="Arial" w:cs="Arial"/>
              </w:rPr>
              <w:t>/d</w:t>
            </w:r>
            <w:r w:rsidR="008930E0">
              <w:rPr>
                <w:rStyle w:val="checkbox"/>
                <w:rFonts w:ascii="Arial" w:hAnsi="Arial" w:cs="Arial"/>
              </w:rPr>
              <w:t>).</w:t>
            </w:r>
          </w:p>
        </w:tc>
      </w:tr>
    </w:tbl>
    <w:bookmarkEnd w:id="0"/>
    <w:p w14:paraId="040E5BCA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9"/>
        <w:gridCol w:w="2417"/>
      </w:tblGrid>
      <w:tr w:rsidR="002E0D61" w14:paraId="1270A61B" w14:textId="77777777" w:rsidTr="00675C32">
        <w:trPr>
          <w:trHeight w:val="454"/>
          <w:tblHeader/>
        </w:trPr>
        <w:tc>
          <w:tcPr>
            <w:tcW w:w="6609" w:type="dxa"/>
            <w:vAlign w:val="center"/>
          </w:tcPr>
          <w:p w14:paraId="35E410A1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095EBC76" w14:textId="77777777" w:rsidR="002E0D61" w:rsidRDefault="00011402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2252ED04" w14:textId="77777777" w:rsidTr="00675C32">
        <w:trPr>
          <w:trHeight w:val="454"/>
        </w:trPr>
        <w:tc>
          <w:tcPr>
            <w:tcW w:w="6609" w:type="dxa"/>
            <w:vAlign w:val="center"/>
          </w:tcPr>
          <w:p w14:paraId="06A105DF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6A6AE7FE" w14:textId="77777777" w:rsidR="008A36CF" w:rsidRDefault="00011402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5748FDD9" w14:textId="77777777" w:rsidTr="00675C32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9" w:type="dxa"/>
                <w:vAlign w:val="center"/>
              </w:tcPr>
              <w:p w14:paraId="625B81F3" w14:textId="77777777" w:rsidR="008A36CF" w:rsidRPr="006901A2" w:rsidRDefault="00011402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17" w:type="dxa"/>
            <w:vAlign w:val="center"/>
          </w:tcPr>
          <w:p w14:paraId="6B953CC3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4C23109A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12609D73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840CC64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68EE2078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6D7A8B0B" w14:textId="77777777" w:rsidTr="00812887">
        <w:trPr>
          <w:cantSplit/>
        </w:trPr>
        <w:tc>
          <w:tcPr>
            <w:tcW w:w="3227" w:type="dxa"/>
          </w:tcPr>
          <w:p w14:paraId="1F84EFF0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49F595A4" w14:textId="7ADDA738" w:rsidR="00687890" w:rsidRPr="00DD2F9B" w:rsidRDefault="00A31B4D" w:rsidP="00E34335">
            <w:pPr>
              <w:pStyle w:val="Tablefont"/>
            </w:pPr>
            <w:r>
              <w:t>Carc. 2</w:t>
            </w:r>
            <w:r w:rsidR="004E250B">
              <w:t>, Sk</w:t>
            </w:r>
            <w:r w:rsidR="00E34335">
              <w:t>in</w:t>
            </w:r>
          </w:p>
        </w:tc>
      </w:tr>
      <w:tr w:rsidR="007925F0" w:rsidRPr="004C23F4" w14:paraId="0A9F6271" w14:textId="77777777" w:rsidTr="00812887">
        <w:trPr>
          <w:cantSplit/>
        </w:trPr>
        <w:tc>
          <w:tcPr>
            <w:tcW w:w="3227" w:type="dxa"/>
          </w:tcPr>
          <w:p w14:paraId="1135165E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3CA7C0E2" w14:textId="305AFBEE" w:rsidR="007925F0" w:rsidRPr="00DD2F9B" w:rsidRDefault="00635EF2" w:rsidP="00DD2F9B">
            <w:pPr>
              <w:pStyle w:val="Tablefont"/>
            </w:pPr>
            <w:r>
              <w:t>Carcinogenicity – category 2</w:t>
            </w:r>
          </w:p>
        </w:tc>
      </w:tr>
      <w:tr w:rsidR="00AF483F" w:rsidRPr="004C23F4" w14:paraId="1613F11E" w14:textId="77777777" w:rsidTr="00812887">
        <w:trPr>
          <w:cantSplit/>
        </w:trPr>
        <w:tc>
          <w:tcPr>
            <w:tcW w:w="3227" w:type="dxa"/>
          </w:tcPr>
          <w:p w14:paraId="1F902F57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7974EF79" w14:textId="7F1F2E43" w:rsidR="00AF483F" w:rsidRPr="00DD2F9B" w:rsidRDefault="00CD7ECF" w:rsidP="00DD2F9B">
            <w:pPr>
              <w:pStyle w:val="Tablefont"/>
            </w:pPr>
            <w:r w:rsidRPr="00CD7ECF">
              <w:t>Carc. Cat</w:t>
            </w:r>
            <w:r>
              <w:t>.</w:t>
            </w:r>
            <w:r w:rsidRPr="00CD7ECF">
              <w:t xml:space="preserve"> 3</w:t>
            </w:r>
          </w:p>
        </w:tc>
      </w:tr>
      <w:tr w:rsidR="00687890" w:rsidRPr="004C23F4" w14:paraId="15118C58" w14:textId="77777777" w:rsidTr="00812887">
        <w:trPr>
          <w:cantSplit/>
        </w:trPr>
        <w:tc>
          <w:tcPr>
            <w:tcW w:w="3227" w:type="dxa"/>
          </w:tcPr>
          <w:p w14:paraId="1615BEA1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B3ED8D7" w14:textId="2F45BE88" w:rsidR="00687890" w:rsidRPr="00DD2F9B" w:rsidRDefault="00635EF2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674A03D0" w14:textId="77777777" w:rsidTr="00812887">
        <w:trPr>
          <w:cantSplit/>
        </w:trPr>
        <w:tc>
          <w:tcPr>
            <w:tcW w:w="3227" w:type="dxa"/>
          </w:tcPr>
          <w:p w14:paraId="5D41D672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41CCC262" w14:textId="14C1EFC5" w:rsidR="00E41A26" w:rsidRPr="00DD2F9B" w:rsidRDefault="00635EF2" w:rsidP="00DD2F9B">
            <w:pPr>
              <w:pStyle w:val="Tablefont"/>
            </w:pPr>
            <w:r>
              <w:t>Carcinogenicity – category 2</w:t>
            </w:r>
          </w:p>
        </w:tc>
      </w:tr>
      <w:tr w:rsidR="002E0D61" w:rsidRPr="004C23F4" w14:paraId="5FF025D2" w14:textId="77777777" w:rsidTr="00812887">
        <w:trPr>
          <w:cantSplit/>
        </w:trPr>
        <w:tc>
          <w:tcPr>
            <w:tcW w:w="3227" w:type="dxa"/>
          </w:tcPr>
          <w:p w14:paraId="1D813714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012ABF0E" w14:textId="00ECED5E" w:rsidR="002E0D61" w:rsidRPr="00DD2F9B" w:rsidRDefault="00635EF2" w:rsidP="00DD2F9B">
            <w:pPr>
              <w:pStyle w:val="Tablefont"/>
            </w:pPr>
            <w:r>
              <w:t xml:space="preserve">Carcinogenicity – A4, </w:t>
            </w:r>
            <w:r w:rsidR="00CA3F12">
              <w:t>Skin</w:t>
            </w:r>
          </w:p>
        </w:tc>
      </w:tr>
      <w:tr w:rsidR="002E0D61" w:rsidRPr="004C23F4" w14:paraId="23ADBB45" w14:textId="77777777" w:rsidTr="00812887">
        <w:trPr>
          <w:cantSplit/>
        </w:trPr>
        <w:tc>
          <w:tcPr>
            <w:tcW w:w="3227" w:type="dxa"/>
          </w:tcPr>
          <w:p w14:paraId="1AE7C9CD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49357A9D" w14:textId="64B131F4" w:rsidR="002E0D61" w:rsidRPr="00DD2F9B" w:rsidRDefault="004E250B" w:rsidP="00DD2F9B">
            <w:pPr>
              <w:pStyle w:val="Tablefont"/>
            </w:pPr>
            <w:r>
              <w:t xml:space="preserve">Carcinogenicity – 3B, </w:t>
            </w:r>
            <w:r w:rsidR="00631AC5">
              <w:t xml:space="preserve">H </w:t>
            </w:r>
            <w:r>
              <w:t>(skin)</w:t>
            </w:r>
          </w:p>
        </w:tc>
      </w:tr>
      <w:tr w:rsidR="002E0D61" w:rsidRPr="004C23F4" w14:paraId="1C53D0B0" w14:textId="77777777" w:rsidTr="00812887">
        <w:trPr>
          <w:cantSplit/>
        </w:trPr>
        <w:tc>
          <w:tcPr>
            <w:tcW w:w="3227" w:type="dxa"/>
          </w:tcPr>
          <w:p w14:paraId="5AF5FE90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2A33B281" w14:textId="77777777" w:rsidR="002E0D61" w:rsidRPr="00DD2F9B" w:rsidRDefault="00A31B4D" w:rsidP="00DD2F9B">
            <w:pPr>
              <w:pStyle w:val="Tablefont"/>
            </w:pPr>
            <w:r>
              <w:t xml:space="preserve">— </w:t>
            </w:r>
          </w:p>
        </w:tc>
      </w:tr>
      <w:tr w:rsidR="002E0D61" w:rsidRPr="004C23F4" w14:paraId="1093916C" w14:textId="77777777" w:rsidTr="00812887">
        <w:trPr>
          <w:cantSplit/>
        </w:trPr>
        <w:tc>
          <w:tcPr>
            <w:tcW w:w="3227" w:type="dxa"/>
          </w:tcPr>
          <w:p w14:paraId="5679B0E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158453E7" w14:textId="77777777" w:rsidR="002E0D61" w:rsidRPr="00DD2F9B" w:rsidRDefault="00A31B4D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23ED214C" w14:textId="77777777" w:rsidTr="00812887">
        <w:trPr>
          <w:cantSplit/>
        </w:trPr>
        <w:tc>
          <w:tcPr>
            <w:tcW w:w="3227" w:type="dxa"/>
          </w:tcPr>
          <w:p w14:paraId="083EA12C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65B9CCA7" w14:textId="6E25D102" w:rsidR="00386093" w:rsidRPr="00DD2F9B" w:rsidRDefault="00CD7ECF" w:rsidP="00DD2F9B">
            <w:pPr>
              <w:pStyle w:val="Tablefont"/>
            </w:pPr>
            <w:r w:rsidRPr="00CD7ECF">
              <w:t>Carcinogenicity – Group 3</w:t>
            </w:r>
          </w:p>
        </w:tc>
      </w:tr>
      <w:tr w:rsidR="00386093" w:rsidRPr="004C23F4" w14:paraId="39978DB3" w14:textId="77777777" w:rsidTr="00812887">
        <w:trPr>
          <w:cantSplit/>
        </w:trPr>
        <w:tc>
          <w:tcPr>
            <w:tcW w:w="3227" w:type="dxa"/>
          </w:tcPr>
          <w:p w14:paraId="5B23396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715DE142" w14:textId="5EF29145" w:rsidR="00386093" w:rsidRPr="00DD2F9B" w:rsidRDefault="00CD7ECF" w:rsidP="00D87570">
            <w:pPr>
              <w:pStyle w:val="Tablefont"/>
              <w:keepNext/>
            </w:pPr>
            <w:r>
              <w:t>—</w:t>
            </w:r>
          </w:p>
        </w:tc>
      </w:tr>
    </w:tbl>
    <w:bookmarkEnd w:id="2"/>
    <w:p w14:paraId="0623D516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27B2644B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7BA9FB83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01BE46AD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2AD0577D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530"/>
              <w:gridCol w:w="1541"/>
              <w:gridCol w:w="1163"/>
              <w:gridCol w:w="2576"/>
            </w:tblGrid>
            <w:tr w:rsidR="00101290" w:rsidRPr="00101290" w14:paraId="50A26773" w14:textId="77777777" w:rsidTr="00343F14">
              <w:trPr>
                <w:trHeight w:val="342"/>
              </w:trPr>
              <w:tc>
                <w:tcPr>
                  <w:tcW w:w="200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E85D29" w14:textId="77777777" w:rsidR="00101290" w:rsidRPr="00101290" w:rsidRDefault="00101290" w:rsidP="0010129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012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8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464AAC16" w14:textId="77777777" w:rsidR="00101290" w:rsidRPr="00101290" w:rsidRDefault="00101290" w:rsidP="0010129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101290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66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9B898B1" w14:textId="77777777" w:rsidR="00101290" w:rsidRPr="00101290" w:rsidRDefault="00101290" w:rsidP="0010129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0129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146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C689D3" w14:textId="77777777" w:rsidR="00101290" w:rsidRPr="00101290" w:rsidRDefault="00101290" w:rsidP="0010129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012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01290" w:rsidRPr="00101290" w14:paraId="5A6C2995" w14:textId="77777777" w:rsidTr="00343F14">
              <w:trPr>
                <w:trHeight w:val="342"/>
              </w:trPr>
              <w:tc>
                <w:tcPr>
                  <w:tcW w:w="200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67941A" w14:textId="77777777" w:rsidR="00101290" w:rsidRPr="00101290" w:rsidRDefault="00101290" w:rsidP="0010129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012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1012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1012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8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DA95D71" w14:textId="4DD753EE" w:rsidR="00101290" w:rsidRPr="00101290" w:rsidRDefault="00B560BB" w:rsidP="0010129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N/A</w:t>
                  </w:r>
                  <w:r w:rsidR="00101290" w:rsidRPr="001012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6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72BA80" w14:textId="77777777" w:rsidR="00101290" w:rsidRPr="00101290" w:rsidRDefault="00101290" w:rsidP="0010129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0129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46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D69AF04" w14:textId="77777777" w:rsidR="00101290" w:rsidRPr="00101290" w:rsidRDefault="00101290" w:rsidP="0010129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012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01290" w:rsidRPr="00101290" w14:paraId="7ED01C67" w14:textId="77777777" w:rsidTr="00343F14">
              <w:trPr>
                <w:trHeight w:val="342"/>
              </w:trPr>
              <w:tc>
                <w:tcPr>
                  <w:tcW w:w="200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2842029" w14:textId="77777777" w:rsidR="00101290" w:rsidRPr="00101290" w:rsidRDefault="00101290" w:rsidP="0010129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012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8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D26F02" w14:textId="77777777" w:rsidR="00101290" w:rsidRPr="00101290" w:rsidRDefault="00101290" w:rsidP="0010129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012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6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0F9565B" w14:textId="77777777" w:rsidR="00101290" w:rsidRPr="00101290" w:rsidRDefault="00101290" w:rsidP="0010129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0129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46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729523" w14:textId="77777777" w:rsidR="00101290" w:rsidRPr="00101290" w:rsidRDefault="00101290" w:rsidP="0010129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012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01290" w:rsidRPr="00101290" w14:paraId="5AD22B10" w14:textId="77777777" w:rsidTr="00343F14">
              <w:trPr>
                <w:trHeight w:val="342"/>
              </w:trPr>
              <w:tc>
                <w:tcPr>
                  <w:tcW w:w="200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0DEA092" w14:textId="77777777" w:rsidR="00101290" w:rsidRPr="00101290" w:rsidRDefault="00101290" w:rsidP="0010129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012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1012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1012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1012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1012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8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7C2ABF9" w14:textId="77777777" w:rsidR="00101290" w:rsidRPr="00101290" w:rsidRDefault="00101290" w:rsidP="0010129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012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6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24C4C5F" w14:textId="77777777" w:rsidR="00101290" w:rsidRPr="00101290" w:rsidRDefault="00101290" w:rsidP="0010129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0129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46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1A94FB" w14:textId="77777777" w:rsidR="00101290" w:rsidRPr="00101290" w:rsidRDefault="00101290" w:rsidP="0010129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012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01290" w:rsidRPr="00101290" w14:paraId="3C53567D" w14:textId="77777777" w:rsidTr="00343F14">
              <w:trPr>
                <w:trHeight w:val="342"/>
              </w:trPr>
              <w:tc>
                <w:tcPr>
                  <w:tcW w:w="200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CAE266" w14:textId="77777777" w:rsidR="00101290" w:rsidRPr="00101290" w:rsidRDefault="00101290" w:rsidP="0010129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101290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1012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8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5C37E0" w14:textId="77777777" w:rsidR="00101290" w:rsidRPr="00101290" w:rsidRDefault="00101290" w:rsidP="0010129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012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6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9D85788" w14:textId="77777777" w:rsidR="00101290" w:rsidRPr="00101290" w:rsidRDefault="00101290" w:rsidP="0010129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0129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46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A2B700" w14:textId="77777777" w:rsidR="00101290" w:rsidRPr="00101290" w:rsidRDefault="00101290" w:rsidP="0010129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012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01290" w:rsidRPr="00101290" w14:paraId="62BB23FD" w14:textId="77777777" w:rsidTr="00343F14">
              <w:trPr>
                <w:trHeight w:val="342"/>
              </w:trPr>
              <w:tc>
                <w:tcPr>
                  <w:tcW w:w="200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29CAEE" w14:textId="77777777" w:rsidR="00101290" w:rsidRPr="00101290" w:rsidRDefault="00101290" w:rsidP="0010129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012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8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25AFE47" w14:textId="77777777" w:rsidR="00101290" w:rsidRPr="00101290" w:rsidRDefault="00101290" w:rsidP="0010129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012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6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D9C042" w14:textId="77777777" w:rsidR="00101290" w:rsidRPr="00101290" w:rsidRDefault="00101290" w:rsidP="0010129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0129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46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B19558" w14:textId="77777777" w:rsidR="00101290" w:rsidRPr="00101290" w:rsidRDefault="00101290" w:rsidP="0010129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012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01290" w:rsidRPr="00101290" w14:paraId="236AD228" w14:textId="77777777" w:rsidTr="00343F14">
              <w:trPr>
                <w:trHeight w:val="342"/>
              </w:trPr>
              <w:tc>
                <w:tcPr>
                  <w:tcW w:w="200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6084A4" w14:textId="77777777" w:rsidR="00101290" w:rsidRPr="00101290" w:rsidRDefault="00101290" w:rsidP="0010129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012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CD585A" w14:textId="77777777" w:rsidR="00101290" w:rsidRPr="00101290" w:rsidRDefault="00101290" w:rsidP="0010129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012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6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C34731" w14:textId="77777777" w:rsidR="00101290" w:rsidRPr="00101290" w:rsidRDefault="00101290" w:rsidP="0010129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0129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46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78EFC1D" w14:textId="77777777" w:rsidR="00101290" w:rsidRPr="00101290" w:rsidRDefault="00101290" w:rsidP="00101290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101290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4322D84A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15B930A0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45BABE04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7C8B3846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03FAC095" w14:textId="77777777" w:rsidR="00EB3D1B" w:rsidRDefault="00D16C39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2818678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4111"/>
        <w:gridCol w:w="4915"/>
      </w:tblGrid>
      <w:tr w:rsidR="001B79E5" w:rsidRPr="004C23F4" w14:paraId="2C94F203" w14:textId="77777777" w:rsidTr="00536AD3">
        <w:trPr>
          <w:cantSplit/>
          <w:tblHeader/>
        </w:trPr>
        <w:tc>
          <w:tcPr>
            <w:tcW w:w="4111" w:type="dxa"/>
            <w:vAlign w:val="center"/>
          </w:tcPr>
          <w:p w14:paraId="4B48C291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4915" w:type="dxa"/>
                <w:vAlign w:val="center"/>
              </w:tcPr>
              <w:p w14:paraId="415D1FAC" w14:textId="77777777" w:rsidR="001B79E5" w:rsidRDefault="007C22BE" w:rsidP="001B79E5">
                <w:pPr>
                  <w:pStyle w:val="Tablefont"/>
                </w:pPr>
                <w:r>
                  <w:t>50.49</w:t>
                </w:r>
              </w:p>
            </w:tc>
          </w:sdtContent>
        </w:sdt>
      </w:tr>
      <w:tr w:rsidR="00A31D99" w:rsidRPr="004C23F4" w14:paraId="4E84EBF6" w14:textId="77777777" w:rsidTr="00536AD3">
        <w:trPr>
          <w:cantSplit/>
          <w:tblHeader/>
        </w:trPr>
        <w:tc>
          <w:tcPr>
            <w:tcW w:w="4111" w:type="dxa"/>
            <w:vAlign w:val="center"/>
          </w:tcPr>
          <w:p w14:paraId="69151F79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4915" w:type="dxa"/>
            <w:vAlign w:val="center"/>
          </w:tcPr>
          <w:p w14:paraId="6A65629C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6341F9">
                  <w:t>2.09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6341F9">
                  <w:t>0.477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7912C99F" w14:textId="77777777" w:rsidTr="00536AD3">
        <w:trPr>
          <w:cantSplit/>
          <w:tblHeader/>
        </w:trPr>
        <w:tc>
          <w:tcPr>
            <w:tcW w:w="4111" w:type="dxa"/>
            <w:vAlign w:val="center"/>
          </w:tcPr>
          <w:p w14:paraId="5C5D2EC8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4915" w:type="dxa"/>
                <w:vAlign w:val="center"/>
              </w:tcPr>
              <w:p w14:paraId="7DD89681" w14:textId="77777777" w:rsidR="00687890" w:rsidRPr="004C23F4" w:rsidRDefault="007C22BE" w:rsidP="00717D45">
                <w:pPr>
                  <w:pStyle w:val="Tablefon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87890" w:rsidRPr="004C23F4" w14:paraId="7A2D7324" w14:textId="77777777" w:rsidTr="00536AD3">
        <w:trPr>
          <w:cantSplit/>
        </w:trPr>
        <w:tc>
          <w:tcPr>
            <w:tcW w:w="4111" w:type="dxa"/>
            <w:vAlign w:val="center"/>
          </w:tcPr>
          <w:p w14:paraId="60CDD537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4915" w:type="dxa"/>
                <w:vAlign w:val="center"/>
              </w:tcPr>
              <w:p w14:paraId="537993F1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8CFDB97" w14:textId="77777777" w:rsidTr="00536AD3">
        <w:trPr>
          <w:cantSplit/>
        </w:trPr>
        <w:tc>
          <w:tcPr>
            <w:tcW w:w="4111" w:type="dxa"/>
            <w:vAlign w:val="center"/>
          </w:tcPr>
          <w:p w14:paraId="3CA7302D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4915" w:type="dxa"/>
                <w:vAlign w:val="center"/>
              </w:tcPr>
              <w:p w14:paraId="74F0112D" w14:textId="77777777" w:rsidR="00687890" w:rsidRPr="004C23F4" w:rsidRDefault="007C22BE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E06F40" w:rsidRPr="004C23F4" w14:paraId="418815F2" w14:textId="77777777" w:rsidTr="00536AD3">
        <w:trPr>
          <w:cantSplit/>
        </w:trPr>
        <w:tc>
          <w:tcPr>
            <w:tcW w:w="4111" w:type="dxa"/>
            <w:vAlign w:val="center"/>
          </w:tcPr>
          <w:p w14:paraId="19280D9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4915" w:type="dxa"/>
            <w:vAlign w:val="center"/>
          </w:tcPr>
          <w:p w14:paraId="309E3C9D" w14:textId="77777777" w:rsidR="00E06F40" w:rsidRPr="00A006A0" w:rsidRDefault="009473AB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1CBEC69F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0A4DA2AA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5DD69634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0C4D3DEF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5738494F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5F660702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6827BADB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5614F2A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2126D494" w14:textId="6F1B0190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1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5CEAB4BD" w14:textId="7F4DB70A" w:rsidR="008406CF" w:rsidRDefault="008406CF" w:rsidP="008406CF">
      <w:r w:rsidRPr="00CD1834">
        <w:t>Deutsche Forschungsgemeinschaft (DFG) (</w:t>
      </w:r>
      <w:r>
        <w:t>1984, 2001</w:t>
      </w:r>
      <w:r w:rsidRPr="00CD1834">
        <w:t xml:space="preserve">) </w:t>
      </w:r>
      <w:r>
        <w:t>Methyl Chloride (1984, 2001)</w:t>
      </w:r>
      <w:r w:rsidRPr="00CD1834">
        <w:t xml:space="preserve"> – MAK value documentation.</w:t>
      </w:r>
    </w:p>
    <w:p w14:paraId="448F4A3F" w14:textId="34B2E3A6" w:rsidR="006B0DAD" w:rsidRDefault="006B0DAD" w:rsidP="008406CF">
      <w:r w:rsidRPr="006B0DAD">
        <w:t>EU Scientific Committee on Occupational Exposure Limits (SCOEL)</w:t>
      </w:r>
      <w:r>
        <w:t xml:space="preserve"> (2016) – SCOEL/REC/191 Chloromethane – </w:t>
      </w:r>
      <w:r w:rsidR="002127BD">
        <w:t>r</w:t>
      </w:r>
      <w:r>
        <w:t>ecommendation report</w:t>
      </w:r>
      <w:r w:rsidR="002127BD">
        <w:t>.</w:t>
      </w:r>
    </w:p>
    <w:p w14:paraId="10A68ADB" w14:textId="148FDE79" w:rsidR="00F1371C" w:rsidRDefault="00F1371C" w:rsidP="008406CF">
      <w:r w:rsidRPr="002528C8">
        <w:t>Health Council</w:t>
      </w:r>
      <w:r>
        <w:t xml:space="preserve"> of the Netherlands (HCOTN) (2004</w:t>
      </w:r>
      <w:r w:rsidRPr="002528C8">
        <w:t xml:space="preserve">) </w:t>
      </w:r>
      <w:r>
        <w:t>Methy</w:t>
      </w:r>
      <w:r w:rsidR="00E3763D">
        <w:t>l</w:t>
      </w:r>
      <w:r>
        <w:t>chloride</w:t>
      </w:r>
      <w:r w:rsidRPr="002528C8">
        <w:t xml:space="preserve">. Health-based </w:t>
      </w:r>
      <w:r>
        <w:t>recommended</w:t>
      </w:r>
      <w:r w:rsidRPr="002528C8">
        <w:t xml:space="preserve"> occupational cancer risk values. The Hague: Health Council of the Netherlands; publication no. 2012/32.</w:t>
      </w:r>
    </w:p>
    <w:p w14:paraId="15852027" w14:textId="77777777" w:rsidR="00CD7ECF" w:rsidRPr="00351FE0" w:rsidRDefault="00CD7ECF" w:rsidP="00CD7ECF">
      <w:r w:rsidRPr="002022B6">
        <w:t>International Agency for Research on Cancer</w:t>
      </w:r>
      <w:r>
        <w:t xml:space="preserve"> (IARC) (1999) Methyl chloride. IARC Monographs on the evaluation of the carcinogenic risk to humans.</w:t>
      </w:r>
    </w:p>
    <w:p w14:paraId="33248CC1" w14:textId="2358D86D" w:rsidR="008406CF" w:rsidRDefault="008406CF" w:rsidP="008406CF">
      <w:r w:rsidRPr="00F52BAD">
        <w:lastRenderedPageBreak/>
        <w:t>National Industrial Chemicals Notification and Assessment Scheme (NICNAS) (</w:t>
      </w:r>
      <w:r w:rsidR="00CD7ECF" w:rsidRPr="00F52BAD">
        <w:t>201</w:t>
      </w:r>
      <w:r w:rsidR="00CD7ECF">
        <w:t>4</w:t>
      </w:r>
      <w:r w:rsidRPr="00F52BAD">
        <w:t xml:space="preserve">) </w:t>
      </w:r>
      <w:r w:rsidR="004C34D8">
        <w:t xml:space="preserve">Methane, </w:t>
      </w:r>
      <w:r w:rsidR="004C34D8">
        <w:noBreakHyphen/>
        <w:t>chloro</w:t>
      </w:r>
      <w:r w:rsidRPr="00F52BAD">
        <w:t>: Human health tier II assessment – IMAP report.</w:t>
      </w:r>
      <w:r w:rsidR="004C34D8">
        <w:t xml:space="preserve"> </w:t>
      </w:r>
    </w:p>
    <w:p w14:paraId="01CE2F23" w14:textId="77777777" w:rsidR="00434B8C" w:rsidRDefault="00434B8C" w:rsidP="00434B8C">
      <w:r w:rsidRPr="006B0DAD">
        <w:t>Organisation for Economic Cooperation and Development (OECD)</w:t>
      </w:r>
      <w:r>
        <w:t xml:space="preserve"> (2002), Chloromethane – SIDS initial assessment report.</w:t>
      </w:r>
    </w:p>
    <w:p w14:paraId="666E8984" w14:textId="3A6AB61C" w:rsidR="00CD7ECF" w:rsidRDefault="00CD7ECF" w:rsidP="008406CF">
      <w:r w:rsidRPr="00181257">
        <w:t xml:space="preserve">US </w:t>
      </w:r>
      <w:r>
        <w:t xml:space="preserve">National institute for Occupational Safety and Health (NIOSH) (1994) Immediately dangerous to life and health concentrations – Methyl chloride. </w:t>
      </w:r>
    </w:p>
    <w:p w14:paraId="2BB3D399" w14:textId="22774C04" w:rsidR="00F1371C" w:rsidRPr="00351FE0" w:rsidRDefault="00F1371C"/>
    <w:sectPr w:rsidR="00F1371C" w:rsidRPr="00351FE0" w:rsidSect="00B87D4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0C6601" w14:textId="77777777" w:rsidR="008D56D3" w:rsidRDefault="008D56D3" w:rsidP="00F43AD5">
      <w:pPr>
        <w:spacing w:after="0" w:line="240" w:lineRule="auto"/>
      </w:pPr>
      <w:r>
        <w:separator/>
      </w:r>
    </w:p>
  </w:endnote>
  <w:endnote w:type="continuationSeparator" w:id="0">
    <w:p w14:paraId="09050288" w14:textId="77777777" w:rsidR="008D56D3" w:rsidRDefault="008D56D3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63530" w14:textId="77777777" w:rsidR="00563F51" w:rsidRDefault="00563F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A77B77B" w14:textId="346D3777" w:rsidR="00563F51" w:rsidRDefault="00563F51" w:rsidP="00563F51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Methyl chloride (74-87-3)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4DC6AC5F" w14:textId="33626C70" w:rsidR="00563F51" w:rsidRPr="00F43AD5" w:rsidRDefault="00563F51" w:rsidP="00563F51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B86D09">
          <w:rPr>
            <w:noProof/>
            <w:sz w:val="18"/>
            <w:szCs w:val="18"/>
          </w:rPr>
          <w:t>7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  <w:p w14:paraId="225619DB" w14:textId="77777777" w:rsidR="00563F51" w:rsidRDefault="00563F5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41895" w14:textId="77777777" w:rsidR="00563F51" w:rsidRDefault="00563F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B19D37" w14:textId="77777777" w:rsidR="008D56D3" w:rsidRDefault="008D56D3" w:rsidP="00F43AD5">
      <w:pPr>
        <w:spacing w:after="0" w:line="240" w:lineRule="auto"/>
      </w:pPr>
      <w:r>
        <w:separator/>
      </w:r>
    </w:p>
  </w:footnote>
  <w:footnote w:type="continuationSeparator" w:id="0">
    <w:p w14:paraId="6B4CC49A" w14:textId="77777777" w:rsidR="008D56D3" w:rsidRDefault="008D56D3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09100" w14:textId="77777777" w:rsidR="00563F51" w:rsidRDefault="00563F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66C139" w14:textId="25A5766E" w:rsidR="002A7D21" w:rsidRDefault="002A7D21" w:rsidP="002A7D21">
    <w:pPr>
      <w:pStyle w:val="Header"/>
      <w:jc w:val="right"/>
    </w:pPr>
    <w:r>
      <w:rPr>
        <w:noProof/>
        <w:lang w:eastAsia="en-AU"/>
      </w:rPr>
      <w:drawing>
        <wp:inline distT="0" distB="0" distL="0" distR="0" wp14:anchorId="21F782EF" wp14:editId="546775F3">
          <wp:extent cx="2941955" cy="588645"/>
          <wp:effectExtent l="0" t="0" r="0" b="1905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880DCA" w14:textId="12386838" w:rsidR="009256C4" w:rsidRPr="002A7D21" w:rsidRDefault="009256C4" w:rsidP="002A7D2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8E82D" w14:textId="77777777" w:rsidR="00563F51" w:rsidRDefault="00563F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B08428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966C14D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412078B"/>
    <w:multiLevelType w:val="hybridMultilevel"/>
    <w:tmpl w:val="FCDE7D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5375211">
    <w:abstractNumId w:val="1"/>
  </w:num>
  <w:num w:numId="2" w16cid:durableId="677121431">
    <w:abstractNumId w:val="0"/>
  </w:num>
  <w:num w:numId="3" w16cid:durableId="1534533448">
    <w:abstractNumId w:val="2"/>
  </w:num>
  <w:num w:numId="4" w16cid:durableId="992561334">
    <w:abstractNumId w:val="1"/>
  </w:num>
  <w:num w:numId="5" w16cid:durableId="919484162">
    <w:abstractNumId w:val="1"/>
  </w:num>
  <w:num w:numId="6" w16cid:durableId="1089738260">
    <w:abstractNumId w:val="1"/>
  </w:num>
  <w:num w:numId="7" w16cid:durableId="1946694142">
    <w:abstractNumId w:val="1"/>
  </w:num>
  <w:num w:numId="8" w16cid:durableId="2140108387">
    <w:abstractNumId w:val="1"/>
  </w:num>
  <w:num w:numId="9" w16cid:durableId="224604471">
    <w:abstractNumId w:val="1"/>
  </w:num>
  <w:num w:numId="10" w16cid:durableId="547693517">
    <w:abstractNumId w:val="1"/>
  </w:num>
  <w:num w:numId="11" w16cid:durableId="858008210">
    <w:abstractNumId w:val="1"/>
  </w:num>
  <w:num w:numId="12" w16cid:durableId="2113938482">
    <w:abstractNumId w:val="1"/>
  </w:num>
  <w:num w:numId="13" w16cid:durableId="1381830541">
    <w:abstractNumId w:val="1"/>
  </w:num>
  <w:num w:numId="14" w16cid:durableId="2133277790">
    <w:abstractNumId w:val="1"/>
  </w:num>
  <w:num w:numId="15" w16cid:durableId="1080836442">
    <w:abstractNumId w:val="1"/>
  </w:num>
  <w:num w:numId="16" w16cid:durableId="639768958">
    <w:abstractNumId w:val="1"/>
  </w:num>
  <w:num w:numId="17" w16cid:durableId="580455191">
    <w:abstractNumId w:val="1"/>
  </w:num>
  <w:num w:numId="18" w16cid:durableId="515390550">
    <w:abstractNumId w:val="1"/>
  </w:num>
  <w:num w:numId="19" w16cid:durableId="533881399">
    <w:abstractNumId w:val="1"/>
  </w:num>
  <w:num w:numId="20" w16cid:durableId="737553529">
    <w:abstractNumId w:val="1"/>
  </w:num>
  <w:num w:numId="21" w16cid:durableId="520819219">
    <w:abstractNumId w:val="1"/>
  </w:num>
  <w:num w:numId="22" w16cid:durableId="1331366420">
    <w:abstractNumId w:val="1"/>
  </w:num>
  <w:num w:numId="23" w16cid:durableId="902719407">
    <w:abstractNumId w:val="1"/>
  </w:num>
  <w:num w:numId="24" w16cid:durableId="1131553068">
    <w:abstractNumId w:val="1"/>
  </w:num>
  <w:num w:numId="25" w16cid:durableId="1623724694">
    <w:abstractNumId w:val="1"/>
  </w:num>
  <w:num w:numId="26" w16cid:durableId="1117027143">
    <w:abstractNumId w:val="1"/>
  </w:num>
  <w:num w:numId="27" w16cid:durableId="14666599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29B3"/>
    <w:rsid w:val="00007B80"/>
    <w:rsid w:val="00011402"/>
    <w:rsid w:val="00011C6A"/>
    <w:rsid w:val="00013A22"/>
    <w:rsid w:val="00014C3F"/>
    <w:rsid w:val="00015F7C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A33F6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42DA"/>
    <w:rsid w:val="000E5A54"/>
    <w:rsid w:val="000E63D3"/>
    <w:rsid w:val="000E67CF"/>
    <w:rsid w:val="00101290"/>
    <w:rsid w:val="0010461E"/>
    <w:rsid w:val="00106FAA"/>
    <w:rsid w:val="00113443"/>
    <w:rsid w:val="001269A7"/>
    <w:rsid w:val="00131092"/>
    <w:rsid w:val="0013454D"/>
    <w:rsid w:val="00140E6A"/>
    <w:rsid w:val="00145D60"/>
    <w:rsid w:val="00146545"/>
    <w:rsid w:val="00146B75"/>
    <w:rsid w:val="0015266D"/>
    <w:rsid w:val="0015288A"/>
    <w:rsid w:val="00160F47"/>
    <w:rsid w:val="001709BE"/>
    <w:rsid w:val="00177CA1"/>
    <w:rsid w:val="00183823"/>
    <w:rsid w:val="00183942"/>
    <w:rsid w:val="001A009E"/>
    <w:rsid w:val="001A1287"/>
    <w:rsid w:val="001A3859"/>
    <w:rsid w:val="001A3C9D"/>
    <w:rsid w:val="001A43F8"/>
    <w:rsid w:val="001A78B0"/>
    <w:rsid w:val="001B54F9"/>
    <w:rsid w:val="001B79E5"/>
    <w:rsid w:val="001C40AB"/>
    <w:rsid w:val="001D56F0"/>
    <w:rsid w:val="001D5BF8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1F7BC4"/>
    <w:rsid w:val="002046A6"/>
    <w:rsid w:val="00204956"/>
    <w:rsid w:val="002127BD"/>
    <w:rsid w:val="00213640"/>
    <w:rsid w:val="00221547"/>
    <w:rsid w:val="002216FC"/>
    <w:rsid w:val="00222533"/>
    <w:rsid w:val="00222F30"/>
    <w:rsid w:val="00224EE2"/>
    <w:rsid w:val="00227EC7"/>
    <w:rsid w:val="00231D69"/>
    <w:rsid w:val="00237997"/>
    <w:rsid w:val="0024413A"/>
    <w:rsid w:val="00244AD1"/>
    <w:rsid w:val="00245941"/>
    <w:rsid w:val="002463BC"/>
    <w:rsid w:val="002465CE"/>
    <w:rsid w:val="0025734A"/>
    <w:rsid w:val="00263255"/>
    <w:rsid w:val="002700EC"/>
    <w:rsid w:val="002704CF"/>
    <w:rsid w:val="00274413"/>
    <w:rsid w:val="00276494"/>
    <w:rsid w:val="00277B0C"/>
    <w:rsid w:val="002A2187"/>
    <w:rsid w:val="002A7D21"/>
    <w:rsid w:val="002B1A2C"/>
    <w:rsid w:val="002C34F2"/>
    <w:rsid w:val="002C58FF"/>
    <w:rsid w:val="002C7AFE"/>
    <w:rsid w:val="002D05D2"/>
    <w:rsid w:val="002E0D61"/>
    <w:rsid w:val="002E23BF"/>
    <w:rsid w:val="002E3453"/>
    <w:rsid w:val="002E4C7B"/>
    <w:rsid w:val="0030740C"/>
    <w:rsid w:val="00311B15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3F14"/>
    <w:rsid w:val="003446D6"/>
    <w:rsid w:val="00347192"/>
    <w:rsid w:val="0034744C"/>
    <w:rsid w:val="00351FE0"/>
    <w:rsid w:val="00352615"/>
    <w:rsid w:val="0035412B"/>
    <w:rsid w:val="003567A8"/>
    <w:rsid w:val="00362895"/>
    <w:rsid w:val="0036786A"/>
    <w:rsid w:val="00370DBF"/>
    <w:rsid w:val="00386093"/>
    <w:rsid w:val="00387068"/>
    <w:rsid w:val="00387D95"/>
    <w:rsid w:val="003904A4"/>
    <w:rsid w:val="00391841"/>
    <w:rsid w:val="00391B6D"/>
    <w:rsid w:val="003929C1"/>
    <w:rsid w:val="00394922"/>
    <w:rsid w:val="003A0E32"/>
    <w:rsid w:val="003A2B94"/>
    <w:rsid w:val="003B387D"/>
    <w:rsid w:val="003B7E1D"/>
    <w:rsid w:val="003C0D58"/>
    <w:rsid w:val="003C4FEE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33161"/>
    <w:rsid w:val="00434B8C"/>
    <w:rsid w:val="004414B5"/>
    <w:rsid w:val="00444482"/>
    <w:rsid w:val="00444B42"/>
    <w:rsid w:val="00445E44"/>
    <w:rsid w:val="004509E2"/>
    <w:rsid w:val="004515EE"/>
    <w:rsid w:val="004529F0"/>
    <w:rsid w:val="00460A03"/>
    <w:rsid w:val="00463142"/>
    <w:rsid w:val="00472A11"/>
    <w:rsid w:val="00472AAD"/>
    <w:rsid w:val="00474E33"/>
    <w:rsid w:val="0047633B"/>
    <w:rsid w:val="00476803"/>
    <w:rsid w:val="00485BFD"/>
    <w:rsid w:val="004867A2"/>
    <w:rsid w:val="004873F2"/>
    <w:rsid w:val="00490D4C"/>
    <w:rsid w:val="0049215F"/>
    <w:rsid w:val="00493A35"/>
    <w:rsid w:val="0049527A"/>
    <w:rsid w:val="004966BF"/>
    <w:rsid w:val="00497984"/>
    <w:rsid w:val="004A22B2"/>
    <w:rsid w:val="004A5088"/>
    <w:rsid w:val="004C1E3F"/>
    <w:rsid w:val="004C23F4"/>
    <w:rsid w:val="004C3475"/>
    <w:rsid w:val="004C34D8"/>
    <w:rsid w:val="004C58B6"/>
    <w:rsid w:val="004D16A3"/>
    <w:rsid w:val="004D4AA1"/>
    <w:rsid w:val="004D6D68"/>
    <w:rsid w:val="004D7C05"/>
    <w:rsid w:val="004E250B"/>
    <w:rsid w:val="004E2C20"/>
    <w:rsid w:val="004E5EDD"/>
    <w:rsid w:val="004E789E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36844"/>
    <w:rsid w:val="00536AD3"/>
    <w:rsid w:val="005446A2"/>
    <w:rsid w:val="00544D2F"/>
    <w:rsid w:val="00551BD8"/>
    <w:rsid w:val="00562B67"/>
    <w:rsid w:val="00563F51"/>
    <w:rsid w:val="005642AE"/>
    <w:rsid w:val="00573EE2"/>
    <w:rsid w:val="00581055"/>
    <w:rsid w:val="00591E38"/>
    <w:rsid w:val="005A19C5"/>
    <w:rsid w:val="005A3034"/>
    <w:rsid w:val="005A462D"/>
    <w:rsid w:val="005B1FB7"/>
    <w:rsid w:val="005B253B"/>
    <w:rsid w:val="005B771D"/>
    <w:rsid w:val="005C2C14"/>
    <w:rsid w:val="005C3513"/>
    <w:rsid w:val="005C5D16"/>
    <w:rsid w:val="005D3193"/>
    <w:rsid w:val="005D446B"/>
    <w:rsid w:val="005D4A6E"/>
    <w:rsid w:val="005E558F"/>
    <w:rsid w:val="005E6979"/>
    <w:rsid w:val="005E75CB"/>
    <w:rsid w:val="005F4367"/>
    <w:rsid w:val="006013C1"/>
    <w:rsid w:val="0060669E"/>
    <w:rsid w:val="00610F2E"/>
    <w:rsid w:val="00611399"/>
    <w:rsid w:val="00617D2F"/>
    <w:rsid w:val="006225F6"/>
    <w:rsid w:val="00624C4E"/>
    <w:rsid w:val="00625200"/>
    <w:rsid w:val="00631AC5"/>
    <w:rsid w:val="006341F9"/>
    <w:rsid w:val="00635845"/>
    <w:rsid w:val="00635EF2"/>
    <w:rsid w:val="006363A8"/>
    <w:rsid w:val="00636DB7"/>
    <w:rsid w:val="00650905"/>
    <w:rsid w:val="006532ED"/>
    <w:rsid w:val="00653C00"/>
    <w:rsid w:val="006549F2"/>
    <w:rsid w:val="006567B7"/>
    <w:rsid w:val="00656942"/>
    <w:rsid w:val="00657BFB"/>
    <w:rsid w:val="0066333C"/>
    <w:rsid w:val="006639B4"/>
    <w:rsid w:val="006650FE"/>
    <w:rsid w:val="0067305D"/>
    <w:rsid w:val="00675C32"/>
    <w:rsid w:val="00677D9B"/>
    <w:rsid w:val="006867F3"/>
    <w:rsid w:val="00687890"/>
    <w:rsid w:val="006901A2"/>
    <w:rsid w:val="00690368"/>
    <w:rsid w:val="0069079C"/>
    <w:rsid w:val="00690B53"/>
    <w:rsid w:val="00695B72"/>
    <w:rsid w:val="006B0DAD"/>
    <w:rsid w:val="006B160A"/>
    <w:rsid w:val="006B4E6C"/>
    <w:rsid w:val="006B50B6"/>
    <w:rsid w:val="006D79EA"/>
    <w:rsid w:val="006E5D05"/>
    <w:rsid w:val="006F145D"/>
    <w:rsid w:val="006F2E23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42A99"/>
    <w:rsid w:val="00750212"/>
    <w:rsid w:val="00754779"/>
    <w:rsid w:val="007569A6"/>
    <w:rsid w:val="0075716D"/>
    <w:rsid w:val="00765F14"/>
    <w:rsid w:val="00770E31"/>
    <w:rsid w:val="007770F1"/>
    <w:rsid w:val="00783FB1"/>
    <w:rsid w:val="00785CDD"/>
    <w:rsid w:val="00790952"/>
    <w:rsid w:val="00791847"/>
    <w:rsid w:val="007925F0"/>
    <w:rsid w:val="007939B3"/>
    <w:rsid w:val="0079509C"/>
    <w:rsid w:val="00796708"/>
    <w:rsid w:val="007B1B42"/>
    <w:rsid w:val="007C22BE"/>
    <w:rsid w:val="007C30EB"/>
    <w:rsid w:val="007E063C"/>
    <w:rsid w:val="007E2A4B"/>
    <w:rsid w:val="007E307D"/>
    <w:rsid w:val="007E6A4E"/>
    <w:rsid w:val="007E6C94"/>
    <w:rsid w:val="007E7995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06CF"/>
    <w:rsid w:val="008414E4"/>
    <w:rsid w:val="00843E21"/>
    <w:rsid w:val="0084508E"/>
    <w:rsid w:val="00857A8A"/>
    <w:rsid w:val="008630EE"/>
    <w:rsid w:val="00864D13"/>
    <w:rsid w:val="0086586D"/>
    <w:rsid w:val="00871CD5"/>
    <w:rsid w:val="008745A2"/>
    <w:rsid w:val="008768A8"/>
    <w:rsid w:val="00884B8E"/>
    <w:rsid w:val="0088798F"/>
    <w:rsid w:val="00887E4B"/>
    <w:rsid w:val="008915C8"/>
    <w:rsid w:val="008930E0"/>
    <w:rsid w:val="008A36CF"/>
    <w:rsid w:val="008A3BC4"/>
    <w:rsid w:val="008B403C"/>
    <w:rsid w:val="008B7983"/>
    <w:rsid w:val="008C2511"/>
    <w:rsid w:val="008D026D"/>
    <w:rsid w:val="008D23AB"/>
    <w:rsid w:val="008D4B8B"/>
    <w:rsid w:val="008D56D3"/>
    <w:rsid w:val="008D5A78"/>
    <w:rsid w:val="008E6C78"/>
    <w:rsid w:val="008E7B64"/>
    <w:rsid w:val="008F5DCD"/>
    <w:rsid w:val="008F6DF5"/>
    <w:rsid w:val="00900951"/>
    <w:rsid w:val="009118A6"/>
    <w:rsid w:val="00914D37"/>
    <w:rsid w:val="00916909"/>
    <w:rsid w:val="00916EC0"/>
    <w:rsid w:val="00920467"/>
    <w:rsid w:val="00921DE7"/>
    <w:rsid w:val="009256C4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473AB"/>
    <w:rsid w:val="0095260E"/>
    <w:rsid w:val="009578DD"/>
    <w:rsid w:val="00961124"/>
    <w:rsid w:val="009621B6"/>
    <w:rsid w:val="00974F2D"/>
    <w:rsid w:val="00977524"/>
    <w:rsid w:val="00977E88"/>
    <w:rsid w:val="00980D78"/>
    <w:rsid w:val="00983F37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5CF"/>
    <w:rsid w:val="009F0F3A"/>
    <w:rsid w:val="00A01C3C"/>
    <w:rsid w:val="00A01D0C"/>
    <w:rsid w:val="00A0618C"/>
    <w:rsid w:val="00A0643F"/>
    <w:rsid w:val="00A067EE"/>
    <w:rsid w:val="00A10FCE"/>
    <w:rsid w:val="00A16D91"/>
    <w:rsid w:val="00A174CC"/>
    <w:rsid w:val="00A2073D"/>
    <w:rsid w:val="00A20751"/>
    <w:rsid w:val="00A256BE"/>
    <w:rsid w:val="00A27E2D"/>
    <w:rsid w:val="00A31B4D"/>
    <w:rsid w:val="00A31D99"/>
    <w:rsid w:val="00A33EAB"/>
    <w:rsid w:val="00A357BA"/>
    <w:rsid w:val="00A35ADC"/>
    <w:rsid w:val="00A402A3"/>
    <w:rsid w:val="00A514C6"/>
    <w:rsid w:val="00A53681"/>
    <w:rsid w:val="00A54FEE"/>
    <w:rsid w:val="00A633D4"/>
    <w:rsid w:val="00A6461A"/>
    <w:rsid w:val="00A64840"/>
    <w:rsid w:val="00A84504"/>
    <w:rsid w:val="00A8672F"/>
    <w:rsid w:val="00A93057"/>
    <w:rsid w:val="00A968B0"/>
    <w:rsid w:val="00AA6CEE"/>
    <w:rsid w:val="00AB2672"/>
    <w:rsid w:val="00AB2817"/>
    <w:rsid w:val="00AB43C4"/>
    <w:rsid w:val="00AC32E7"/>
    <w:rsid w:val="00AC3A9F"/>
    <w:rsid w:val="00AC6D2F"/>
    <w:rsid w:val="00AE2745"/>
    <w:rsid w:val="00AE2F64"/>
    <w:rsid w:val="00AE40B3"/>
    <w:rsid w:val="00AE4CC5"/>
    <w:rsid w:val="00AF42CB"/>
    <w:rsid w:val="00AF483F"/>
    <w:rsid w:val="00AF5E07"/>
    <w:rsid w:val="00AF5F06"/>
    <w:rsid w:val="00AF7B69"/>
    <w:rsid w:val="00B00A25"/>
    <w:rsid w:val="00B04149"/>
    <w:rsid w:val="00B10E41"/>
    <w:rsid w:val="00B13B85"/>
    <w:rsid w:val="00B1422A"/>
    <w:rsid w:val="00B1765C"/>
    <w:rsid w:val="00B213C4"/>
    <w:rsid w:val="00B354CD"/>
    <w:rsid w:val="00B40C60"/>
    <w:rsid w:val="00B44F7B"/>
    <w:rsid w:val="00B479A9"/>
    <w:rsid w:val="00B52EDF"/>
    <w:rsid w:val="00B560BB"/>
    <w:rsid w:val="00B71188"/>
    <w:rsid w:val="00B73A83"/>
    <w:rsid w:val="00B76A41"/>
    <w:rsid w:val="00B86D09"/>
    <w:rsid w:val="00B87D4C"/>
    <w:rsid w:val="00B93646"/>
    <w:rsid w:val="00B94FEC"/>
    <w:rsid w:val="00BA0B38"/>
    <w:rsid w:val="00BA1DBB"/>
    <w:rsid w:val="00BA4510"/>
    <w:rsid w:val="00BA529A"/>
    <w:rsid w:val="00BB3FB1"/>
    <w:rsid w:val="00BB612A"/>
    <w:rsid w:val="00BB621C"/>
    <w:rsid w:val="00BD43B8"/>
    <w:rsid w:val="00BD499F"/>
    <w:rsid w:val="00BD56DE"/>
    <w:rsid w:val="00BF18E0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2061"/>
    <w:rsid w:val="00C850A0"/>
    <w:rsid w:val="00C85A86"/>
    <w:rsid w:val="00C85B5A"/>
    <w:rsid w:val="00C978F0"/>
    <w:rsid w:val="00CA1B97"/>
    <w:rsid w:val="00CA3F12"/>
    <w:rsid w:val="00CA52D6"/>
    <w:rsid w:val="00CA58FE"/>
    <w:rsid w:val="00CB146C"/>
    <w:rsid w:val="00CB1CB1"/>
    <w:rsid w:val="00CB6BC1"/>
    <w:rsid w:val="00CB6CB8"/>
    <w:rsid w:val="00CC1A68"/>
    <w:rsid w:val="00CC2123"/>
    <w:rsid w:val="00CC2D12"/>
    <w:rsid w:val="00CC4AEF"/>
    <w:rsid w:val="00CD2BFD"/>
    <w:rsid w:val="00CD5915"/>
    <w:rsid w:val="00CD7ECF"/>
    <w:rsid w:val="00CE5AD6"/>
    <w:rsid w:val="00CE617F"/>
    <w:rsid w:val="00CE78EF"/>
    <w:rsid w:val="00D048F7"/>
    <w:rsid w:val="00D0517E"/>
    <w:rsid w:val="00D1063C"/>
    <w:rsid w:val="00D140FC"/>
    <w:rsid w:val="00D16C39"/>
    <w:rsid w:val="00D21D8C"/>
    <w:rsid w:val="00D31357"/>
    <w:rsid w:val="00D33220"/>
    <w:rsid w:val="00D334D1"/>
    <w:rsid w:val="00D44C89"/>
    <w:rsid w:val="00D516CD"/>
    <w:rsid w:val="00D5615F"/>
    <w:rsid w:val="00D64002"/>
    <w:rsid w:val="00D668E6"/>
    <w:rsid w:val="00D70670"/>
    <w:rsid w:val="00D74D80"/>
    <w:rsid w:val="00D76624"/>
    <w:rsid w:val="00D807B5"/>
    <w:rsid w:val="00D87570"/>
    <w:rsid w:val="00D91CB9"/>
    <w:rsid w:val="00D97989"/>
    <w:rsid w:val="00D97D8D"/>
    <w:rsid w:val="00DA352E"/>
    <w:rsid w:val="00DB4E1F"/>
    <w:rsid w:val="00DC3F4B"/>
    <w:rsid w:val="00DC7694"/>
    <w:rsid w:val="00DD1BF6"/>
    <w:rsid w:val="00DD2F9B"/>
    <w:rsid w:val="00DE2513"/>
    <w:rsid w:val="00DE26E8"/>
    <w:rsid w:val="00DE7BB7"/>
    <w:rsid w:val="00DF6F36"/>
    <w:rsid w:val="00E0084C"/>
    <w:rsid w:val="00E025AB"/>
    <w:rsid w:val="00E02B23"/>
    <w:rsid w:val="00E06F40"/>
    <w:rsid w:val="00E07CE8"/>
    <w:rsid w:val="00E26A07"/>
    <w:rsid w:val="00E2721D"/>
    <w:rsid w:val="00E32595"/>
    <w:rsid w:val="00E34335"/>
    <w:rsid w:val="00E3763D"/>
    <w:rsid w:val="00E37CFD"/>
    <w:rsid w:val="00E41A26"/>
    <w:rsid w:val="00E44F4A"/>
    <w:rsid w:val="00E46BCB"/>
    <w:rsid w:val="00E51CAF"/>
    <w:rsid w:val="00E60F04"/>
    <w:rsid w:val="00E62AAC"/>
    <w:rsid w:val="00E67C2F"/>
    <w:rsid w:val="00E67EF5"/>
    <w:rsid w:val="00E736E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E04CF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371C"/>
    <w:rsid w:val="00F16019"/>
    <w:rsid w:val="00F20E68"/>
    <w:rsid w:val="00F22093"/>
    <w:rsid w:val="00F236DF"/>
    <w:rsid w:val="00F430DD"/>
    <w:rsid w:val="00F43AD5"/>
    <w:rsid w:val="00F4402E"/>
    <w:rsid w:val="00F52D5C"/>
    <w:rsid w:val="00F56DD0"/>
    <w:rsid w:val="00F6491C"/>
    <w:rsid w:val="00F67BBB"/>
    <w:rsid w:val="00F81BC7"/>
    <w:rsid w:val="00F87D92"/>
    <w:rsid w:val="00F90365"/>
    <w:rsid w:val="00F90AA7"/>
    <w:rsid w:val="00F90E2A"/>
    <w:rsid w:val="00F92498"/>
    <w:rsid w:val="00F9496B"/>
    <w:rsid w:val="00F970C9"/>
    <w:rsid w:val="00FA06A8"/>
    <w:rsid w:val="00FA3DF5"/>
    <w:rsid w:val="00FA54FA"/>
    <w:rsid w:val="00FA741F"/>
    <w:rsid w:val="00FA7462"/>
    <w:rsid w:val="00FB4E07"/>
    <w:rsid w:val="00FB755A"/>
    <w:rsid w:val="00FC0866"/>
    <w:rsid w:val="00FC60A2"/>
    <w:rsid w:val="00FD1871"/>
    <w:rsid w:val="00FD3110"/>
    <w:rsid w:val="00FD694C"/>
    <w:rsid w:val="00FF1585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  <w14:docId w14:val="7D3D6C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1C40AB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704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04C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04C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04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04CF"/>
    <w:rPr>
      <w:b/>
      <w:bCs/>
      <w:szCs w:val="20"/>
    </w:rPr>
  </w:style>
  <w:style w:type="paragraph" w:styleId="ListNumber">
    <w:name w:val="List Number"/>
    <w:basedOn w:val="Normal"/>
    <w:uiPriority w:val="99"/>
    <w:unhideWhenUsed/>
    <w:rsid w:val="00BD43B8"/>
    <w:pPr>
      <w:numPr>
        <w:numId w:val="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188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6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4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cgih.org/tlv-bei-guidelines/policies-procedures-presentation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20BC8D26515A4C11AC6304FB75A7C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F72BE-1073-48D1-A613-18F5D94AD94A}"/>
      </w:docPartPr>
      <w:docPartBody>
        <w:p w:rsidR="00D21A9F" w:rsidRDefault="00D21A9F">
          <w:pPr>
            <w:pStyle w:val="20BC8D26515A4C11AC6304FB75A7CBA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320A77D155374054996F168A20882C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DC0181-19B2-490D-83F0-D85D1689E2A9}"/>
      </w:docPartPr>
      <w:docPartBody>
        <w:p w:rsidR="00D21A9F" w:rsidRDefault="00D21A9F">
          <w:pPr>
            <w:pStyle w:val="320A77D155374054996F168A20882C2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22C2F"/>
    <w:rsid w:val="002F1E09"/>
    <w:rsid w:val="006A1C53"/>
    <w:rsid w:val="006B1BFD"/>
    <w:rsid w:val="009D3125"/>
    <w:rsid w:val="00C95033"/>
    <w:rsid w:val="00CB59DF"/>
    <w:rsid w:val="00D21A9F"/>
    <w:rsid w:val="00D64AEE"/>
    <w:rsid w:val="00FC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B1BFD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20BC8D26515A4C11AC6304FB75A7CBAD">
    <w:name w:val="20BC8D26515A4C11AC6304FB75A7CBAD"/>
  </w:style>
  <w:style w:type="paragraph" w:customStyle="1" w:styleId="320A77D155374054996F168A20882C28">
    <w:name w:val="320A77D155374054996F168A20882C28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CFE687-D1E9-47DC-9C87-4F39E8AA12DF}">
  <ds:schemaRefs>
    <ds:schemaRef ds:uri="http://schemas.openxmlformats.org/package/2006/metadata/core-properties"/>
    <ds:schemaRef ds:uri="http://schemas.microsoft.com/office/2006/documentManagement/types"/>
    <ds:schemaRef ds:uri="bf54d604-3e62-4e70-ba33-9e9084b96a66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7C47304-E47F-4DEF-A172-43FAE12B5C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20FA321-D01A-4F7E-B5AB-771796F0B3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843122-AB87-4A67-814D-80F82BEDE81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1405</Words>
  <Characters>8013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2019-06-07T03:16:00Z</dcterms:created>
  <dcterms:modified xsi:type="dcterms:W3CDTF">2025-12-23T04:47:00Z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2025-12-23T04:47:43Z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f3cf643b-cc2a-45bd-8c9a-ded23621dad4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