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444A1C1" w14:textId="7DF5DF28" w:rsidR="00BD499F" w:rsidRPr="004C23F4" w:rsidRDefault="00723029" w:rsidP="00B40C60">
          <w:pPr>
            <w:pStyle w:val="Heading1"/>
            <w:jc w:val="center"/>
            <w:rPr>
              <w:rFonts w:ascii="Arial" w:hAnsi="Arial" w:cs="Arial"/>
            </w:rPr>
          </w:pPr>
          <w:r w:rsidRPr="00723029">
            <w:rPr>
              <w:rFonts w:ascii="Arial" w:hAnsi="Arial" w:cs="Arial"/>
            </w:rPr>
            <w:t>Methyl alcohol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4B0945DB" w14:textId="77777777" w:rsidTr="00B76A41">
        <w:trPr>
          <w:cantSplit/>
          <w:tblHeader/>
        </w:trPr>
        <w:tc>
          <w:tcPr>
            <w:tcW w:w="4077" w:type="dxa"/>
          </w:tcPr>
          <w:p w14:paraId="37FE5D6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4520EA9" w14:textId="5C15DB5C" w:rsidR="00F43AD5" w:rsidRPr="00717D45" w:rsidRDefault="00C71951" w:rsidP="00B76A41">
            <w:pPr>
              <w:pStyle w:val="Tablefont"/>
            </w:pPr>
            <w:r w:rsidRPr="00C71951">
              <w:t>67-56-1</w:t>
            </w:r>
          </w:p>
        </w:tc>
      </w:tr>
      <w:tr w:rsidR="00F43AD5" w:rsidRPr="004C23F4" w14:paraId="37C562DF" w14:textId="77777777" w:rsidTr="00B76A41">
        <w:trPr>
          <w:cantSplit/>
        </w:trPr>
        <w:tc>
          <w:tcPr>
            <w:tcW w:w="4077" w:type="dxa"/>
          </w:tcPr>
          <w:p w14:paraId="3DC9C1F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0221D29" w14:textId="7540110A" w:rsidR="00F43AD5" w:rsidRPr="00717D45" w:rsidRDefault="005815A1" w:rsidP="00B76A41">
            <w:pPr>
              <w:pStyle w:val="Tablefont"/>
            </w:pPr>
            <w:r>
              <w:t>Methanol, c</w:t>
            </w:r>
            <w:r w:rsidR="00CC104D">
              <w:t>arbinol</w:t>
            </w:r>
            <w:r w:rsidR="00B321B7">
              <w:t>, methyl hydroxide, wood alcohol, wood spirits</w:t>
            </w:r>
          </w:p>
        </w:tc>
      </w:tr>
      <w:tr w:rsidR="00F43AD5" w:rsidRPr="004C23F4" w14:paraId="1A8585AF" w14:textId="77777777" w:rsidTr="00B76A41">
        <w:trPr>
          <w:cantSplit/>
        </w:trPr>
        <w:tc>
          <w:tcPr>
            <w:tcW w:w="4077" w:type="dxa"/>
          </w:tcPr>
          <w:p w14:paraId="2A6EC89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71277A9" w14:textId="3AE5E928" w:rsidR="00F43AD5" w:rsidRPr="00717D45" w:rsidRDefault="009F782D" w:rsidP="00B76A41">
            <w:pPr>
              <w:pStyle w:val="Tablefont"/>
            </w:pPr>
            <w:r>
              <w:t>CH</w:t>
            </w:r>
            <w:r w:rsidRPr="009F782D">
              <w:rPr>
                <w:vertAlign w:val="subscript"/>
              </w:rPr>
              <w:t>4</w:t>
            </w:r>
            <w:r>
              <w:t>O</w:t>
            </w:r>
          </w:p>
        </w:tc>
      </w:tr>
      <w:tr w:rsidR="00F43AD5" w:rsidRPr="004C23F4" w14:paraId="5DD24475" w14:textId="77777777" w:rsidTr="00B76A41">
        <w:trPr>
          <w:cantSplit/>
        </w:trPr>
        <w:tc>
          <w:tcPr>
            <w:tcW w:w="4077" w:type="dxa"/>
          </w:tcPr>
          <w:p w14:paraId="0F6644A6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1643F03" w14:textId="2FE9F46A" w:rsidR="00F43AD5" w:rsidRPr="00B40C60" w:rsidRDefault="009F782D" w:rsidP="00B76A41">
            <w:pPr>
              <w:pStyle w:val="Tablerowheading"/>
              <w:rPr>
                <w:b w:val="0"/>
              </w:rPr>
            </w:pPr>
            <w:r w:rsidRPr="009F782D">
              <w:rPr>
                <w:b w:val="0"/>
              </w:rPr>
              <w:t>—</w:t>
            </w:r>
          </w:p>
        </w:tc>
      </w:tr>
    </w:tbl>
    <w:p w14:paraId="66992BB2" w14:textId="2B33154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E17C3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7"/>
        <w:gridCol w:w="5019"/>
      </w:tblGrid>
      <w:tr w:rsidR="002C7AFE" w:rsidRPr="004C23F4" w14:paraId="271CB51C" w14:textId="77777777" w:rsidTr="009668A8">
        <w:trPr>
          <w:cantSplit/>
          <w:tblHeader/>
        </w:trPr>
        <w:tc>
          <w:tcPr>
            <w:tcW w:w="4007" w:type="dxa"/>
            <w:vAlign w:val="center"/>
          </w:tcPr>
          <w:p w14:paraId="1D2E3AC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9" w:type="dxa"/>
          </w:tcPr>
          <w:p w14:paraId="1191F2CF" w14:textId="3E011D28" w:rsidR="002C7AFE" w:rsidRPr="00EB3D1B" w:rsidRDefault="00022B8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100 ppm (130 mg/m</w:t>
            </w:r>
            <w:r w:rsidRPr="00022B81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54BFA2DC" w14:textId="77777777" w:rsidTr="009668A8">
        <w:trPr>
          <w:cantSplit/>
        </w:trPr>
        <w:tc>
          <w:tcPr>
            <w:tcW w:w="4007" w:type="dxa"/>
            <w:vAlign w:val="center"/>
          </w:tcPr>
          <w:p w14:paraId="135CB8B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9" w:type="dxa"/>
          </w:tcPr>
          <w:p w14:paraId="6726C0CF" w14:textId="4F113111" w:rsidR="002C7AFE" w:rsidRPr="00EB3D1B" w:rsidRDefault="00CC104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79D2122" w14:textId="77777777" w:rsidTr="009668A8">
        <w:trPr>
          <w:cantSplit/>
        </w:trPr>
        <w:tc>
          <w:tcPr>
            <w:tcW w:w="4007" w:type="dxa"/>
            <w:vAlign w:val="center"/>
          </w:tcPr>
          <w:p w14:paraId="56D7ADB5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9" w:type="dxa"/>
          </w:tcPr>
          <w:p w14:paraId="2B2FE627" w14:textId="60E53B59" w:rsidR="002C7AFE" w:rsidRPr="00EB3D1B" w:rsidRDefault="007F472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115F81A" w14:textId="77777777" w:rsidTr="009668A8">
        <w:trPr>
          <w:cantSplit/>
        </w:trPr>
        <w:tc>
          <w:tcPr>
            <w:tcW w:w="4007" w:type="dxa"/>
          </w:tcPr>
          <w:p w14:paraId="120D13AF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9" w:type="dxa"/>
          </w:tcPr>
          <w:p w14:paraId="1AB8DD7E" w14:textId="43F7B208" w:rsidR="002C7AFE" w:rsidRPr="00EB3D1B" w:rsidRDefault="00245661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51D4A8CE" w14:textId="77777777" w:rsidTr="009668A8">
        <w:trPr>
          <w:cantSplit/>
        </w:trPr>
        <w:tc>
          <w:tcPr>
            <w:tcW w:w="4007" w:type="dxa"/>
            <w:vAlign w:val="center"/>
          </w:tcPr>
          <w:p w14:paraId="02DBC24F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9" w:type="dxa"/>
          </w:tcPr>
          <w:p w14:paraId="43BA0167" w14:textId="23070F5E" w:rsidR="002C7AFE" w:rsidRPr="00EB3D1B" w:rsidRDefault="009F782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6</w:t>
            </w:r>
            <w:r w:rsidR="007F4722">
              <w:rPr>
                <w:b/>
              </w:rPr>
              <w:t>,</w:t>
            </w:r>
            <w:r>
              <w:rPr>
                <w:b/>
              </w:rPr>
              <w:t>000 ppm</w:t>
            </w:r>
          </w:p>
        </w:tc>
      </w:tr>
      <w:tr w:rsidR="009668A8" w:rsidRPr="004C23F4" w14:paraId="6031AE37" w14:textId="77777777" w:rsidTr="00B823B2">
        <w:trPr>
          <w:cantSplit/>
        </w:trPr>
        <w:tc>
          <w:tcPr>
            <w:tcW w:w="9026" w:type="dxa"/>
            <w:gridSpan w:val="2"/>
            <w:vAlign w:val="center"/>
          </w:tcPr>
          <w:p w14:paraId="12945947" w14:textId="3D32BBF6" w:rsidR="009668A8" w:rsidRPr="00EB3D1B" w:rsidRDefault="009668A8" w:rsidP="00017C82">
            <w:pPr>
              <w:pStyle w:val="Tablefont"/>
              <w:rPr>
                <w:b/>
              </w:rPr>
            </w:pPr>
            <w:r w:rsidRPr="009668A8">
              <w:rPr>
                <w:b/>
              </w:rPr>
              <w:t>Sampling and analysis:</w:t>
            </w:r>
            <w: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7B57E4F47E064F06A2EE1098FAB33D9F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CC104D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CF56160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CA58136" w14:textId="619286BC" w:rsidR="006639B4" w:rsidRPr="004C23F4" w:rsidRDefault="00022B81" w:rsidP="000C139A">
      <w:pPr>
        <w:rPr>
          <w:rFonts w:cs="Arial"/>
        </w:rPr>
      </w:pPr>
      <w:r w:rsidRPr="00022B81">
        <w:rPr>
          <w:rFonts w:cs="Arial"/>
        </w:rPr>
        <w:t xml:space="preserve">A TWA of </w:t>
      </w:r>
      <w:r>
        <w:rPr>
          <w:rFonts w:cs="Arial"/>
        </w:rPr>
        <w:t>100</w:t>
      </w:r>
      <w:r w:rsidRPr="00022B81">
        <w:rPr>
          <w:rFonts w:cs="Arial"/>
        </w:rPr>
        <w:t xml:space="preserve"> ppm (</w:t>
      </w:r>
      <w:r>
        <w:rPr>
          <w:rFonts w:cs="Arial"/>
        </w:rPr>
        <w:t>130</w:t>
      </w:r>
      <w:r w:rsidRPr="00022B81">
        <w:rPr>
          <w:rFonts w:cs="Arial"/>
        </w:rPr>
        <w:t xml:space="preserve"> mg/m</w:t>
      </w:r>
      <w:r w:rsidRPr="00022B81">
        <w:rPr>
          <w:rFonts w:cs="Arial"/>
          <w:vertAlign w:val="superscript"/>
        </w:rPr>
        <w:t>3</w:t>
      </w:r>
      <w:r w:rsidRPr="00022B81">
        <w:rPr>
          <w:rFonts w:cs="Arial"/>
        </w:rPr>
        <w:t>) is recommended to protect for</w:t>
      </w:r>
      <w:r>
        <w:rPr>
          <w:rFonts w:cs="Arial"/>
        </w:rPr>
        <w:t xml:space="preserve"> </w:t>
      </w:r>
      <w:r>
        <w:t>neurotoxic and central nervous system</w:t>
      </w:r>
      <w:r w:rsidR="005815A1">
        <w:t xml:space="preserve"> (CNS)</w:t>
      </w:r>
      <w:r>
        <w:t xml:space="preserve"> effects</w:t>
      </w:r>
      <w:r w:rsidR="00781C3E">
        <w:t xml:space="preserve"> in exposed workers</w:t>
      </w:r>
      <w:r>
        <w:t>.</w:t>
      </w:r>
    </w:p>
    <w:p w14:paraId="74AA757E" w14:textId="1AA21C29" w:rsidR="006639B4" w:rsidRDefault="00F10C97" w:rsidP="00B321B7">
      <w:pPr>
        <w:pStyle w:val="Heading2"/>
      </w:pPr>
      <w:r>
        <w:t>Discussion and conclusions</w:t>
      </w:r>
    </w:p>
    <w:p w14:paraId="13FF117D" w14:textId="183EE13E" w:rsidR="00781C3E" w:rsidRDefault="00022B81" w:rsidP="007E5493">
      <w:r>
        <w:t>Methyl alcohol is used as a solvent for various natural and synthetic resins, as antifreeze, and</w:t>
      </w:r>
      <w:r w:rsidR="004D5B7D">
        <w:t xml:space="preserve"> as </w:t>
      </w:r>
      <w:r>
        <w:t xml:space="preserve">denaturant for ethanol. </w:t>
      </w:r>
    </w:p>
    <w:p w14:paraId="4F60B7C6" w14:textId="77777777" w:rsidR="00C73E9B" w:rsidRDefault="0015040A" w:rsidP="007E5493">
      <w:r>
        <w:t>Critical effects</w:t>
      </w:r>
      <w:r w:rsidR="00781C3E">
        <w:t xml:space="preserve"> of exposure</w:t>
      </w:r>
      <w:r>
        <w:t xml:space="preserve"> include visual disturbances, blindness, headaches and nausea.</w:t>
      </w:r>
      <w:r w:rsidR="00254F02">
        <w:t xml:space="preserve"> In contrast, differing symptoms have been noted in animals (due to metabolic differences), with metabolic acidosis and degeneration of retina ganglion cells not seen in rodents.</w:t>
      </w:r>
    </w:p>
    <w:p w14:paraId="01A9A3D2" w14:textId="3507A350" w:rsidR="00613B5C" w:rsidRDefault="00700F15" w:rsidP="007E5493">
      <w:r>
        <w:t>L</w:t>
      </w:r>
      <w:r w:rsidR="00513584">
        <w:t xml:space="preserve">imited human data </w:t>
      </w:r>
      <w:r>
        <w:t>are</w:t>
      </w:r>
      <w:r w:rsidR="00513584">
        <w:t xml:space="preserve"> available. </w:t>
      </w:r>
      <w:r w:rsidR="00613B5C">
        <w:t>An acute N</w:t>
      </w:r>
      <w:r w:rsidR="00CC104D">
        <w:t>OAEC of 200 ppm</w:t>
      </w:r>
      <w:r w:rsidR="00C228A9">
        <w:t xml:space="preserve"> for acute neurotoxic effects and mucus membrane irritation </w:t>
      </w:r>
      <w:r w:rsidR="00781C3E">
        <w:t>i</w:t>
      </w:r>
      <w:r w:rsidR="00CC104D">
        <w:t>s reported in</w:t>
      </w:r>
      <w:r w:rsidR="0015040A">
        <w:t xml:space="preserve"> a </w:t>
      </w:r>
      <w:r w:rsidR="005815A1">
        <w:t>four</w:t>
      </w:r>
      <w:r w:rsidR="00C228A9">
        <w:t>-</w:t>
      </w:r>
      <w:r w:rsidR="005815A1">
        <w:t>hour</w:t>
      </w:r>
      <w:r w:rsidR="0015040A">
        <w:t xml:space="preserve"> inhalation study of volunteers</w:t>
      </w:r>
      <w:r w:rsidR="00FE4A13">
        <w:t xml:space="preserve"> at rest</w:t>
      </w:r>
      <w:r w:rsidR="00723443">
        <w:t xml:space="preserve"> with</w:t>
      </w:r>
      <w:r w:rsidR="0005762E">
        <w:t xml:space="preserve"> a</w:t>
      </w:r>
      <w:r w:rsidR="00723443">
        <w:t xml:space="preserve"> corresponding blood level of 6.5 mg/</w:t>
      </w:r>
      <w:r w:rsidR="00CC104D">
        <w:t xml:space="preserve">L. </w:t>
      </w:r>
      <w:r w:rsidR="00FE4A13">
        <w:t>Another study calculated a concentration of 6 mg methyl alcohol</w:t>
      </w:r>
      <w:r w:rsidR="00E7612C">
        <w:t xml:space="preserve"> per litre</w:t>
      </w:r>
      <w:r w:rsidR="00FE4A13">
        <w:t xml:space="preserve"> in blood following exposure </w:t>
      </w:r>
      <w:r w:rsidR="00B5099C">
        <w:t xml:space="preserve">of workers </w:t>
      </w:r>
      <w:r w:rsidR="00CC104D">
        <w:t xml:space="preserve">at 100 ppm </w:t>
      </w:r>
      <w:r w:rsidR="00513584">
        <w:t xml:space="preserve">with physical activity </w:t>
      </w:r>
      <w:r w:rsidR="00CC104D">
        <w:t>over eight</w:t>
      </w:r>
      <w:r w:rsidR="0005762E">
        <w:t xml:space="preserve"> hours</w:t>
      </w:r>
      <w:r w:rsidR="00FE4A13">
        <w:t>.</w:t>
      </w:r>
      <w:r w:rsidR="0005762E">
        <w:t xml:space="preserve"> </w:t>
      </w:r>
      <w:r w:rsidR="00FE4A13">
        <w:t xml:space="preserve">This </w:t>
      </w:r>
      <w:r w:rsidR="0005762E">
        <w:t>corresponds to</w:t>
      </w:r>
      <w:r w:rsidR="00FE4A13">
        <w:t xml:space="preserve"> the concentration in blood where no effects were observed</w:t>
      </w:r>
      <w:r w:rsidR="0005762E">
        <w:t>, forming the justification for</w:t>
      </w:r>
      <w:r w:rsidR="00CC104D">
        <w:t xml:space="preserve"> the DFG</w:t>
      </w:r>
      <w:r>
        <w:t> </w:t>
      </w:r>
      <w:r w:rsidR="00A53B94">
        <w:t>(2019)</w:t>
      </w:r>
      <w:r w:rsidR="00C228A9">
        <w:t xml:space="preserve"> recommendations</w:t>
      </w:r>
      <w:r w:rsidR="00A53B94">
        <w:t xml:space="preserve">. </w:t>
      </w:r>
      <w:r w:rsidR="00C73E9B">
        <w:t xml:space="preserve">No adverse effects </w:t>
      </w:r>
      <w:r w:rsidR="004D5B7D">
        <w:t xml:space="preserve">are </w:t>
      </w:r>
      <w:r w:rsidR="00C73E9B">
        <w:t>reported in a</w:t>
      </w:r>
      <w:r w:rsidR="00613B5C">
        <w:t xml:space="preserve"> study </w:t>
      </w:r>
      <w:r w:rsidR="00781C3E">
        <w:t>in</w:t>
      </w:r>
      <w:r w:rsidR="00613B5C">
        <w:t xml:space="preserve"> dogs </w:t>
      </w:r>
      <w:r w:rsidR="00C228A9">
        <w:t>exposed at 450 to 500 ppm for</w:t>
      </w:r>
      <w:r w:rsidR="00613B5C">
        <w:t xml:space="preserve"> 379</w:t>
      </w:r>
      <w:r w:rsidR="00C73E9B">
        <w:t> </w:t>
      </w:r>
      <w:r w:rsidR="00613B5C">
        <w:t xml:space="preserve">days </w:t>
      </w:r>
      <w:r w:rsidR="00C73E9B">
        <w:t>(</w:t>
      </w:r>
      <w:r w:rsidR="00613B5C">
        <w:t>ACGIH, 20</w:t>
      </w:r>
      <w:r w:rsidR="0005762E">
        <w:t>18</w:t>
      </w:r>
      <w:r w:rsidR="00613B5C">
        <w:t xml:space="preserve">). </w:t>
      </w:r>
      <w:r w:rsidR="008231BF">
        <w:t xml:space="preserve">A </w:t>
      </w:r>
      <w:r w:rsidR="00C73E9B">
        <w:t xml:space="preserve">NOAEC </w:t>
      </w:r>
      <w:r w:rsidR="008231BF">
        <w:t>of 1,000 </w:t>
      </w:r>
      <w:r w:rsidR="0005762E">
        <w:t xml:space="preserve">ppm </w:t>
      </w:r>
      <w:r w:rsidR="00781C3E">
        <w:t>i</w:t>
      </w:r>
      <w:r w:rsidR="0005762E">
        <w:t>s reported in rodents for systemic effects from a</w:t>
      </w:r>
      <w:r w:rsidR="00CC104D">
        <w:t xml:space="preserve">n </w:t>
      </w:r>
      <w:r w:rsidR="00C228A9">
        <w:t xml:space="preserve">18 </w:t>
      </w:r>
      <w:r w:rsidR="0005762E">
        <w:t xml:space="preserve">to </w:t>
      </w:r>
      <w:r w:rsidR="006245BD">
        <w:t>24</w:t>
      </w:r>
      <w:r w:rsidR="0077182A">
        <w:t>-</w:t>
      </w:r>
      <w:r w:rsidR="006245BD">
        <w:t>month</w:t>
      </w:r>
      <w:r w:rsidR="0005762E">
        <w:t xml:space="preserve"> inhalation study (HCOTN, 2010).</w:t>
      </w:r>
    </w:p>
    <w:p w14:paraId="581F0651" w14:textId="3819F6A6" w:rsidR="007E5493" w:rsidRDefault="0005762E" w:rsidP="007E5493">
      <w:r w:rsidRPr="0005762E">
        <w:t xml:space="preserve">A TWA of </w:t>
      </w:r>
      <w:r>
        <w:t>100</w:t>
      </w:r>
      <w:r w:rsidRPr="0005762E">
        <w:t xml:space="preserve"> ppm</w:t>
      </w:r>
      <w:r w:rsidR="008231BF">
        <w:t xml:space="preserve"> </w:t>
      </w:r>
      <w:r w:rsidR="008231BF" w:rsidRPr="008231BF">
        <w:t>(130 mg/m</w:t>
      </w:r>
      <w:r w:rsidR="008231BF" w:rsidRPr="008231BF">
        <w:rPr>
          <w:vertAlign w:val="superscript"/>
        </w:rPr>
        <w:t>3</w:t>
      </w:r>
      <w:r w:rsidR="008231BF" w:rsidRPr="008231BF">
        <w:t>)</w:t>
      </w:r>
      <w:r w:rsidRPr="0005762E">
        <w:t xml:space="preserve"> is recommended as assigned by </w:t>
      </w:r>
      <w:r>
        <w:t>DFG (2019</w:t>
      </w:r>
      <w:r w:rsidRPr="0005762E">
        <w:t xml:space="preserve">) and </w:t>
      </w:r>
      <w:r>
        <w:t>recommended by the HCOTN (2010)</w:t>
      </w:r>
      <w:r w:rsidRPr="0005762E">
        <w:t xml:space="preserve">. This TWA is cited to be protective of </w:t>
      </w:r>
      <w:r>
        <w:t>CNS</w:t>
      </w:r>
      <w:r w:rsidRPr="0005762E">
        <w:t xml:space="preserve"> effects, adverse effects and </w:t>
      </w:r>
      <w:r>
        <w:t xml:space="preserve">potential </w:t>
      </w:r>
      <w:r w:rsidR="00CC104D">
        <w:t>irritation</w:t>
      </w:r>
      <w:r w:rsidR="00CC104D" w:rsidRPr="0005762E">
        <w:t>. The</w:t>
      </w:r>
      <w:r>
        <w:t xml:space="preserve"> evidence does not warrant </w:t>
      </w:r>
      <w:r w:rsidR="008231BF">
        <w:t xml:space="preserve">the recommendation </w:t>
      </w:r>
      <w:r w:rsidR="00C73E9B">
        <w:t xml:space="preserve">of </w:t>
      </w:r>
      <w:r>
        <w:t>a</w:t>
      </w:r>
      <w:r w:rsidR="00CC104D">
        <w:t xml:space="preserve"> STEL</w:t>
      </w:r>
      <w:r w:rsidR="008231BF">
        <w:t xml:space="preserve"> due to the </w:t>
      </w:r>
      <w:r w:rsidR="00781C3E">
        <w:t xml:space="preserve">recommended </w:t>
      </w:r>
      <w:r w:rsidR="008231BF">
        <w:t>reduction in the TWA</w:t>
      </w:r>
      <w:r>
        <w:t>.</w:t>
      </w:r>
    </w:p>
    <w:p w14:paraId="4A6A5257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0AA8FF27" w14:textId="6BDCAE4C" w:rsidR="009F782D" w:rsidRDefault="009F782D" w:rsidP="009F782D">
      <w:pPr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7E5493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10513FA8" w14:textId="65126991" w:rsidR="009F782D" w:rsidRDefault="009F782D" w:rsidP="009F782D">
      <w:pPr>
        <w:rPr>
          <w:rFonts w:cs="Arial"/>
        </w:rPr>
      </w:pPr>
      <w:r>
        <w:rPr>
          <w:rFonts w:cs="Arial"/>
        </w:rPr>
        <w:t xml:space="preserve">Not classified as a skin </w:t>
      </w:r>
      <w:r w:rsidR="007E5493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67E7E14E" w14:textId="2754C9BF" w:rsidR="0025734A" w:rsidRPr="004C23F4" w:rsidRDefault="00245661">
      <w:pPr>
        <w:rPr>
          <w:rFonts w:cs="Arial"/>
        </w:rPr>
      </w:pPr>
      <w:r w:rsidRPr="00FC432D">
        <w:rPr>
          <w:rFonts w:cs="Arial"/>
        </w:rPr>
        <w:t>A skin notation</w:t>
      </w:r>
      <w:r>
        <w:rPr>
          <w:rFonts w:cs="Arial"/>
        </w:rPr>
        <w:t xml:space="preserve"> is</w:t>
      </w:r>
      <w:r w:rsidRPr="00FC432D">
        <w:rPr>
          <w:rFonts w:cs="Arial"/>
        </w:rPr>
        <w:t xml:space="preserve"> recommended based on adverse systemic effects in humans and animals</w:t>
      </w:r>
      <w:r>
        <w:rPr>
          <w:rFonts w:cs="Arial"/>
        </w:rPr>
        <w:t xml:space="preserve"> following dermal application</w:t>
      </w:r>
      <w:r w:rsidR="009F782D">
        <w:rPr>
          <w:rFonts w:cs="Arial"/>
        </w:rPr>
        <w:t>.</w:t>
      </w:r>
    </w:p>
    <w:p w14:paraId="57E0597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4D4AD0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DFDCE7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3F6546A" w14:textId="77777777" w:rsidTr="0077182A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CE7640F" w14:textId="77777777" w:rsidR="00C978F0" w:rsidRPr="00DA352E" w:rsidRDefault="00C978F0" w:rsidP="0077182A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9E4AA46" w14:textId="77777777" w:rsidTr="0077182A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C112C7E" w14:textId="1D498C29" w:rsidR="00DE26E8" w:rsidRPr="003365A5" w:rsidRDefault="00DE26E8" w:rsidP="0077182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F782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F782D">
                  <w:t>TWA: 200 ppm (262 mg/m</w:t>
                </w:r>
                <w:r w:rsidR="009F782D" w:rsidRPr="009F782D">
                  <w:rPr>
                    <w:vertAlign w:val="superscript"/>
                  </w:rPr>
                  <w:t>3</w:t>
                </w:r>
                <w:r w:rsidR="009F782D">
                  <w:t>); STEL: 250 ppm (328 mg/m</w:t>
                </w:r>
                <w:r w:rsidR="009F782D" w:rsidRPr="009F782D">
                  <w:rPr>
                    <w:vertAlign w:val="superscript"/>
                  </w:rPr>
                  <w:t>3</w:t>
                </w:r>
                <w:r w:rsidR="009F782D">
                  <w:t>)</w:t>
                </w:r>
              </w:sdtContent>
            </w:sdt>
          </w:p>
        </w:tc>
      </w:tr>
      <w:tr w:rsidR="00C978F0" w:rsidRPr="00DA352E" w14:paraId="4824FF9B" w14:textId="77777777" w:rsidTr="0077182A">
        <w:trPr>
          <w:gridAfter w:val="1"/>
          <w:wAfter w:w="8" w:type="pct"/>
        </w:trPr>
        <w:tc>
          <w:tcPr>
            <w:tcW w:w="4992" w:type="pct"/>
          </w:tcPr>
          <w:p w14:paraId="54652ABA" w14:textId="77777777" w:rsidR="00C978F0" w:rsidRPr="00DA352E" w:rsidRDefault="00C978F0" w:rsidP="0077182A">
            <w:pPr>
              <w:pStyle w:val="Tabletextprimarysource"/>
            </w:pPr>
          </w:p>
        </w:tc>
      </w:tr>
      <w:tr w:rsidR="00C978F0" w:rsidRPr="00DA352E" w14:paraId="0838A132" w14:textId="77777777" w:rsidTr="0077182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E6EB593" w14:textId="0BA461C6" w:rsidR="00C978F0" w:rsidRPr="00DA352E" w:rsidRDefault="00DA352E" w:rsidP="0077182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F782D">
                  <w:t>2009</w:t>
                </w:r>
              </w:sdtContent>
            </w:sdt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9F782D">
                  <w:t>TLV-TWA: 200 ppm (262 mg/m</w:t>
                </w:r>
                <w:r w:rsidR="009F782D" w:rsidRPr="009F782D">
                  <w:rPr>
                    <w:vertAlign w:val="superscript"/>
                  </w:rPr>
                  <w:t>3</w:t>
                </w:r>
                <w:r w:rsidR="009F782D">
                  <w:t>); TLV-STEL: 250 ppm (328 mg/m</w:t>
                </w:r>
                <w:r w:rsidR="009F782D" w:rsidRPr="009F782D">
                  <w:rPr>
                    <w:vertAlign w:val="superscript"/>
                  </w:rPr>
                  <w:t>3</w:t>
                </w:r>
                <w:r w:rsidR="009F782D">
                  <w:t>)</w:t>
                </w:r>
              </w:sdtContent>
            </w:sdt>
          </w:p>
        </w:tc>
      </w:tr>
      <w:tr w:rsidR="00C978F0" w:rsidRPr="00DA352E" w14:paraId="547BEB15" w14:textId="77777777" w:rsidTr="0077182A">
        <w:trPr>
          <w:gridAfter w:val="1"/>
          <w:wAfter w:w="8" w:type="pct"/>
        </w:trPr>
        <w:tc>
          <w:tcPr>
            <w:tcW w:w="4992" w:type="pct"/>
          </w:tcPr>
          <w:p w14:paraId="3C36F727" w14:textId="06EB402C" w:rsidR="00C978F0" w:rsidRDefault="005767FC" w:rsidP="0077182A">
            <w:pPr>
              <w:pStyle w:val="Tabletextprimarysource"/>
            </w:pPr>
            <w:r>
              <w:t xml:space="preserve">TLV-TWA recommended to minimise effects of headaches, visual disturbances and nausea. </w:t>
            </w:r>
            <w:r w:rsidR="00513584">
              <w:t>Derivation of TLV-TWA not provided.</w:t>
            </w:r>
          </w:p>
          <w:p w14:paraId="69639EEA" w14:textId="121CF589" w:rsidR="005767FC" w:rsidRDefault="005767FC" w:rsidP="0077182A">
            <w:pPr>
              <w:pStyle w:val="Tabletextprimarysource"/>
            </w:pPr>
            <w:r>
              <w:t>Summary of data:</w:t>
            </w:r>
          </w:p>
          <w:p w14:paraId="7DD0B3E4" w14:textId="579EFCCC" w:rsidR="00303D24" w:rsidRDefault="00303D24" w:rsidP="0077182A">
            <w:pPr>
              <w:pStyle w:val="Tabletextprimarysource"/>
            </w:pPr>
            <w:r>
              <w:t>Human data:</w:t>
            </w:r>
          </w:p>
          <w:p w14:paraId="0954EFC9" w14:textId="2CC43BDF" w:rsidR="00303D24" w:rsidRDefault="00303D24" w:rsidP="007718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Slowly eliminated from body, thus repeated exposure results in increasing concentration in blood and tissue</w:t>
            </w:r>
          </w:p>
          <w:p w14:paraId="7F39A9F5" w14:textId="5E68CAA6" w:rsidR="00303D24" w:rsidRDefault="00303D24" w:rsidP="007718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Occupational poisoning frequently caused death or blindness</w:t>
            </w:r>
            <w:r w:rsidR="001E7269">
              <w:t>, with several cases occurring in confined spaces</w:t>
            </w:r>
          </w:p>
          <w:p w14:paraId="1648C3F4" w14:textId="100442EC" w:rsidR="00303D24" w:rsidRDefault="001E7269" w:rsidP="007718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Report of fatality </w:t>
            </w:r>
            <w:r w:rsidRPr="00F52409">
              <w:rPr>
                <w:i/>
              </w:rPr>
              <w:t>via</w:t>
            </w:r>
            <w:r>
              <w:t xml:space="preserve"> inhalation over 12 h in female worker with reported vapour concentrations ranging from 4,000</w:t>
            </w:r>
            <w:r w:rsidR="004605E4">
              <w:t>–</w:t>
            </w:r>
            <w:r>
              <w:t>13,000 ppm</w:t>
            </w:r>
          </w:p>
          <w:p w14:paraId="4BF426B1" w14:textId="745575F8" w:rsidR="001E7269" w:rsidRDefault="001E7269" w:rsidP="007718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Several studies reported no </w:t>
            </w:r>
            <w:r w:rsidR="0080558C">
              <w:t xml:space="preserve">evidence of </w:t>
            </w:r>
            <w:r>
              <w:t xml:space="preserve">effects in workers exposed to </w:t>
            </w:r>
            <w:r w:rsidR="0080558C">
              <w:t>160</w:t>
            </w:r>
            <w:r w:rsidR="004605E4">
              <w:t>–</w:t>
            </w:r>
            <w:r w:rsidR="0080558C">
              <w:t>1,000</w:t>
            </w:r>
            <w:r w:rsidR="00E7612C">
              <w:t> </w:t>
            </w:r>
            <w:r w:rsidR="0080558C">
              <w:t>ppm, another study indicated severe, recurrent headaches following exposure to 200</w:t>
            </w:r>
            <w:r w:rsidR="004605E4">
              <w:t>–</w:t>
            </w:r>
            <w:r w:rsidR="0080558C">
              <w:t>375</w:t>
            </w:r>
            <w:r w:rsidR="00E7612C">
              <w:t> </w:t>
            </w:r>
            <w:r w:rsidR="0080558C">
              <w:t xml:space="preserve">ppm </w:t>
            </w:r>
          </w:p>
          <w:p w14:paraId="3BEF135B" w14:textId="10A89976" w:rsidR="0080558C" w:rsidRDefault="00EB1AE2" w:rsidP="007718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Ocular disturbances and blindness reported in 2 studies following repeated rubbing of skin</w:t>
            </w:r>
            <w:r w:rsidR="006245BD">
              <w:t xml:space="preserve">; </w:t>
            </w:r>
            <w:r>
              <w:t>however</w:t>
            </w:r>
            <w:r w:rsidR="006245BD">
              <w:t>,</w:t>
            </w:r>
            <w:r>
              <w:t xml:space="preserve"> inhalation may also be route of exposure in these cases</w:t>
            </w:r>
            <w:r w:rsidR="004605E4">
              <w:t>.</w:t>
            </w:r>
          </w:p>
          <w:p w14:paraId="40A03CCF" w14:textId="7D462DA0" w:rsidR="00EB1AE2" w:rsidRDefault="00EB1AE2" w:rsidP="0077182A">
            <w:pPr>
              <w:pStyle w:val="Tabletextprimarysource"/>
            </w:pPr>
            <w:r>
              <w:t>Animal data:</w:t>
            </w:r>
          </w:p>
          <w:p w14:paraId="0CF54FE8" w14:textId="32C6C590" w:rsidR="00781C3E" w:rsidRDefault="00E93CD9" w:rsidP="007718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Differing symptoms in animals compared with humans, with metabolic acidosis and degeneration of retina ganglion cells not seen in rodents</w:t>
            </w:r>
            <w:r w:rsidR="00AF4FE5">
              <w:t>:</w:t>
            </w:r>
          </w:p>
          <w:p w14:paraId="08515102" w14:textId="5F342A65" w:rsidR="00EB1AE2" w:rsidRDefault="00781C3E" w:rsidP="0077182A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a</w:t>
            </w:r>
            <w:r w:rsidR="00E93CD9">
              <w:t>ttributed to metabolic differences</w:t>
            </w:r>
          </w:p>
          <w:p w14:paraId="134465D6" w14:textId="5E831D8E" w:rsidR="00E93CD9" w:rsidRDefault="00273A3A" w:rsidP="007718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Reduction in respiratory rate by 50% occurred at 25,000</w:t>
            </w:r>
            <w:r w:rsidR="004605E4">
              <w:t>–</w:t>
            </w:r>
            <w:r>
              <w:t>41,000 ppm in mice</w:t>
            </w:r>
          </w:p>
          <w:p w14:paraId="1E34597C" w14:textId="61716633" w:rsidR="00273A3A" w:rsidRDefault="00273A3A" w:rsidP="007718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symptoms observed in dogs exposed </w:t>
            </w:r>
            <w:r w:rsidR="00254F02">
              <w:t xml:space="preserve">via inhalation </w:t>
            </w:r>
            <w:r w:rsidR="00781C3E">
              <w:t>at</w:t>
            </w:r>
            <w:r>
              <w:t xml:space="preserve"> 450</w:t>
            </w:r>
            <w:r w:rsidR="004605E4">
              <w:t>–</w:t>
            </w:r>
            <w:r>
              <w:t xml:space="preserve">500 ppm for 379 d and exposure limit of 200 ppm </w:t>
            </w:r>
            <w:r w:rsidR="00A53B94">
              <w:t>recommended</w:t>
            </w:r>
            <w:r>
              <w:t xml:space="preserve"> based on this study</w:t>
            </w:r>
          </w:p>
          <w:p w14:paraId="50543CBA" w14:textId="7EA0D855" w:rsidR="00781C3E" w:rsidRDefault="00E93CD9" w:rsidP="007718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results for carcinogenicity</w:t>
            </w:r>
            <w:r w:rsidR="00AF4FE5">
              <w:t>:</w:t>
            </w:r>
          </w:p>
          <w:p w14:paraId="517227D0" w14:textId="6BCC2D66" w:rsidR="00781C3E" w:rsidRDefault="00781C3E" w:rsidP="0077182A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m</w:t>
            </w:r>
            <w:r w:rsidR="00E93CD9">
              <w:t>utagenic in RK mutagen test</w:t>
            </w:r>
          </w:p>
          <w:p w14:paraId="4A114DEF" w14:textId="7244E000" w:rsidR="00E93CD9" w:rsidRDefault="00E93CD9" w:rsidP="0077182A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not mutagenic in other microbial and mammalian cell assays.</w:t>
            </w:r>
          </w:p>
          <w:p w14:paraId="07FE4225" w14:textId="77777777" w:rsidR="00781C3E" w:rsidRDefault="00781C3E" w:rsidP="0077182A">
            <w:pPr>
              <w:pStyle w:val="Tabletextprimarysource"/>
            </w:pPr>
          </w:p>
          <w:p w14:paraId="5A9C98FB" w14:textId="31B8576A" w:rsidR="005767FC" w:rsidRDefault="005767FC" w:rsidP="0077182A">
            <w:pPr>
              <w:pStyle w:val="Tabletextprimarysource"/>
            </w:pPr>
            <w:r>
              <w:t>A skin notation is recommended due to absorption through the skin causing blindness and other visual disturbances.</w:t>
            </w:r>
          </w:p>
          <w:p w14:paraId="308E27C7" w14:textId="77777777" w:rsidR="005767FC" w:rsidRDefault="005767FC" w:rsidP="0077182A">
            <w:pPr>
              <w:pStyle w:val="Tabletextprimarysource"/>
            </w:pPr>
            <w:r>
              <w:t>Insufficient data to recommend SEN or carcinogenicity notation.</w:t>
            </w:r>
          </w:p>
          <w:p w14:paraId="7F8CB801" w14:textId="3E752EB8" w:rsidR="00781C3E" w:rsidRPr="00DA352E" w:rsidRDefault="00781C3E" w:rsidP="0077182A">
            <w:pPr>
              <w:pStyle w:val="Tabletextprimarysource"/>
            </w:pPr>
          </w:p>
        </w:tc>
      </w:tr>
      <w:tr w:rsidR="00C978F0" w:rsidRPr="00DA352E" w14:paraId="79CECE04" w14:textId="77777777" w:rsidTr="0077182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0F6740C" w14:textId="15DAD031" w:rsidR="00C978F0" w:rsidRPr="00DA352E" w:rsidRDefault="00DA352E" w:rsidP="0077182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F782D">
                  <w:t>201</w:t>
                </w:r>
                <w:r w:rsidR="00C418D4">
                  <w:t>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9F782D">
                  <w:t>MAK: 100 ppm (13</w:t>
                </w:r>
                <w:r w:rsidR="00C418D4">
                  <w:t>0</w:t>
                </w:r>
                <w:r w:rsidR="009F782D">
                  <w:t xml:space="preserve"> mg/m</w:t>
                </w:r>
                <w:r w:rsidR="009F782D" w:rsidRPr="009F782D">
                  <w:rPr>
                    <w:vertAlign w:val="superscript"/>
                  </w:rPr>
                  <w:t>3</w:t>
                </w:r>
                <w:r w:rsidR="009F782D">
                  <w:t>)</w:t>
                </w:r>
              </w:sdtContent>
            </w:sdt>
          </w:p>
        </w:tc>
      </w:tr>
      <w:tr w:rsidR="00C978F0" w:rsidRPr="00DA352E" w14:paraId="778D0E6A" w14:textId="77777777" w:rsidTr="0077182A">
        <w:trPr>
          <w:gridAfter w:val="1"/>
          <w:wAfter w:w="8" w:type="pct"/>
        </w:trPr>
        <w:tc>
          <w:tcPr>
            <w:tcW w:w="4992" w:type="pct"/>
          </w:tcPr>
          <w:p w14:paraId="4256EADF" w14:textId="750D6414" w:rsidR="0005762E" w:rsidRDefault="0005762E" w:rsidP="0077182A">
            <w:pPr>
              <w:pStyle w:val="Tabletextprimarysource"/>
            </w:pPr>
            <w:r>
              <w:t>MAK recommended to protect for irritation and CNS effects.</w:t>
            </w:r>
          </w:p>
          <w:p w14:paraId="58209EB3" w14:textId="791F3260" w:rsidR="004F2E55" w:rsidRDefault="00C418D4" w:rsidP="0077182A">
            <w:pPr>
              <w:pStyle w:val="Tabletextprimarysource"/>
            </w:pPr>
            <w:r>
              <w:t>Summary of additional data:</w:t>
            </w:r>
          </w:p>
          <w:p w14:paraId="7D282C5D" w14:textId="5477CD36" w:rsidR="00781C3E" w:rsidRDefault="0028338B" w:rsidP="007718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NOAEC= 200 ppm </w:t>
            </w:r>
            <w:r w:rsidR="00A416CE">
              <w:t>(4 h exposure</w:t>
            </w:r>
            <w:r w:rsidR="00DF7895">
              <w:t xml:space="preserve"> at rest</w:t>
            </w:r>
            <w:r w:rsidR="00A416CE">
              <w:t xml:space="preserve">) </w:t>
            </w:r>
            <w:r>
              <w:t>for acute neurotoxic effects and mucus membrane irritation</w:t>
            </w:r>
            <w:r w:rsidR="00AF4FE5">
              <w:t>:</w:t>
            </w:r>
          </w:p>
          <w:p w14:paraId="5167DCE4" w14:textId="0D9B95DF" w:rsidR="00781C3E" w:rsidRDefault="007D7D3D" w:rsidP="0077182A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4 h exposure at 200 ppm</w:t>
            </w:r>
            <w:r w:rsidR="00F23EFE">
              <w:t xml:space="preserve"> </w:t>
            </w:r>
            <w:r w:rsidR="008231BF">
              <w:t>corresponds to 6.5 mg/L</w:t>
            </w:r>
            <w:r w:rsidR="00723443">
              <w:t xml:space="preserve"> in blood</w:t>
            </w:r>
          </w:p>
          <w:p w14:paraId="10F0B647" w14:textId="2D30249C" w:rsidR="0028338B" w:rsidRDefault="00723443" w:rsidP="0077182A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 xml:space="preserve">no </w:t>
            </w:r>
            <w:r w:rsidR="007D7D3D">
              <w:t>neuro</w:t>
            </w:r>
            <w:r>
              <w:t>behavioural effects</w:t>
            </w:r>
          </w:p>
          <w:p w14:paraId="72D9F753" w14:textId="6186691F" w:rsidR="00781C3E" w:rsidRDefault="00723443" w:rsidP="007718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Reports worker exposure </w:t>
            </w:r>
            <w:r w:rsidR="00DF7895">
              <w:t xml:space="preserve">(with physical activity) </w:t>
            </w:r>
            <w:r>
              <w:t>at 100 ppm for 8</w:t>
            </w:r>
            <w:r w:rsidR="00CC104D">
              <w:t xml:space="preserve"> </w:t>
            </w:r>
            <w:r>
              <w:t xml:space="preserve">h results in </w:t>
            </w:r>
            <w:r w:rsidR="00CC104D">
              <w:t>~</w:t>
            </w:r>
            <w:r>
              <w:t>6 mg/L in blood</w:t>
            </w:r>
            <w:r w:rsidR="00AF4FE5">
              <w:t>:</w:t>
            </w:r>
          </w:p>
          <w:p w14:paraId="38A0A947" w14:textId="0991BAB1" w:rsidR="00DF7895" w:rsidRDefault="00E7612C" w:rsidP="0077182A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lastRenderedPageBreak/>
              <w:t>c</w:t>
            </w:r>
            <w:r w:rsidR="00CA070C">
              <w:t>orresponds to concentration in blood where no effects observed</w:t>
            </w:r>
          </w:p>
          <w:p w14:paraId="06C3DD07" w14:textId="17E49E7C" w:rsidR="00723443" w:rsidRDefault="00723443" w:rsidP="0077182A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half-life in the blood is 1.4 h; based on this information no accumulation expected over working week</w:t>
            </w:r>
          </w:p>
          <w:p w14:paraId="34B4976F" w14:textId="4469E07D" w:rsidR="00C418D4" w:rsidRDefault="00723443" w:rsidP="007718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at 100 ppm not expect</w:t>
            </w:r>
            <w:r w:rsidR="00254F02">
              <w:t>ed</w:t>
            </w:r>
            <w:r>
              <w:t xml:space="preserve"> </w:t>
            </w:r>
            <w:r w:rsidR="00254F02">
              <w:t xml:space="preserve">to </w:t>
            </w:r>
            <w:r>
              <w:t>result in acidosis</w:t>
            </w:r>
            <w:r w:rsidR="00CC104D">
              <w:t>.</w:t>
            </w:r>
          </w:p>
          <w:p w14:paraId="0DC2719B" w14:textId="3613E7E9" w:rsidR="00781C3E" w:rsidRPr="00DA352E" w:rsidRDefault="00781C3E" w:rsidP="0077182A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2DB3390C" w14:textId="77777777" w:rsidTr="0077182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96EE0CE" w14:textId="7E2E9275" w:rsidR="00C978F0" w:rsidRPr="00DA352E" w:rsidRDefault="00DA352E" w:rsidP="0077182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F782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id w:val="-602339656"/>
                    <w:placeholder>
                      <w:docPart w:val="52B463F40ACB4B2C97BA93B17216FF4E"/>
                    </w:placeholder>
                    <w:text/>
                  </w:sdtPr>
                  <w:sdtEndPr/>
                  <w:sdtContent>
                    <w:r w:rsidR="009F782D">
                      <w:t>NA</w:t>
                    </w:r>
                  </w:sdtContent>
                </w:sdt>
              </w:sdtContent>
            </w:sdt>
          </w:p>
        </w:tc>
      </w:tr>
      <w:tr w:rsidR="00C978F0" w:rsidRPr="00DA352E" w14:paraId="51933658" w14:textId="77777777" w:rsidTr="0077182A">
        <w:trPr>
          <w:gridAfter w:val="1"/>
          <w:wAfter w:w="8" w:type="pct"/>
        </w:trPr>
        <w:tc>
          <w:tcPr>
            <w:tcW w:w="4992" w:type="pct"/>
          </w:tcPr>
          <w:p w14:paraId="4FA03EBA" w14:textId="0D8D7893" w:rsidR="00C978F0" w:rsidRPr="00DA352E" w:rsidRDefault="009F782D" w:rsidP="0077182A">
            <w:pPr>
              <w:pStyle w:val="Tabletextprimarysource"/>
            </w:pPr>
            <w:r>
              <w:t>No report</w:t>
            </w:r>
            <w:r w:rsidR="004605E4">
              <w:t>.</w:t>
            </w:r>
          </w:p>
        </w:tc>
      </w:tr>
      <w:tr w:rsidR="00DA352E" w:rsidRPr="00DA352E" w14:paraId="5550CE8B" w14:textId="77777777" w:rsidTr="0077182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798A078" w14:textId="68B40A26" w:rsidR="00DA352E" w:rsidRPr="00DA352E" w:rsidRDefault="00DA352E" w:rsidP="0077182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F782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id w:val="-2020619142"/>
                    <w:placeholder>
                      <w:docPart w:val="B1442688BBEA4AF8A4A44AA4A5377D45"/>
                    </w:placeholder>
                    <w:text/>
                  </w:sdtPr>
                  <w:sdtEndPr/>
                  <w:sdtContent>
                    <w:r w:rsidR="009F782D">
                      <w:t>NA</w:t>
                    </w:r>
                  </w:sdtContent>
                </w:sdt>
              </w:sdtContent>
            </w:sdt>
          </w:p>
        </w:tc>
      </w:tr>
      <w:tr w:rsidR="00DA352E" w:rsidRPr="00DA352E" w14:paraId="4FA886C5" w14:textId="77777777" w:rsidTr="0077182A">
        <w:trPr>
          <w:gridAfter w:val="1"/>
          <w:wAfter w:w="8" w:type="pct"/>
        </w:trPr>
        <w:tc>
          <w:tcPr>
            <w:tcW w:w="4992" w:type="pct"/>
          </w:tcPr>
          <w:p w14:paraId="1810981E" w14:textId="40A65372" w:rsidR="00DA352E" w:rsidRPr="00DA352E" w:rsidRDefault="009F782D" w:rsidP="0077182A">
            <w:pPr>
              <w:pStyle w:val="Tabletextprimarysource"/>
            </w:pPr>
            <w:r>
              <w:t>No report</w:t>
            </w:r>
            <w:r w:rsidR="004605E4">
              <w:t>.</w:t>
            </w:r>
          </w:p>
        </w:tc>
      </w:tr>
      <w:tr w:rsidR="00DA352E" w:rsidRPr="00DA352E" w14:paraId="3777B6D0" w14:textId="77777777" w:rsidTr="0077182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F472589" w14:textId="00830DA3" w:rsidR="00DA352E" w:rsidRPr="00DA352E" w:rsidRDefault="00DA352E" w:rsidP="0077182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F782D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9F782D">
                  <w:t xml:space="preserve">TWA: </w:t>
                </w:r>
                <w:r w:rsidR="00613B5C">
                  <w:t>2</w:t>
                </w:r>
                <w:r w:rsidR="009F782D" w:rsidRPr="000F7846">
                  <w:t>00 ppm</w:t>
                </w:r>
                <w:r w:rsidR="009F782D">
                  <w:t xml:space="preserve"> (</w:t>
                </w:r>
                <w:r w:rsidR="00613B5C">
                  <w:t xml:space="preserve">260 </w:t>
                </w:r>
                <w:r w:rsidR="009F782D">
                  <w:t>mg/m</w:t>
                </w:r>
                <w:r w:rsidR="009F782D" w:rsidRPr="009F782D">
                  <w:rPr>
                    <w:vertAlign w:val="superscript"/>
                  </w:rPr>
                  <w:t>3</w:t>
                </w:r>
                <w:r w:rsidR="009F782D">
                  <w:t>)</w:t>
                </w:r>
                <w:r w:rsidR="00613B5C">
                  <w:t>; STEL 400 ppm (520 mg/m</w:t>
                </w:r>
                <w:r w:rsidR="00613B5C">
                  <w:rPr>
                    <w:vertAlign w:val="superscript"/>
                  </w:rPr>
                  <w:t>3</w:t>
                </w:r>
                <w:r w:rsidR="00613B5C">
                  <w:t>)</w:t>
                </w:r>
              </w:sdtContent>
            </w:sdt>
          </w:p>
        </w:tc>
      </w:tr>
      <w:tr w:rsidR="00DA352E" w:rsidRPr="00DA352E" w14:paraId="37BE9FEC" w14:textId="77777777" w:rsidTr="0077182A">
        <w:trPr>
          <w:gridAfter w:val="1"/>
          <w:wAfter w:w="8" w:type="pct"/>
        </w:trPr>
        <w:tc>
          <w:tcPr>
            <w:tcW w:w="4992" w:type="pct"/>
          </w:tcPr>
          <w:p w14:paraId="3B8343F9" w14:textId="4B245A39" w:rsidR="00C418D4" w:rsidRDefault="00C272A9" w:rsidP="0077182A">
            <w:pPr>
              <w:pStyle w:val="Tabletextprimarysource"/>
            </w:pPr>
            <w:r>
              <w:t>TWA</w:t>
            </w:r>
            <w:r w:rsidR="00C418D4">
              <w:t xml:space="preserve"> recommended to protect workers from acute neurotoxic and </w:t>
            </w:r>
            <w:r w:rsidR="00F958D8">
              <w:t>CNS</w:t>
            </w:r>
            <w:r w:rsidR="00C418D4">
              <w:t xml:space="preserve"> effects and was based on extrapolation from animal studies.</w:t>
            </w:r>
          </w:p>
          <w:p w14:paraId="4CA62036" w14:textId="7684E36E" w:rsidR="00613B5C" w:rsidRPr="00613B5C" w:rsidRDefault="00F23EFE" w:rsidP="0077182A">
            <w:pPr>
              <w:pStyle w:val="Tabletextprimarysource"/>
            </w:pPr>
            <w:r>
              <w:t>Committee</w:t>
            </w:r>
            <w:r w:rsidR="00613B5C">
              <w:t xml:space="preserve"> recommend</w:t>
            </w:r>
            <w:r>
              <w:t>ed lowering of administrative value</w:t>
            </w:r>
            <w:r w:rsidR="00613B5C">
              <w:t xml:space="preserve"> </w:t>
            </w:r>
            <w:r>
              <w:t xml:space="preserve">to </w:t>
            </w:r>
            <w:r w:rsidR="00613B5C">
              <w:t>TWA of 100 ppm (133 mg/m</w:t>
            </w:r>
            <w:r w:rsidR="00613B5C">
              <w:rPr>
                <w:vertAlign w:val="superscript"/>
              </w:rPr>
              <w:t>3</w:t>
            </w:r>
            <w:r w:rsidR="00613B5C">
              <w:t>)</w:t>
            </w:r>
            <w:r>
              <w:t xml:space="preserve"> based on </w:t>
            </w:r>
            <w:r w:rsidR="00705B9C">
              <w:t xml:space="preserve">cited </w:t>
            </w:r>
            <w:r>
              <w:t xml:space="preserve">NOAEL </w:t>
            </w:r>
            <w:r w:rsidR="00705B9C">
              <w:t>of 1,000 ppm in animals and applying an uncertainty factor of 10 for interspecies and intraspecies variation.</w:t>
            </w:r>
          </w:p>
          <w:p w14:paraId="2F0D8A39" w14:textId="77777777" w:rsidR="009668A8" w:rsidRDefault="009668A8" w:rsidP="0077182A">
            <w:pPr>
              <w:pStyle w:val="Tabletextprimarysource"/>
            </w:pPr>
            <w:r>
              <w:t>Summary of additional data:</w:t>
            </w:r>
          </w:p>
          <w:p w14:paraId="4AB5BFAC" w14:textId="729FCEF6" w:rsidR="00723443" w:rsidRDefault="00723443" w:rsidP="007718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human studies to derive OEL</w:t>
            </w:r>
          </w:p>
          <w:p w14:paraId="02291E3B" w14:textId="39A00392" w:rsidR="009668A8" w:rsidRDefault="009668A8" w:rsidP="007718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Animal studies indicate liquid may cause moderate skin irritation but no skin sensitisation</w:t>
            </w:r>
          </w:p>
          <w:p w14:paraId="10417E2A" w14:textId="5F088FCC" w:rsidR="00723443" w:rsidRDefault="009668A8" w:rsidP="007718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NOAEL: 1,330 mg/m</w:t>
            </w:r>
            <w:r>
              <w:rPr>
                <w:vertAlign w:val="superscript"/>
              </w:rPr>
              <w:t>3</w:t>
            </w:r>
            <w:r>
              <w:t xml:space="preserve"> (1,000 ppm) in rats and mice exposed for 19</w:t>
            </w:r>
            <w:r w:rsidR="004605E4">
              <w:t>–</w:t>
            </w:r>
            <w:r>
              <w:t>20 h/d for 18</w:t>
            </w:r>
            <w:r w:rsidR="004605E4">
              <w:t>–</w:t>
            </w:r>
            <w:r>
              <w:t>24 mo</w:t>
            </w:r>
            <w:r w:rsidR="00723443">
              <w:t xml:space="preserve">; no </w:t>
            </w:r>
            <w:r>
              <w:t>neoplastic or non-neoplastic effects</w:t>
            </w:r>
          </w:p>
          <w:p w14:paraId="11D6C460" w14:textId="787AC3F6" w:rsidR="009668A8" w:rsidRDefault="009668A8" w:rsidP="007718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Repeat-dose </w:t>
            </w:r>
            <w:r w:rsidR="006E5243">
              <w:t xml:space="preserve">inhalational </w:t>
            </w:r>
            <w:r>
              <w:t>toxicity studies over 4 wk showed no systemic effects in monkeys or rats exposed up to 6,650 mg/m</w:t>
            </w:r>
            <w:r>
              <w:rPr>
                <w:vertAlign w:val="superscript"/>
              </w:rPr>
              <w:t>3</w:t>
            </w:r>
            <w:r>
              <w:t xml:space="preserve"> (5,000 ppm) (6 h/d, 5 d/wk)</w:t>
            </w:r>
            <w:r w:rsidR="00245661">
              <w:t>.</w:t>
            </w:r>
          </w:p>
          <w:p w14:paraId="52F3BB29" w14:textId="77777777" w:rsidR="00781C3E" w:rsidRDefault="00781C3E" w:rsidP="0077182A">
            <w:pPr>
              <w:pStyle w:val="Tabletextprimarysource"/>
            </w:pPr>
          </w:p>
          <w:p w14:paraId="1FF967DA" w14:textId="77777777" w:rsidR="00DA352E" w:rsidRDefault="009668A8" w:rsidP="0077182A">
            <w:pPr>
              <w:pStyle w:val="Tabletextprimarysource"/>
            </w:pPr>
            <w:r>
              <w:t>Not likely to be genotoxic or have carcinogenic potential.</w:t>
            </w:r>
          </w:p>
          <w:p w14:paraId="06AD0C54" w14:textId="7E7D1772" w:rsidR="00781C3E" w:rsidRPr="00DA352E" w:rsidRDefault="00781C3E" w:rsidP="0077182A">
            <w:pPr>
              <w:pStyle w:val="Tabletextprimarysource"/>
            </w:pPr>
          </w:p>
        </w:tc>
      </w:tr>
    </w:tbl>
    <w:p w14:paraId="2709FD6C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263255" w14:paraId="37B4D18A" w14:textId="77777777" w:rsidTr="00245661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454BE629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BC98924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D9EE02D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630AFDBB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1DE15CF" w14:textId="77777777" w:rsidTr="00245661">
        <w:trPr>
          <w:cantSplit/>
        </w:trPr>
        <w:tc>
          <w:tcPr>
            <w:tcW w:w="1498" w:type="dxa"/>
          </w:tcPr>
          <w:p w14:paraId="6A319700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0B7AD031" w14:textId="5D296CE8" w:rsidR="004966BF" w:rsidRPr="00CE617F" w:rsidRDefault="0089416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A4BD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1919E94" w14:textId="677B6981" w:rsidR="004966BF" w:rsidRPr="004C23F4" w:rsidRDefault="00B4492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4" w:type="dxa"/>
          </w:tcPr>
          <w:p w14:paraId="4A7D3EC6" w14:textId="3D463568" w:rsidR="004966BF" w:rsidRPr="004C23F4" w:rsidRDefault="003A4BDB" w:rsidP="00F958D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DNEL</w:t>
            </w:r>
            <w:r w:rsidR="00BB65D2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130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4605E4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1B3D838" w14:textId="77777777" w:rsidTr="00245661">
        <w:trPr>
          <w:cantSplit/>
        </w:trPr>
        <w:tc>
          <w:tcPr>
            <w:tcW w:w="1498" w:type="dxa"/>
          </w:tcPr>
          <w:p w14:paraId="4F65CFDE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0FE4565C" w14:textId="24D66BDB" w:rsidR="004966BF" w:rsidRDefault="0089416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4566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5D1D1AD" w14:textId="1A44B918" w:rsidR="004966BF" w:rsidRPr="004C23F4" w:rsidRDefault="0024566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4" w:type="dxa"/>
          </w:tcPr>
          <w:p w14:paraId="1D65B3EA" w14:textId="342814D1" w:rsidR="00245661" w:rsidRPr="00F958D8" w:rsidRDefault="00245661" w:rsidP="00F958D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REL: </w:t>
            </w:r>
            <w:r w:rsidRPr="00F958D8">
              <w:t>200</w:t>
            </w:r>
            <w:r>
              <w:rPr>
                <w:rStyle w:val="checkbox"/>
                <w:rFonts w:ascii="Arial" w:hAnsi="Arial" w:cs="Arial"/>
              </w:rPr>
              <w:t xml:space="preserve"> ppm (260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) TWA, 250 ppm (325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) STEL</w:t>
            </w:r>
            <w:r w:rsidR="00AF4FE5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41802EA5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86ED4F9" w14:textId="77777777" w:rsidTr="00FA4BE9">
        <w:trPr>
          <w:trHeight w:val="454"/>
          <w:tblHeader/>
        </w:trPr>
        <w:tc>
          <w:tcPr>
            <w:tcW w:w="6603" w:type="dxa"/>
            <w:vAlign w:val="center"/>
          </w:tcPr>
          <w:p w14:paraId="6D8A577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F4B57A9" w14:textId="3B15A191" w:rsidR="002E0D61" w:rsidRDefault="00FA4BE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0CB4F317" w14:textId="77777777" w:rsidTr="00FA4BE9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4F1409D" w14:textId="4855FF02" w:rsidR="008A36CF" w:rsidRPr="006901A2" w:rsidRDefault="00FA4BE9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6648AA2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022701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39D8C2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43257B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A5C57B5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8F07BA8" w14:textId="77777777" w:rsidTr="00812887">
        <w:trPr>
          <w:cantSplit/>
        </w:trPr>
        <w:tc>
          <w:tcPr>
            <w:tcW w:w="3227" w:type="dxa"/>
          </w:tcPr>
          <w:p w14:paraId="4E158B8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B95B293" w14:textId="2912E242" w:rsidR="00687890" w:rsidRPr="00DD2F9B" w:rsidRDefault="009F782D" w:rsidP="00DD2F9B">
            <w:pPr>
              <w:pStyle w:val="Tablefont"/>
            </w:pPr>
            <w:r w:rsidRPr="009F782D">
              <w:t>Skin</w:t>
            </w:r>
          </w:p>
        </w:tc>
      </w:tr>
      <w:tr w:rsidR="007925F0" w:rsidRPr="004C23F4" w14:paraId="0DC139A4" w14:textId="77777777" w:rsidTr="00812887">
        <w:trPr>
          <w:cantSplit/>
        </w:trPr>
        <w:tc>
          <w:tcPr>
            <w:tcW w:w="3227" w:type="dxa"/>
          </w:tcPr>
          <w:p w14:paraId="2CC4B619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18A9D4C" w14:textId="0E6107EE" w:rsidR="007925F0" w:rsidRPr="00DD2F9B" w:rsidRDefault="009F782D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5ACCE12C" w14:textId="77777777" w:rsidTr="00812887">
        <w:trPr>
          <w:cantSplit/>
        </w:trPr>
        <w:tc>
          <w:tcPr>
            <w:tcW w:w="3227" w:type="dxa"/>
          </w:tcPr>
          <w:p w14:paraId="48CCF190" w14:textId="77777777" w:rsidR="00AF483F" w:rsidRPr="004C23F4" w:rsidRDefault="00AF483F" w:rsidP="00F4402E">
            <w:pPr>
              <w:pStyle w:val="Tablefont"/>
            </w:pPr>
            <w:r>
              <w:lastRenderedPageBreak/>
              <w:t>NICNAS</w:t>
            </w:r>
          </w:p>
        </w:tc>
        <w:tc>
          <w:tcPr>
            <w:tcW w:w="6015" w:type="dxa"/>
          </w:tcPr>
          <w:p w14:paraId="795C08DC" w14:textId="4D3BB996" w:rsidR="00AF483F" w:rsidRPr="00DD2F9B" w:rsidRDefault="009F782D" w:rsidP="00DD2F9B">
            <w:pPr>
              <w:pStyle w:val="Tablefont"/>
            </w:pPr>
            <w:r w:rsidRPr="009F782D">
              <w:t>Skin</w:t>
            </w:r>
          </w:p>
        </w:tc>
      </w:tr>
      <w:tr w:rsidR="00687890" w:rsidRPr="004C23F4" w14:paraId="021968F6" w14:textId="77777777" w:rsidTr="00812887">
        <w:trPr>
          <w:cantSplit/>
        </w:trPr>
        <w:tc>
          <w:tcPr>
            <w:tcW w:w="3227" w:type="dxa"/>
          </w:tcPr>
          <w:p w14:paraId="00E73B9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1E4D057" w14:textId="5FCF7125" w:rsidR="00687890" w:rsidRPr="00DD2F9B" w:rsidRDefault="009F782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C2D10B6" w14:textId="77777777" w:rsidTr="00812887">
        <w:trPr>
          <w:cantSplit/>
        </w:trPr>
        <w:tc>
          <w:tcPr>
            <w:tcW w:w="3227" w:type="dxa"/>
          </w:tcPr>
          <w:p w14:paraId="23DC4BA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54F3EE7" w14:textId="24FD36C7" w:rsidR="00E41A26" w:rsidRPr="00DD2F9B" w:rsidRDefault="00604CA8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A9F03B0" w14:textId="77777777" w:rsidTr="00812887">
        <w:trPr>
          <w:cantSplit/>
        </w:trPr>
        <w:tc>
          <w:tcPr>
            <w:tcW w:w="3227" w:type="dxa"/>
          </w:tcPr>
          <w:p w14:paraId="47E70C6E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5D4AA89" w14:textId="14CE6FB7" w:rsidR="002E0D61" w:rsidRPr="00DD2F9B" w:rsidRDefault="00604CA8" w:rsidP="00DD2F9B">
            <w:pPr>
              <w:pStyle w:val="Tablefont"/>
            </w:pPr>
            <w:r w:rsidRPr="009F782D">
              <w:t>Skin</w:t>
            </w:r>
          </w:p>
        </w:tc>
      </w:tr>
      <w:tr w:rsidR="002E0D61" w:rsidRPr="004C23F4" w14:paraId="4BB15745" w14:textId="77777777" w:rsidTr="00812887">
        <w:trPr>
          <w:cantSplit/>
        </w:trPr>
        <w:tc>
          <w:tcPr>
            <w:tcW w:w="3227" w:type="dxa"/>
          </w:tcPr>
          <w:p w14:paraId="515D607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64978F1" w14:textId="00102AFB" w:rsidR="002E0D61" w:rsidRPr="00DD2F9B" w:rsidRDefault="00604CA8" w:rsidP="00DD2F9B">
            <w:pPr>
              <w:pStyle w:val="Tablefont"/>
            </w:pPr>
            <w:r w:rsidRPr="00604CA8">
              <w:t>H (skin)</w:t>
            </w:r>
          </w:p>
        </w:tc>
      </w:tr>
      <w:tr w:rsidR="002E0D61" w:rsidRPr="004C23F4" w14:paraId="41D080AE" w14:textId="77777777" w:rsidTr="00812887">
        <w:trPr>
          <w:cantSplit/>
        </w:trPr>
        <w:tc>
          <w:tcPr>
            <w:tcW w:w="3227" w:type="dxa"/>
          </w:tcPr>
          <w:p w14:paraId="6D6DC1D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6B32649" w14:textId="420C3B26" w:rsidR="002E0D61" w:rsidRPr="00DD2F9B" w:rsidRDefault="00604CA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7E91565" w14:textId="77777777" w:rsidTr="00812887">
        <w:trPr>
          <w:cantSplit/>
        </w:trPr>
        <w:tc>
          <w:tcPr>
            <w:tcW w:w="3227" w:type="dxa"/>
          </w:tcPr>
          <w:p w14:paraId="76E57BF5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CD163A8" w14:textId="0BA3B162" w:rsidR="002E0D61" w:rsidRPr="00DD2F9B" w:rsidRDefault="00604CA8" w:rsidP="00DD2F9B">
            <w:pPr>
              <w:pStyle w:val="Tablefont"/>
            </w:pPr>
            <w:r w:rsidRPr="009F782D">
              <w:t>Skin</w:t>
            </w:r>
          </w:p>
        </w:tc>
      </w:tr>
      <w:tr w:rsidR="00386093" w:rsidRPr="004C23F4" w14:paraId="2277C8B4" w14:textId="77777777" w:rsidTr="00812887">
        <w:trPr>
          <w:cantSplit/>
        </w:trPr>
        <w:tc>
          <w:tcPr>
            <w:tcW w:w="3227" w:type="dxa"/>
          </w:tcPr>
          <w:p w14:paraId="73E6BD1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5F065A1" w14:textId="150B14D2" w:rsidR="00386093" w:rsidRPr="00DD2F9B" w:rsidRDefault="00604CA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1BA6D9E" w14:textId="77777777" w:rsidTr="00812887">
        <w:trPr>
          <w:cantSplit/>
        </w:trPr>
        <w:tc>
          <w:tcPr>
            <w:tcW w:w="3227" w:type="dxa"/>
          </w:tcPr>
          <w:p w14:paraId="685B5491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2C81AD7" w14:textId="59A18756" w:rsidR="00386093" w:rsidRPr="00DD2F9B" w:rsidRDefault="00604CA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80C132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2468C7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4B5B14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78782E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0D3BCB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26" w:type="dxa"/>
              <w:tblLook w:val="04A0" w:firstRow="1" w:lastRow="0" w:firstColumn="1" w:lastColumn="0" w:noHBand="0" w:noVBand="1"/>
            </w:tblPr>
            <w:tblGrid>
              <w:gridCol w:w="3309"/>
              <w:gridCol w:w="974"/>
              <w:gridCol w:w="974"/>
              <w:gridCol w:w="3553"/>
            </w:tblGrid>
            <w:tr w:rsidR="00245661" w:rsidRPr="00245661" w14:paraId="60BAE3D3" w14:textId="77777777" w:rsidTr="0024566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BCC082" w14:textId="77777777" w:rsidR="00245661" w:rsidRPr="00245661" w:rsidRDefault="00245661" w:rsidP="002456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3322971" w14:textId="77777777" w:rsidR="00245661" w:rsidRPr="00245661" w:rsidRDefault="00245661" w:rsidP="0024566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6CDBAB" w14:textId="77777777" w:rsidR="00245661" w:rsidRPr="00245661" w:rsidRDefault="00245661" w:rsidP="002456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3426A1" w14:textId="77777777" w:rsidR="00245661" w:rsidRPr="00245661" w:rsidRDefault="00245661" w:rsidP="002456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45661" w:rsidRPr="00245661" w14:paraId="46E587F4" w14:textId="77777777" w:rsidTr="0024566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C300DF" w14:textId="77777777" w:rsidR="00245661" w:rsidRPr="00245661" w:rsidRDefault="00245661" w:rsidP="002456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056871" w14:textId="77777777" w:rsidR="00245661" w:rsidRPr="00245661" w:rsidRDefault="00245661" w:rsidP="0024566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849396" w14:textId="77777777" w:rsidR="00245661" w:rsidRPr="00245661" w:rsidRDefault="00245661" w:rsidP="002456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1EC7D8" w14:textId="77777777" w:rsidR="00245661" w:rsidRPr="00245661" w:rsidRDefault="00245661" w:rsidP="002456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45661" w:rsidRPr="00245661" w14:paraId="5201273B" w14:textId="77777777" w:rsidTr="0024566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9D775A" w14:textId="77777777" w:rsidR="00245661" w:rsidRPr="00245661" w:rsidRDefault="00245661" w:rsidP="002456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F89E20" w14:textId="77777777" w:rsidR="00245661" w:rsidRPr="00245661" w:rsidRDefault="00245661" w:rsidP="0024566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D6F0CA" w14:textId="77777777" w:rsidR="00245661" w:rsidRPr="00245661" w:rsidRDefault="00245661" w:rsidP="002456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E053F1" w14:textId="77777777" w:rsidR="00245661" w:rsidRPr="00245661" w:rsidRDefault="00245661" w:rsidP="002456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45661" w:rsidRPr="00245661" w14:paraId="0C724174" w14:textId="77777777" w:rsidTr="0024566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4AE4D1" w14:textId="77777777" w:rsidR="00245661" w:rsidRPr="00245661" w:rsidRDefault="00245661" w:rsidP="002456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38EC5D" w14:textId="77777777" w:rsidR="00245661" w:rsidRPr="00245661" w:rsidRDefault="00245661" w:rsidP="0024566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D0555E" w14:textId="77777777" w:rsidR="00245661" w:rsidRPr="00245661" w:rsidRDefault="00245661" w:rsidP="002456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67F015" w14:textId="77777777" w:rsidR="00245661" w:rsidRPr="00245661" w:rsidRDefault="00245661" w:rsidP="002456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45661" w:rsidRPr="00245661" w14:paraId="5FFD9803" w14:textId="77777777" w:rsidTr="0024566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45C14E" w14:textId="77777777" w:rsidR="00245661" w:rsidRPr="00245661" w:rsidRDefault="00245661" w:rsidP="002456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158FBA" w14:textId="77777777" w:rsidR="00245661" w:rsidRPr="00245661" w:rsidRDefault="00245661" w:rsidP="0024566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378380" w14:textId="77777777" w:rsidR="00245661" w:rsidRPr="00245661" w:rsidRDefault="00245661" w:rsidP="002456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BC906D" w14:textId="77777777" w:rsidR="00245661" w:rsidRPr="00245661" w:rsidRDefault="00245661" w:rsidP="002456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45661" w:rsidRPr="00245661" w14:paraId="35C6E901" w14:textId="77777777" w:rsidTr="0024566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BD92F1" w14:textId="77777777" w:rsidR="00245661" w:rsidRPr="00245661" w:rsidRDefault="00245661" w:rsidP="002456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BAF7F2" w14:textId="77777777" w:rsidR="00245661" w:rsidRPr="00245661" w:rsidRDefault="00245661" w:rsidP="0024566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C6FB4C" w14:textId="77777777" w:rsidR="00245661" w:rsidRPr="00245661" w:rsidRDefault="00245661" w:rsidP="002456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A35A2B" w14:textId="77777777" w:rsidR="00245661" w:rsidRPr="00245661" w:rsidRDefault="00245661" w:rsidP="002456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45661" w:rsidRPr="00245661" w14:paraId="4FDDE9CA" w14:textId="77777777" w:rsidTr="0024566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E5ACD9" w14:textId="77777777" w:rsidR="00245661" w:rsidRPr="00245661" w:rsidRDefault="00245661" w:rsidP="002456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24C05F" w14:textId="77777777" w:rsidR="00245661" w:rsidRPr="00245661" w:rsidRDefault="00245661" w:rsidP="0024566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F4D78D" w14:textId="77777777" w:rsidR="00245661" w:rsidRPr="00245661" w:rsidRDefault="00245661" w:rsidP="002456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FE0A4B" w14:textId="77777777" w:rsidR="00245661" w:rsidRPr="00245661" w:rsidRDefault="00245661" w:rsidP="00245661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5661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695FF1FF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5FBCD0F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39B885E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7F6C01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03343B0" w14:textId="43E1EF58" w:rsidR="00EB3D1B" w:rsidRDefault="00DE17C3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76F626B7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58895A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C3829F9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1AF1A15" w14:textId="67EEF14C" w:rsidR="001B79E5" w:rsidRDefault="00604CA8" w:rsidP="001B79E5">
                <w:pPr>
                  <w:pStyle w:val="Tablefont"/>
                </w:pPr>
                <w:r w:rsidRPr="00604CA8">
                  <w:t>32.04</w:t>
                </w:r>
              </w:p>
            </w:tc>
          </w:sdtContent>
        </w:sdt>
      </w:tr>
      <w:tr w:rsidR="00A31D99" w:rsidRPr="004C23F4" w14:paraId="25ED58A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3E23BF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922C506" w14:textId="6E18ECC0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604CA8">
                  <w:t>1.31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604CA8">
                  <w:t>0.764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EA2AD6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D6F314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DC30BA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FB1917D" w14:textId="77777777" w:rsidTr="00EA6243">
        <w:trPr>
          <w:cantSplit/>
        </w:trPr>
        <w:tc>
          <w:tcPr>
            <w:tcW w:w="4077" w:type="dxa"/>
            <w:vAlign w:val="center"/>
          </w:tcPr>
          <w:p w14:paraId="51E2466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0B44B1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EEABE80" w14:textId="77777777" w:rsidTr="00EA6243">
        <w:trPr>
          <w:cantSplit/>
        </w:trPr>
        <w:tc>
          <w:tcPr>
            <w:tcW w:w="4077" w:type="dxa"/>
            <w:vAlign w:val="center"/>
          </w:tcPr>
          <w:p w14:paraId="6A27440C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F6A5FD1" w14:textId="00119D0D" w:rsidR="00687890" w:rsidRPr="004C23F4" w:rsidRDefault="00F958D8" w:rsidP="00717D45">
                <w:pPr>
                  <w:pStyle w:val="Tablefont"/>
                </w:pPr>
                <w:r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p>
            </w:tc>
          </w:sdtContent>
        </w:sdt>
      </w:tr>
      <w:tr w:rsidR="00E06F40" w:rsidRPr="004C23F4" w14:paraId="77B7F9E6" w14:textId="77777777" w:rsidTr="00EA6243">
        <w:trPr>
          <w:cantSplit/>
        </w:trPr>
        <w:tc>
          <w:tcPr>
            <w:tcW w:w="4077" w:type="dxa"/>
            <w:vAlign w:val="center"/>
          </w:tcPr>
          <w:p w14:paraId="7E9B0BCA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D2035AD" w14:textId="29BD27A5" w:rsidR="00E06F40" w:rsidRPr="00A006A0" w:rsidRDefault="0089416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F958D8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04CA8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7FAD467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F9C6D4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CB36A5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A02FC7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BF05ACF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F18DC90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7D25AC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ED86F9E" w14:textId="77777777" w:rsidR="00F87D92" w:rsidRDefault="00F87D92" w:rsidP="004605E4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03EF7FD" w14:textId="49BAECE2" w:rsidR="007F1005" w:rsidRDefault="006650FE" w:rsidP="00F958D8">
      <w:pPr>
        <w:keepNext/>
      </w:pPr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31E7F2F" w14:textId="596CCDA2" w:rsidR="00604CA8" w:rsidRDefault="00604CA8" w:rsidP="00F958D8">
      <w:pPr>
        <w:keepNext/>
      </w:pPr>
      <w:r w:rsidRPr="002022B6">
        <w:t>Deutsche Forschungsgemeinschaft (DFG)</w:t>
      </w:r>
      <w:r>
        <w:t xml:space="preserve"> (2019) </w:t>
      </w:r>
      <w:r w:rsidRPr="00604CA8">
        <w:t>Methanol</w:t>
      </w:r>
      <w:r>
        <w:t xml:space="preserve"> – MAK value documentation.</w:t>
      </w:r>
    </w:p>
    <w:p w14:paraId="0443EFB5" w14:textId="77777777" w:rsidR="00F958D8" w:rsidRDefault="00956458" w:rsidP="00F958D8">
      <w:pPr>
        <w:keepNext/>
      </w:pPr>
      <w:r w:rsidRPr="00956458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79CD151B" w14:textId="07F947E9" w:rsidR="00604CA8" w:rsidRDefault="00604CA8" w:rsidP="00F958D8">
      <w:pPr>
        <w:keepNext/>
      </w:pPr>
      <w:r w:rsidRPr="002022B6">
        <w:t>Health Council of the Netherlands</w:t>
      </w:r>
      <w:r>
        <w:t xml:space="preserve"> (HCOTN) (2010) </w:t>
      </w:r>
      <w:r w:rsidRPr="00604CA8">
        <w:t>Methanol</w:t>
      </w:r>
      <w:r w:rsidRPr="005F7416">
        <w:t xml:space="preserve">. </w:t>
      </w:r>
      <w:r w:rsidR="00EB0DD4" w:rsidRPr="00EB0DD4">
        <w:t>Health-based recommended occupational exposure limit</w:t>
      </w:r>
      <w:r w:rsidRPr="005F7416">
        <w:t xml:space="preserve">. The Hague: Health Council of the Netherlands; publication no. </w:t>
      </w:r>
      <w:r w:rsidRPr="00604CA8">
        <w:t>2010/01OSH</w:t>
      </w:r>
      <w:r>
        <w:t>.</w:t>
      </w:r>
    </w:p>
    <w:p w14:paraId="79EAA972" w14:textId="7F58A602" w:rsidR="00604CA8" w:rsidRPr="00351FE0" w:rsidRDefault="00604CA8" w:rsidP="00F958D8">
      <w:pPr>
        <w:keepNext/>
      </w:pPr>
      <w:r w:rsidRPr="00D86E03">
        <w:t>US National Institute for Occupational Safety and Health (NIOSH)</w:t>
      </w:r>
      <w:r>
        <w:t xml:space="preserve"> (</w:t>
      </w:r>
      <w:r w:rsidRPr="00604CA8">
        <w:t>1994</w:t>
      </w:r>
      <w:r>
        <w:t xml:space="preserve">) Immediately dangerous to life or health concentrations – </w:t>
      </w:r>
      <w:r w:rsidRPr="00604CA8">
        <w:t>Methyl alcohol</w:t>
      </w:r>
      <w:r>
        <w:t>.</w:t>
      </w:r>
    </w:p>
    <w:sectPr w:rsidR="00604CA8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543D5" w14:textId="77777777" w:rsidR="00AA1E95" w:rsidRDefault="00AA1E95" w:rsidP="00F43AD5">
      <w:pPr>
        <w:spacing w:after="0" w:line="240" w:lineRule="auto"/>
      </w:pPr>
      <w:r>
        <w:separator/>
      </w:r>
    </w:p>
  </w:endnote>
  <w:endnote w:type="continuationSeparator" w:id="0">
    <w:p w14:paraId="65BE270B" w14:textId="77777777" w:rsidR="00AA1E95" w:rsidRDefault="00AA1E9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451C2" w14:textId="77777777" w:rsidR="00C201F6" w:rsidRDefault="00C201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0EB7348" w14:textId="763E6AB2" w:rsidR="008A36CF" w:rsidRDefault="00C71951" w:rsidP="0034744C">
        <w:pPr>
          <w:pStyle w:val="Footer"/>
          <w:rPr>
            <w:sz w:val="18"/>
            <w:szCs w:val="18"/>
          </w:rPr>
        </w:pPr>
        <w:r w:rsidRPr="00C71951">
          <w:rPr>
            <w:b/>
            <w:sz w:val="18"/>
            <w:szCs w:val="18"/>
          </w:rPr>
          <w:t>Methyl alcohol</w:t>
        </w:r>
        <w:r w:rsidR="008A36CF">
          <w:rPr>
            <w:b/>
            <w:sz w:val="18"/>
            <w:szCs w:val="18"/>
          </w:rPr>
          <w:t xml:space="preserve"> (</w:t>
        </w:r>
        <w:r w:rsidRPr="00C71951">
          <w:rPr>
            <w:b/>
            <w:sz w:val="18"/>
            <w:szCs w:val="18"/>
          </w:rPr>
          <w:t>67-56-1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3B23D24" w14:textId="221F28D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201F6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2EAEC" w14:textId="77777777" w:rsidR="00C201F6" w:rsidRDefault="00C201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BD642" w14:textId="77777777" w:rsidR="00AA1E95" w:rsidRDefault="00AA1E95" w:rsidP="00F43AD5">
      <w:pPr>
        <w:spacing w:after="0" w:line="240" w:lineRule="auto"/>
      </w:pPr>
      <w:r>
        <w:separator/>
      </w:r>
    </w:p>
  </w:footnote>
  <w:footnote w:type="continuationSeparator" w:id="0">
    <w:p w14:paraId="699CF6FF" w14:textId="77777777" w:rsidR="00AA1E95" w:rsidRDefault="00AA1E9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5A029" w14:textId="155D861D" w:rsidR="00C201F6" w:rsidRDefault="00C201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33F16" w14:textId="3FEED11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925AA" w14:textId="42E2E44F" w:rsidR="00C201F6" w:rsidRDefault="00C201F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6922B" w14:textId="4B8D368E" w:rsidR="00C201F6" w:rsidRDefault="00C201F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2265C" w14:textId="0372B41D" w:rsidR="008A36CF" w:rsidRDefault="00C201F6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27FDA5E" wp14:editId="6DE92847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7DFF5" w14:textId="47D82EEE" w:rsidR="00C201F6" w:rsidRDefault="00C201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FA668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C62B2F"/>
    <w:multiLevelType w:val="hybridMultilevel"/>
    <w:tmpl w:val="B0AC5774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31E422A5"/>
    <w:multiLevelType w:val="hybridMultilevel"/>
    <w:tmpl w:val="356A96AA"/>
    <w:lvl w:ilvl="0" w:tplc="D19E2BA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1054559">
    <w:abstractNumId w:val="0"/>
  </w:num>
  <w:num w:numId="2" w16cid:durableId="1344432353">
    <w:abstractNumId w:val="0"/>
  </w:num>
  <w:num w:numId="3" w16cid:durableId="2141220554">
    <w:abstractNumId w:val="0"/>
  </w:num>
  <w:num w:numId="4" w16cid:durableId="157352456">
    <w:abstractNumId w:val="0"/>
  </w:num>
  <w:num w:numId="5" w16cid:durableId="489833543">
    <w:abstractNumId w:val="1"/>
  </w:num>
  <w:num w:numId="6" w16cid:durableId="1040278178">
    <w:abstractNumId w:val="0"/>
  </w:num>
  <w:num w:numId="7" w16cid:durableId="1857767858">
    <w:abstractNumId w:val="0"/>
  </w:num>
  <w:num w:numId="8" w16cid:durableId="937952577">
    <w:abstractNumId w:val="0"/>
  </w:num>
  <w:num w:numId="9" w16cid:durableId="1503202787">
    <w:abstractNumId w:val="0"/>
  </w:num>
  <w:num w:numId="10" w16cid:durableId="1340616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2B81"/>
    <w:rsid w:val="00032B88"/>
    <w:rsid w:val="00046DF5"/>
    <w:rsid w:val="00052060"/>
    <w:rsid w:val="0005574A"/>
    <w:rsid w:val="00055FE1"/>
    <w:rsid w:val="00056EC2"/>
    <w:rsid w:val="0005762E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7846"/>
    <w:rsid w:val="000F7A5E"/>
    <w:rsid w:val="0010461E"/>
    <w:rsid w:val="00106FAA"/>
    <w:rsid w:val="00113443"/>
    <w:rsid w:val="001269A7"/>
    <w:rsid w:val="00131092"/>
    <w:rsid w:val="00140E6A"/>
    <w:rsid w:val="00146545"/>
    <w:rsid w:val="00146B75"/>
    <w:rsid w:val="0015040A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269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5661"/>
    <w:rsid w:val="002463BC"/>
    <w:rsid w:val="002465CE"/>
    <w:rsid w:val="00254B25"/>
    <w:rsid w:val="00254F02"/>
    <w:rsid w:val="0025734A"/>
    <w:rsid w:val="00263255"/>
    <w:rsid w:val="0027003F"/>
    <w:rsid w:val="00273A3A"/>
    <w:rsid w:val="00276494"/>
    <w:rsid w:val="00277B0C"/>
    <w:rsid w:val="0028338B"/>
    <w:rsid w:val="002B1A2C"/>
    <w:rsid w:val="002C34F2"/>
    <w:rsid w:val="002C58FF"/>
    <w:rsid w:val="002C7AFE"/>
    <w:rsid w:val="002D05D2"/>
    <w:rsid w:val="002E0D61"/>
    <w:rsid w:val="002E4C7B"/>
    <w:rsid w:val="00303D24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A1F"/>
    <w:rsid w:val="00391B6D"/>
    <w:rsid w:val="00394922"/>
    <w:rsid w:val="003A0E32"/>
    <w:rsid w:val="003A2B94"/>
    <w:rsid w:val="003A4BDB"/>
    <w:rsid w:val="003B387D"/>
    <w:rsid w:val="003C0D58"/>
    <w:rsid w:val="003D4FA3"/>
    <w:rsid w:val="003E0807"/>
    <w:rsid w:val="003E338B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310E"/>
    <w:rsid w:val="004552A1"/>
    <w:rsid w:val="004605E4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5B7D"/>
    <w:rsid w:val="004D6D68"/>
    <w:rsid w:val="004E0763"/>
    <w:rsid w:val="004E5EDD"/>
    <w:rsid w:val="004F2E55"/>
    <w:rsid w:val="004F448A"/>
    <w:rsid w:val="004F493D"/>
    <w:rsid w:val="004F65E8"/>
    <w:rsid w:val="0050005E"/>
    <w:rsid w:val="00502B88"/>
    <w:rsid w:val="00513584"/>
    <w:rsid w:val="005142C4"/>
    <w:rsid w:val="0051509C"/>
    <w:rsid w:val="005272E2"/>
    <w:rsid w:val="0053108F"/>
    <w:rsid w:val="00532B56"/>
    <w:rsid w:val="00534B10"/>
    <w:rsid w:val="00540256"/>
    <w:rsid w:val="005437B0"/>
    <w:rsid w:val="005446A2"/>
    <w:rsid w:val="00544D2F"/>
    <w:rsid w:val="00551BD8"/>
    <w:rsid w:val="005767FC"/>
    <w:rsid w:val="00581055"/>
    <w:rsid w:val="005815A1"/>
    <w:rsid w:val="00591D57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4CA8"/>
    <w:rsid w:val="0060669E"/>
    <w:rsid w:val="00610F2E"/>
    <w:rsid w:val="00611399"/>
    <w:rsid w:val="00613B5C"/>
    <w:rsid w:val="006245BD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216E"/>
    <w:rsid w:val="0066333C"/>
    <w:rsid w:val="006639B4"/>
    <w:rsid w:val="006650FE"/>
    <w:rsid w:val="0067305D"/>
    <w:rsid w:val="006765E2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243"/>
    <w:rsid w:val="006E5D05"/>
    <w:rsid w:val="00700F15"/>
    <w:rsid w:val="00701053"/>
    <w:rsid w:val="00701507"/>
    <w:rsid w:val="00705B9C"/>
    <w:rsid w:val="00714021"/>
    <w:rsid w:val="00716A0F"/>
    <w:rsid w:val="00717D45"/>
    <w:rsid w:val="007208F7"/>
    <w:rsid w:val="007218AF"/>
    <w:rsid w:val="00723029"/>
    <w:rsid w:val="00723443"/>
    <w:rsid w:val="007365D1"/>
    <w:rsid w:val="00740E0E"/>
    <w:rsid w:val="00750212"/>
    <w:rsid w:val="00754779"/>
    <w:rsid w:val="0075716D"/>
    <w:rsid w:val="00765F14"/>
    <w:rsid w:val="00770E31"/>
    <w:rsid w:val="0077182A"/>
    <w:rsid w:val="007770F1"/>
    <w:rsid w:val="00781C3E"/>
    <w:rsid w:val="00783FB1"/>
    <w:rsid w:val="00785CDD"/>
    <w:rsid w:val="00791847"/>
    <w:rsid w:val="007925F0"/>
    <w:rsid w:val="007939B3"/>
    <w:rsid w:val="0079509C"/>
    <w:rsid w:val="00796708"/>
    <w:rsid w:val="007A36E6"/>
    <w:rsid w:val="007B1B42"/>
    <w:rsid w:val="007C30EB"/>
    <w:rsid w:val="007D7D3D"/>
    <w:rsid w:val="007E063C"/>
    <w:rsid w:val="007E2A4B"/>
    <w:rsid w:val="007E307D"/>
    <w:rsid w:val="007E5493"/>
    <w:rsid w:val="007E6A4E"/>
    <w:rsid w:val="007E6C94"/>
    <w:rsid w:val="007F1005"/>
    <w:rsid w:val="007F2433"/>
    <w:rsid w:val="007F25E0"/>
    <w:rsid w:val="007F4722"/>
    <w:rsid w:val="007F4785"/>
    <w:rsid w:val="007F5328"/>
    <w:rsid w:val="00804F5A"/>
    <w:rsid w:val="0080558C"/>
    <w:rsid w:val="00810C6D"/>
    <w:rsid w:val="00812887"/>
    <w:rsid w:val="008231BF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5F68"/>
    <w:rsid w:val="00871CD5"/>
    <w:rsid w:val="008745A2"/>
    <w:rsid w:val="008768A8"/>
    <w:rsid w:val="0088798F"/>
    <w:rsid w:val="00887E4B"/>
    <w:rsid w:val="008915C8"/>
    <w:rsid w:val="00894160"/>
    <w:rsid w:val="008951F4"/>
    <w:rsid w:val="008A36CF"/>
    <w:rsid w:val="008A3BC4"/>
    <w:rsid w:val="008B403C"/>
    <w:rsid w:val="008B44F7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1395"/>
    <w:rsid w:val="0095260E"/>
    <w:rsid w:val="00956458"/>
    <w:rsid w:val="009578DD"/>
    <w:rsid w:val="00961124"/>
    <w:rsid w:val="009621B6"/>
    <w:rsid w:val="009668A8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C5CBE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782D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16CE"/>
    <w:rsid w:val="00A53681"/>
    <w:rsid w:val="00A53B94"/>
    <w:rsid w:val="00A633D4"/>
    <w:rsid w:val="00A6461A"/>
    <w:rsid w:val="00A84504"/>
    <w:rsid w:val="00A8672F"/>
    <w:rsid w:val="00A93057"/>
    <w:rsid w:val="00A968B0"/>
    <w:rsid w:val="00AA1E95"/>
    <w:rsid w:val="00AB2672"/>
    <w:rsid w:val="00AB2817"/>
    <w:rsid w:val="00AB43C4"/>
    <w:rsid w:val="00AC32E7"/>
    <w:rsid w:val="00AC3A9F"/>
    <w:rsid w:val="00AC6D2F"/>
    <w:rsid w:val="00AE2745"/>
    <w:rsid w:val="00AE2F64"/>
    <w:rsid w:val="00AE4B9E"/>
    <w:rsid w:val="00AF42CB"/>
    <w:rsid w:val="00AF483F"/>
    <w:rsid w:val="00AF4FE5"/>
    <w:rsid w:val="00AF5E07"/>
    <w:rsid w:val="00AF5F06"/>
    <w:rsid w:val="00B00A25"/>
    <w:rsid w:val="00B07335"/>
    <w:rsid w:val="00B1422A"/>
    <w:rsid w:val="00B1765C"/>
    <w:rsid w:val="00B213C4"/>
    <w:rsid w:val="00B321B7"/>
    <w:rsid w:val="00B40C60"/>
    <w:rsid w:val="00B4492F"/>
    <w:rsid w:val="00B479A9"/>
    <w:rsid w:val="00B5099C"/>
    <w:rsid w:val="00B52EDF"/>
    <w:rsid w:val="00B71188"/>
    <w:rsid w:val="00B76A41"/>
    <w:rsid w:val="00B82750"/>
    <w:rsid w:val="00B87D4C"/>
    <w:rsid w:val="00B93646"/>
    <w:rsid w:val="00B95900"/>
    <w:rsid w:val="00BA0B38"/>
    <w:rsid w:val="00BA1DBB"/>
    <w:rsid w:val="00BA4510"/>
    <w:rsid w:val="00BA529A"/>
    <w:rsid w:val="00BA72EB"/>
    <w:rsid w:val="00BB612A"/>
    <w:rsid w:val="00BB65D2"/>
    <w:rsid w:val="00BD499F"/>
    <w:rsid w:val="00BD56DE"/>
    <w:rsid w:val="00BF2406"/>
    <w:rsid w:val="00C06E43"/>
    <w:rsid w:val="00C16315"/>
    <w:rsid w:val="00C201F6"/>
    <w:rsid w:val="00C228A9"/>
    <w:rsid w:val="00C272A9"/>
    <w:rsid w:val="00C3091E"/>
    <w:rsid w:val="00C40FF1"/>
    <w:rsid w:val="00C418D4"/>
    <w:rsid w:val="00C419E2"/>
    <w:rsid w:val="00C5020E"/>
    <w:rsid w:val="00C57452"/>
    <w:rsid w:val="00C61EDF"/>
    <w:rsid w:val="00C6239D"/>
    <w:rsid w:val="00C63210"/>
    <w:rsid w:val="00C6594B"/>
    <w:rsid w:val="00C67FFB"/>
    <w:rsid w:val="00C7155E"/>
    <w:rsid w:val="00C71951"/>
    <w:rsid w:val="00C71D1E"/>
    <w:rsid w:val="00C71D7D"/>
    <w:rsid w:val="00C73E9B"/>
    <w:rsid w:val="00C74833"/>
    <w:rsid w:val="00C850A0"/>
    <w:rsid w:val="00C85A86"/>
    <w:rsid w:val="00C978F0"/>
    <w:rsid w:val="00CA070C"/>
    <w:rsid w:val="00CA58FE"/>
    <w:rsid w:val="00CB1CB1"/>
    <w:rsid w:val="00CB6BC1"/>
    <w:rsid w:val="00CB6CB8"/>
    <w:rsid w:val="00CC104D"/>
    <w:rsid w:val="00CC1A68"/>
    <w:rsid w:val="00CC2123"/>
    <w:rsid w:val="00CD1E5C"/>
    <w:rsid w:val="00CD2BFD"/>
    <w:rsid w:val="00CE066E"/>
    <w:rsid w:val="00CE5AD6"/>
    <w:rsid w:val="00CE617F"/>
    <w:rsid w:val="00CE78EF"/>
    <w:rsid w:val="00D048F7"/>
    <w:rsid w:val="00D0517E"/>
    <w:rsid w:val="00D140FC"/>
    <w:rsid w:val="00D21D8C"/>
    <w:rsid w:val="00D27D80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17C3"/>
    <w:rsid w:val="00DE2513"/>
    <w:rsid w:val="00DE26E8"/>
    <w:rsid w:val="00DF6F36"/>
    <w:rsid w:val="00DF7895"/>
    <w:rsid w:val="00E0084C"/>
    <w:rsid w:val="00E025AB"/>
    <w:rsid w:val="00E02B23"/>
    <w:rsid w:val="00E06F40"/>
    <w:rsid w:val="00E07CE8"/>
    <w:rsid w:val="00E26A07"/>
    <w:rsid w:val="00E3228F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19E2"/>
    <w:rsid w:val="00E7612C"/>
    <w:rsid w:val="00E804EA"/>
    <w:rsid w:val="00E80A71"/>
    <w:rsid w:val="00E82337"/>
    <w:rsid w:val="00E85E17"/>
    <w:rsid w:val="00E92499"/>
    <w:rsid w:val="00E93CD9"/>
    <w:rsid w:val="00E949AF"/>
    <w:rsid w:val="00E96077"/>
    <w:rsid w:val="00EA0A06"/>
    <w:rsid w:val="00EA6243"/>
    <w:rsid w:val="00EA74AB"/>
    <w:rsid w:val="00EB0DD4"/>
    <w:rsid w:val="00EB1AE2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4D95"/>
    <w:rsid w:val="00F053FA"/>
    <w:rsid w:val="00F10C97"/>
    <w:rsid w:val="00F11C71"/>
    <w:rsid w:val="00F16019"/>
    <w:rsid w:val="00F20E68"/>
    <w:rsid w:val="00F22093"/>
    <w:rsid w:val="00F236DF"/>
    <w:rsid w:val="00F23EFE"/>
    <w:rsid w:val="00F43AD5"/>
    <w:rsid w:val="00F4402E"/>
    <w:rsid w:val="00F52409"/>
    <w:rsid w:val="00F56DD0"/>
    <w:rsid w:val="00F6491C"/>
    <w:rsid w:val="00F67BBB"/>
    <w:rsid w:val="00F8685A"/>
    <w:rsid w:val="00F87D92"/>
    <w:rsid w:val="00F90AA7"/>
    <w:rsid w:val="00F92498"/>
    <w:rsid w:val="00F9496B"/>
    <w:rsid w:val="00F958D8"/>
    <w:rsid w:val="00F970C9"/>
    <w:rsid w:val="00FA06A8"/>
    <w:rsid w:val="00FA3DF5"/>
    <w:rsid w:val="00FA4BE9"/>
    <w:rsid w:val="00FA741F"/>
    <w:rsid w:val="00FB4E07"/>
    <w:rsid w:val="00FB755A"/>
    <w:rsid w:val="00FC60A2"/>
    <w:rsid w:val="00FD1871"/>
    <w:rsid w:val="00FD3110"/>
    <w:rsid w:val="00FE4A13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604CA8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303D24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073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733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733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73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733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53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2B463F40ACB4B2C97BA93B17216FF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C8F2FD-7ECD-4728-8809-5C680BFA0F4F}"/>
      </w:docPartPr>
      <w:docPartBody>
        <w:p w:rsidR="00F37292" w:rsidRDefault="00634452" w:rsidP="00634452">
          <w:pPr>
            <w:pStyle w:val="52B463F40ACB4B2C97BA93B17216FF4E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B1442688BBEA4AF8A4A44AA4A5377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388119-73DE-42A6-8495-4F9E247B2E6E}"/>
      </w:docPartPr>
      <w:docPartBody>
        <w:p w:rsidR="00F37292" w:rsidRDefault="00634452" w:rsidP="00634452">
          <w:pPr>
            <w:pStyle w:val="B1442688BBEA4AF8A4A44AA4A5377D45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7B57E4F47E064F06A2EE1098FAB33D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F92E9-FC7B-4B0B-B0AC-33B9427476B7}"/>
      </w:docPartPr>
      <w:docPartBody>
        <w:p w:rsidR="00877D0D" w:rsidRDefault="00617871" w:rsidP="00617871">
          <w:pPr>
            <w:pStyle w:val="7B57E4F47E064F06A2EE1098FAB33D9F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617871"/>
    <w:rsid w:val="00634452"/>
    <w:rsid w:val="00877D0D"/>
    <w:rsid w:val="00951395"/>
    <w:rsid w:val="00C1488E"/>
    <w:rsid w:val="00D21A9F"/>
    <w:rsid w:val="00EC7467"/>
    <w:rsid w:val="00F3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1787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2B463F40ACB4B2C97BA93B17216FF4E">
    <w:name w:val="52B463F40ACB4B2C97BA93B17216FF4E"/>
    <w:rsid w:val="00634452"/>
  </w:style>
  <w:style w:type="paragraph" w:customStyle="1" w:styleId="B1442688BBEA4AF8A4A44AA4A5377D45">
    <w:name w:val="B1442688BBEA4AF8A4A44AA4A5377D45"/>
    <w:rsid w:val="00634452"/>
  </w:style>
  <w:style w:type="paragraph" w:customStyle="1" w:styleId="7B57E4F47E064F06A2EE1098FAB33D9F">
    <w:name w:val="7B57E4F47E064F06A2EE1098FAB33D9F"/>
    <w:rsid w:val="006178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F24299-EF69-4B25-A477-674A6E48ECBA}"/>
</file>

<file path=customXml/itemProps2.xml><?xml version="1.0" encoding="utf-8"?>
<ds:datastoreItem xmlns:ds="http://schemas.openxmlformats.org/officeDocument/2006/customXml" ds:itemID="{2F3B99D0-4DD6-45E1-AF9B-F00ABB5136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B0DED5-E982-4ACD-8701-43FE0C4CAB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A3F3BD-EA9E-4716-B9D8-54B2F3FEF6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2020-02-02T23:21:00Z</dcterms:created>
  <dcterms:modified xsi:type="dcterms:W3CDTF">2025-12-24T00:09:00Z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2025-12-24T00:09:20Z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785c8326-d0b4-47c6-981d-19646838de26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