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B46465D" w14:textId="77777777" w:rsidR="00BD499F" w:rsidRPr="004C23F4" w:rsidRDefault="008F5DD8" w:rsidP="00B40C60">
          <w:pPr>
            <w:pStyle w:val="Heading1"/>
            <w:jc w:val="center"/>
            <w:rPr>
              <w:rFonts w:ascii="Arial" w:hAnsi="Arial" w:cs="Arial"/>
            </w:rPr>
          </w:pPr>
          <w:r w:rsidRPr="008F5DD8">
            <w:rPr>
              <w:rFonts w:ascii="Arial" w:hAnsi="Arial" w:cs="Arial"/>
            </w:rPr>
            <w:t>Methyl acetylene-propadiene mixture (MAPP)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48252AFE" w14:textId="77777777" w:rsidTr="00295C54">
        <w:trPr>
          <w:cantSplit/>
          <w:tblHeader/>
        </w:trPr>
        <w:tc>
          <w:tcPr>
            <w:tcW w:w="3990" w:type="dxa"/>
          </w:tcPr>
          <w:p w14:paraId="12062BA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6" w:type="dxa"/>
          </w:tcPr>
          <w:p w14:paraId="11C4DB7E" w14:textId="77777777" w:rsidR="00F43AD5" w:rsidRPr="00717D45" w:rsidRDefault="008F5DD8" w:rsidP="00B76A41">
            <w:pPr>
              <w:pStyle w:val="Tablefont"/>
            </w:pPr>
            <w:r>
              <w:t>59355-75-8</w:t>
            </w:r>
          </w:p>
        </w:tc>
      </w:tr>
      <w:tr w:rsidR="00F43AD5" w:rsidRPr="004C23F4" w14:paraId="4CCD2319" w14:textId="77777777" w:rsidTr="00295C54">
        <w:trPr>
          <w:cantSplit/>
        </w:trPr>
        <w:tc>
          <w:tcPr>
            <w:tcW w:w="3990" w:type="dxa"/>
          </w:tcPr>
          <w:p w14:paraId="54EF314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6" w:type="dxa"/>
          </w:tcPr>
          <w:p w14:paraId="77427D48" w14:textId="14238A60" w:rsidR="00F43AD5" w:rsidRPr="00717D45" w:rsidRDefault="00264D66" w:rsidP="008837FC">
            <w:pPr>
              <w:pStyle w:val="Tablefont"/>
            </w:pPr>
            <w:r>
              <w:t>Propyne-allene mixture</w:t>
            </w:r>
            <w:r w:rsidR="008837FC">
              <w:t>,</w:t>
            </w:r>
            <w:r w:rsidR="00A1378E">
              <w:t xml:space="preserve"> MAPP gas</w:t>
            </w:r>
          </w:p>
        </w:tc>
      </w:tr>
      <w:tr w:rsidR="00F43AD5" w:rsidRPr="004C23F4" w14:paraId="5BFFF454" w14:textId="77777777" w:rsidTr="00295C54">
        <w:trPr>
          <w:cantSplit/>
        </w:trPr>
        <w:tc>
          <w:tcPr>
            <w:tcW w:w="3990" w:type="dxa"/>
          </w:tcPr>
          <w:p w14:paraId="74C85E4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6" w:type="dxa"/>
          </w:tcPr>
          <w:p w14:paraId="45D6C993" w14:textId="1CD87AD5" w:rsidR="00F43AD5" w:rsidRPr="00717D45" w:rsidRDefault="00264D66" w:rsidP="00B76A41">
            <w:pPr>
              <w:pStyle w:val="Tablefont"/>
            </w:pPr>
            <w:r>
              <w:t>C</w:t>
            </w:r>
            <w:r w:rsidRPr="00264D66">
              <w:rPr>
                <w:vertAlign w:val="subscript"/>
              </w:rPr>
              <w:t>3</w:t>
            </w:r>
            <w:r>
              <w:t>H</w:t>
            </w:r>
            <w:r w:rsidRPr="00264D66">
              <w:rPr>
                <w:vertAlign w:val="subscript"/>
              </w:rPr>
              <w:t>4</w:t>
            </w:r>
          </w:p>
        </w:tc>
      </w:tr>
    </w:tbl>
    <w:p w14:paraId="46C062B0" w14:textId="35447FA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25EC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A7E300A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5D96C6D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C560156" w14:textId="2BC5987C" w:rsidR="002C7AFE" w:rsidRPr="00025ECB" w:rsidRDefault="00025ECB" w:rsidP="00017C82">
            <w:pPr>
              <w:pStyle w:val="Tablefont"/>
              <w:rPr>
                <w:b/>
              </w:rPr>
            </w:pPr>
            <w:r w:rsidRPr="00025ECB">
              <w:rPr>
                <w:rFonts w:cs="Arial"/>
                <w:b/>
              </w:rPr>
              <w:t>1,000 ppm (1,640 mg/m</w:t>
            </w:r>
            <w:r w:rsidRPr="00025ECB">
              <w:rPr>
                <w:rFonts w:cs="Arial"/>
                <w:b/>
                <w:vertAlign w:val="superscript"/>
              </w:rPr>
              <w:t>3</w:t>
            </w:r>
            <w:r w:rsidRPr="00025ECB">
              <w:rPr>
                <w:rFonts w:cs="Arial"/>
                <w:b/>
              </w:rPr>
              <w:t>)</w:t>
            </w:r>
          </w:p>
        </w:tc>
      </w:tr>
      <w:tr w:rsidR="00037E52" w:rsidRPr="004C23F4" w14:paraId="50AAF16C" w14:textId="77777777" w:rsidTr="00037E52">
        <w:trPr>
          <w:cantSplit/>
        </w:trPr>
        <w:tc>
          <w:tcPr>
            <w:tcW w:w="4010" w:type="dxa"/>
            <w:vAlign w:val="center"/>
          </w:tcPr>
          <w:p w14:paraId="2605A369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15ABA54" w14:textId="0B08ED8E" w:rsidR="00037E52" w:rsidRPr="00025ECB" w:rsidRDefault="00025ECB" w:rsidP="00037E52">
            <w:pPr>
              <w:pStyle w:val="Tablefont"/>
              <w:rPr>
                <w:b/>
              </w:rPr>
            </w:pPr>
            <w:r w:rsidRPr="00025ECB">
              <w:rPr>
                <w:rFonts w:cs="Arial"/>
                <w:b/>
              </w:rPr>
              <w:t>1,250 ppm (2,050 mg/m</w:t>
            </w:r>
            <w:r w:rsidRPr="00025ECB">
              <w:rPr>
                <w:rFonts w:cs="Arial"/>
                <w:b/>
                <w:vertAlign w:val="superscript"/>
              </w:rPr>
              <w:t>3</w:t>
            </w:r>
            <w:r w:rsidRPr="00025ECB">
              <w:rPr>
                <w:rFonts w:cs="Arial"/>
                <w:b/>
              </w:rPr>
              <w:t>)</w:t>
            </w:r>
          </w:p>
        </w:tc>
      </w:tr>
      <w:tr w:rsidR="00037E52" w:rsidRPr="004C23F4" w14:paraId="4EFD918D" w14:textId="77777777" w:rsidTr="00037E52">
        <w:trPr>
          <w:cantSplit/>
        </w:trPr>
        <w:tc>
          <w:tcPr>
            <w:tcW w:w="4010" w:type="dxa"/>
            <w:vAlign w:val="center"/>
          </w:tcPr>
          <w:p w14:paraId="48FC8BF5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B921A09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365903A" w14:textId="77777777" w:rsidTr="00037E52">
        <w:trPr>
          <w:cantSplit/>
        </w:trPr>
        <w:tc>
          <w:tcPr>
            <w:tcW w:w="4010" w:type="dxa"/>
          </w:tcPr>
          <w:p w14:paraId="70C5B698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BFAE66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2696990" w14:textId="77777777" w:rsidTr="00037E52">
        <w:trPr>
          <w:cantSplit/>
        </w:trPr>
        <w:tc>
          <w:tcPr>
            <w:tcW w:w="4010" w:type="dxa"/>
            <w:vAlign w:val="center"/>
          </w:tcPr>
          <w:p w14:paraId="3A5ACB53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48370937" w14:textId="0F017274" w:rsidR="00037E52" w:rsidRPr="00EB3D1B" w:rsidRDefault="009659FE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3,400 ppm</w:t>
            </w:r>
            <w:r w:rsidR="008837FC">
              <w:rPr>
                <w:b/>
              </w:rPr>
              <w:t xml:space="preserve"> (LEL)</w:t>
            </w:r>
          </w:p>
        </w:tc>
      </w:tr>
      <w:tr w:rsidR="00155999" w:rsidRPr="004C23F4" w14:paraId="1985C92D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21035FFA" w14:textId="74AF69A1" w:rsidR="00155999" w:rsidRPr="00EB3D1B" w:rsidRDefault="00155999" w:rsidP="00037E52">
            <w:pPr>
              <w:pStyle w:val="Tablefont"/>
              <w:rPr>
                <w:b/>
              </w:rPr>
            </w:pPr>
            <w:r w:rsidRPr="00461C15">
              <w:rPr>
                <w:b/>
              </w:rPr>
              <w:t>Sampling and analysis:</w:t>
            </w:r>
            <w:r w:rsidRPr="00461C15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D0CBA" w:rsidRPr="00461C1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C83752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A33112C" w14:textId="0F537B47" w:rsidR="006639B4" w:rsidRDefault="00B27761" w:rsidP="000C139A">
      <w:pPr>
        <w:rPr>
          <w:rFonts w:cs="Arial"/>
        </w:rPr>
      </w:pPr>
      <w:r w:rsidRPr="00B27761">
        <w:rPr>
          <w:rFonts w:cs="Arial"/>
        </w:rPr>
        <w:t xml:space="preserve">A TWA of </w:t>
      </w:r>
      <w:r w:rsidR="00025ECB">
        <w:rPr>
          <w:rFonts w:cs="Arial"/>
        </w:rPr>
        <w:t>1,000</w:t>
      </w:r>
      <w:r w:rsidRPr="00B27761">
        <w:rPr>
          <w:rFonts w:cs="Arial"/>
        </w:rPr>
        <w:t xml:space="preserve"> ppm (</w:t>
      </w:r>
      <w:r w:rsidR="00025ECB">
        <w:rPr>
          <w:rFonts w:cs="Arial"/>
        </w:rPr>
        <w:t>1,640</w:t>
      </w:r>
      <w:r w:rsidRPr="00B27761">
        <w:rPr>
          <w:rFonts w:cs="Arial"/>
        </w:rPr>
        <w:t xml:space="preserve"> mg/m</w:t>
      </w:r>
      <w:r w:rsidRPr="00B27761">
        <w:rPr>
          <w:rFonts w:cs="Arial"/>
          <w:vertAlign w:val="superscript"/>
        </w:rPr>
        <w:t>3</w:t>
      </w:r>
      <w:r w:rsidRPr="00B27761">
        <w:rPr>
          <w:rFonts w:cs="Arial"/>
        </w:rPr>
        <w:t xml:space="preserve">) </w:t>
      </w:r>
      <w:r w:rsidR="00AD4674">
        <w:rPr>
          <w:rFonts w:cs="Arial"/>
        </w:rPr>
        <w:t>is</w:t>
      </w:r>
      <w:r w:rsidRPr="00B27761">
        <w:rPr>
          <w:rFonts w:cs="Arial"/>
        </w:rPr>
        <w:t xml:space="preserve"> recommended to protect for </w:t>
      </w:r>
      <w:r>
        <w:rPr>
          <w:rFonts w:cs="Arial"/>
        </w:rPr>
        <w:t>anaesthesia</w:t>
      </w:r>
      <w:r w:rsidR="008837FC">
        <w:rPr>
          <w:rFonts w:cs="Arial"/>
        </w:rPr>
        <w:t xml:space="preserve"> effects</w:t>
      </w:r>
      <w:r w:rsidRPr="00B27761">
        <w:rPr>
          <w:rFonts w:cs="Arial"/>
        </w:rPr>
        <w:t xml:space="preserve"> in exposed workers. </w:t>
      </w:r>
    </w:p>
    <w:p w14:paraId="68737FB6" w14:textId="24D766B9" w:rsidR="00AD4674" w:rsidRPr="004C23F4" w:rsidRDefault="00AD4674" w:rsidP="000C139A">
      <w:pPr>
        <w:rPr>
          <w:rFonts w:cs="Arial"/>
        </w:rPr>
      </w:pPr>
      <w:r w:rsidRPr="00B27761">
        <w:rPr>
          <w:rFonts w:cs="Arial"/>
        </w:rPr>
        <w:t xml:space="preserve">A </w:t>
      </w:r>
      <w:r>
        <w:rPr>
          <w:rFonts w:cs="Arial"/>
        </w:rPr>
        <w:t>STEL of 1,250 ppm (2,050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</w:t>
      </w:r>
      <w:r w:rsidRPr="00B27761">
        <w:rPr>
          <w:rFonts w:cs="Arial"/>
        </w:rPr>
        <w:t xml:space="preserve"> recommended to protect for </w:t>
      </w:r>
      <w:r>
        <w:rPr>
          <w:rFonts w:cs="Arial"/>
        </w:rPr>
        <w:t xml:space="preserve">asphyxia </w:t>
      </w:r>
      <w:r w:rsidR="00295C54">
        <w:rPr>
          <w:rFonts w:cs="Arial"/>
        </w:rPr>
        <w:t xml:space="preserve">in </w:t>
      </w:r>
      <w:r w:rsidR="008837FC">
        <w:rPr>
          <w:rFonts w:cs="Arial"/>
        </w:rPr>
        <w:t>exposed workers</w:t>
      </w:r>
      <w:r>
        <w:rPr>
          <w:rFonts w:cs="Arial"/>
        </w:rPr>
        <w:t>.</w:t>
      </w:r>
    </w:p>
    <w:p w14:paraId="342685F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69DEEC1" w14:textId="77777777" w:rsidR="008837FC" w:rsidRDefault="005133DE" w:rsidP="006639B4">
      <w:pPr>
        <w:rPr>
          <w:rFonts w:cs="Arial"/>
        </w:rPr>
      </w:pPr>
      <w:r>
        <w:rPr>
          <w:rFonts w:cs="Arial"/>
        </w:rPr>
        <w:t>Methyl</w:t>
      </w:r>
      <w:r w:rsidR="00B27761">
        <w:rPr>
          <w:rFonts w:cs="Arial"/>
        </w:rPr>
        <w:t xml:space="preserve"> </w:t>
      </w:r>
      <w:r>
        <w:rPr>
          <w:rFonts w:cs="Arial"/>
        </w:rPr>
        <w:t>acetylene-</w:t>
      </w:r>
      <w:proofErr w:type="spellStart"/>
      <w:r>
        <w:rPr>
          <w:rFonts w:cs="Arial"/>
        </w:rPr>
        <w:t>propadiene</w:t>
      </w:r>
      <w:proofErr w:type="spellEnd"/>
      <w:r>
        <w:rPr>
          <w:rFonts w:cs="Arial"/>
        </w:rPr>
        <w:t xml:space="preserve"> mixtures </w:t>
      </w:r>
      <w:r w:rsidR="008837FC">
        <w:rPr>
          <w:rFonts w:cs="Arial"/>
        </w:rPr>
        <w:t xml:space="preserve">(MAPP) </w:t>
      </w:r>
      <w:r>
        <w:rPr>
          <w:rFonts w:cs="Arial"/>
        </w:rPr>
        <w:t xml:space="preserve">are used as industrial cutting fuel. </w:t>
      </w:r>
    </w:p>
    <w:p w14:paraId="510D4CCE" w14:textId="53B8E410" w:rsidR="008837FC" w:rsidRDefault="005133DE" w:rsidP="008D0CBA">
      <w:pPr>
        <w:rPr>
          <w:rFonts w:cs="Arial"/>
        </w:rPr>
      </w:pPr>
      <w:r>
        <w:rPr>
          <w:rFonts w:cs="Arial"/>
        </w:rPr>
        <w:t>Critical effects</w:t>
      </w:r>
      <w:r w:rsidR="00295C54">
        <w:rPr>
          <w:rFonts w:cs="Arial"/>
        </w:rPr>
        <w:t xml:space="preserve"> of exposure</w:t>
      </w:r>
      <w:r>
        <w:rPr>
          <w:rFonts w:cs="Arial"/>
        </w:rPr>
        <w:t xml:space="preserve"> are anaesthesia</w:t>
      </w:r>
      <w:r w:rsidR="008837FC">
        <w:rPr>
          <w:rFonts w:cs="Arial"/>
        </w:rPr>
        <w:t>,</w:t>
      </w:r>
      <w:r>
        <w:rPr>
          <w:rFonts w:cs="Arial"/>
        </w:rPr>
        <w:t xml:space="preserve"> and at higher concentrations, asphyxiation.</w:t>
      </w:r>
      <w:r w:rsidR="008837FC">
        <w:rPr>
          <w:rFonts w:cs="Arial"/>
        </w:rPr>
        <w:t xml:space="preserve"> The odour threshold in humans is 100 ppm. </w:t>
      </w:r>
      <w:r w:rsidR="008D0CBA">
        <w:rPr>
          <w:rFonts w:cs="Arial"/>
        </w:rPr>
        <w:t>Human and animal exposure data are extremely limited</w:t>
      </w:r>
      <w:r w:rsidR="008837FC">
        <w:rPr>
          <w:rFonts w:cs="Arial"/>
        </w:rPr>
        <w:t xml:space="preserve"> and some primary sources recommend a TWA based on analogy to methylacetylene</w:t>
      </w:r>
      <w:r w:rsidR="008D0CBA">
        <w:rPr>
          <w:rFonts w:cs="Arial"/>
        </w:rPr>
        <w:t>.</w:t>
      </w:r>
      <w:r w:rsidR="00B27761">
        <w:rPr>
          <w:rFonts w:cs="Arial"/>
        </w:rPr>
        <w:t xml:space="preserve"> A </w:t>
      </w:r>
      <w:r w:rsidR="00BC2704">
        <w:rPr>
          <w:rFonts w:cs="Arial"/>
        </w:rPr>
        <w:t xml:space="preserve">NOAEC </w:t>
      </w:r>
      <w:r w:rsidR="00B27761">
        <w:rPr>
          <w:rFonts w:cs="Arial"/>
        </w:rPr>
        <w:t>of 1,000 ppm for body weight and organ weight changes</w:t>
      </w:r>
      <w:r w:rsidR="00295C54">
        <w:rPr>
          <w:rFonts w:cs="Arial"/>
        </w:rPr>
        <w:t>,</w:t>
      </w:r>
      <w:r w:rsidR="00B27761">
        <w:rPr>
          <w:rFonts w:cs="Arial"/>
        </w:rPr>
        <w:t xml:space="preserve"> </w:t>
      </w:r>
      <w:r w:rsidR="001E33C9">
        <w:rPr>
          <w:rFonts w:cs="Arial"/>
        </w:rPr>
        <w:t xml:space="preserve">with a corresponding </w:t>
      </w:r>
      <w:r w:rsidR="00BC2704">
        <w:rPr>
          <w:rFonts w:cs="Arial"/>
        </w:rPr>
        <w:t xml:space="preserve">LOAEC </w:t>
      </w:r>
      <w:r w:rsidR="001E33C9">
        <w:rPr>
          <w:rFonts w:cs="Arial"/>
        </w:rPr>
        <w:t>of 5,000 ppm</w:t>
      </w:r>
      <w:r w:rsidR="00295C54">
        <w:rPr>
          <w:rFonts w:cs="Arial"/>
        </w:rPr>
        <w:t>,</w:t>
      </w:r>
      <w:r w:rsidR="001E33C9">
        <w:rPr>
          <w:rFonts w:cs="Arial"/>
        </w:rPr>
        <w:t xml:space="preserve"> are</w:t>
      </w:r>
      <w:r w:rsidR="00B27761">
        <w:rPr>
          <w:rFonts w:cs="Arial"/>
        </w:rPr>
        <w:t xml:space="preserve"> reported in a subchronic inhalation study </w:t>
      </w:r>
      <w:r w:rsidR="008837FC">
        <w:rPr>
          <w:rFonts w:cs="Arial"/>
        </w:rPr>
        <w:t xml:space="preserve">in </w:t>
      </w:r>
      <w:r w:rsidR="00B27761">
        <w:rPr>
          <w:rFonts w:cs="Arial"/>
        </w:rPr>
        <w:t>anim</w:t>
      </w:r>
      <w:r w:rsidR="001E33C9">
        <w:rPr>
          <w:rFonts w:cs="Arial"/>
        </w:rPr>
        <w:t xml:space="preserve">als (ACGIH, 2018; HCOTN, 2004). </w:t>
      </w:r>
    </w:p>
    <w:p w14:paraId="6557D27F" w14:textId="12E4640B" w:rsidR="00025ECB" w:rsidRDefault="00025ECB" w:rsidP="008D0CBA">
      <w:pPr>
        <w:rPr>
          <w:rFonts w:cs="Arial"/>
        </w:rPr>
      </w:pPr>
      <w:r>
        <w:rPr>
          <w:rFonts w:cs="Arial"/>
        </w:rPr>
        <w:t>The</w:t>
      </w:r>
      <w:r w:rsidR="00BC2704">
        <w:rPr>
          <w:rFonts w:cs="Arial"/>
        </w:rPr>
        <w:t xml:space="preserve"> </w:t>
      </w:r>
      <w:r>
        <w:rPr>
          <w:rFonts w:cs="Arial"/>
        </w:rPr>
        <w:t xml:space="preserve">TWA of 1,000 ppm and STEL of 1,250 ppm are </w:t>
      </w:r>
      <w:r w:rsidR="008837FC">
        <w:rPr>
          <w:rFonts w:cs="Arial"/>
        </w:rPr>
        <w:t xml:space="preserve">recommended </w:t>
      </w:r>
      <w:r w:rsidR="00BC2704">
        <w:rPr>
          <w:rFonts w:cs="Arial"/>
        </w:rPr>
        <w:t xml:space="preserve">to be retained </w:t>
      </w:r>
      <w:r>
        <w:rPr>
          <w:rFonts w:cs="Arial"/>
        </w:rPr>
        <w:t>as they are considered sufficiently protective of the critical effects and a</w:t>
      </w:r>
      <w:r w:rsidR="00295C54">
        <w:rPr>
          <w:rFonts w:cs="Arial"/>
        </w:rPr>
        <w:t>lign</w:t>
      </w:r>
      <w:r>
        <w:rPr>
          <w:rFonts w:cs="Arial"/>
        </w:rPr>
        <w:t xml:space="preserve"> with the assessment presented by the ACGIH (2018).</w:t>
      </w:r>
    </w:p>
    <w:p w14:paraId="6684B3D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BF42A68" w14:textId="3AC4E9FF" w:rsidR="008E4F1F" w:rsidRPr="008D0CBA" w:rsidRDefault="008E4F1F" w:rsidP="008E4F1F">
      <w:pPr>
        <w:rPr>
          <w:rFonts w:cs="Arial"/>
        </w:rPr>
      </w:pPr>
      <w:r w:rsidRPr="008D0CBA">
        <w:rPr>
          <w:rFonts w:cs="Arial"/>
        </w:rPr>
        <w:t>Not classified as a carcinogen according to the Globally Harmonized System of</w:t>
      </w:r>
      <w:r w:rsidR="00155999" w:rsidRPr="008D0CBA">
        <w:rPr>
          <w:rFonts w:cs="Arial"/>
        </w:rPr>
        <w:t xml:space="preserve"> Classification and Labelling of</w:t>
      </w:r>
      <w:r w:rsidR="008D0CBA">
        <w:rPr>
          <w:rFonts w:cs="Arial"/>
        </w:rPr>
        <w:t xml:space="preserve"> Chemicals (GHS).</w:t>
      </w:r>
    </w:p>
    <w:p w14:paraId="310B8F74" w14:textId="77777777" w:rsidR="008E4F1F" w:rsidRPr="008D0CBA" w:rsidRDefault="008E4F1F" w:rsidP="008E4F1F">
      <w:pPr>
        <w:rPr>
          <w:rFonts w:cs="Arial"/>
        </w:rPr>
      </w:pPr>
      <w:r w:rsidRPr="008D0CBA">
        <w:rPr>
          <w:rFonts w:cs="Arial"/>
        </w:rPr>
        <w:t xml:space="preserve">Not classified as a skin </w:t>
      </w:r>
      <w:r w:rsidR="00155999" w:rsidRPr="008D0CBA">
        <w:rPr>
          <w:rFonts w:cs="Arial"/>
        </w:rPr>
        <w:t xml:space="preserve">sensitiser </w:t>
      </w:r>
      <w:r w:rsidRPr="008D0CBA">
        <w:rPr>
          <w:rFonts w:cs="Arial"/>
        </w:rPr>
        <w:t>or respiratory sensitiser according to the GHS.</w:t>
      </w:r>
    </w:p>
    <w:p w14:paraId="238B2D69" w14:textId="3CA61EFC" w:rsidR="004529F0" w:rsidRPr="004C23F4" w:rsidRDefault="00AD4674" w:rsidP="008E4F1F">
      <w:pPr>
        <w:rPr>
          <w:rFonts w:cs="Arial"/>
        </w:rPr>
      </w:pPr>
      <w:r>
        <w:rPr>
          <w:rFonts w:cs="Arial"/>
        </w:rPr>
        <w:t xml:space="preserve">There </w:t>
      </w:r>
      <w:r w:rsidR="008837FC">
        <w:rPr>
          <w:rFonts w:cs="Arial"/>
        </w:rPr>
        <w:t>are</w:t>
      </w:r>
      <w:r>
        <w:rPr>
          <w:rFonts w:cs="Arial"/>
        </w:rPr>
        <w:t xml:space="preserve"> i</w:t>
      </w:r>
      <w:r w:rsidR="008E4F1F" w:rsidRPr="008D0CBA">
        <w:rPr>
          <w:rFonts w:cs="Arial"/>
        </w:rPr>
        <w:t xml:space="preserve">nsufficient </w:t>
      </w:r>
      <w:r>
        <w:rPr>
          <w:rFonts w:cs="Arial"/>
        </w:rPr>
        <w:t>data</w:t>
      </w:r>
      <w:r w:rsidRPr="008D0CBA">
        <w:rPr>
          <w:rFonts w:cs="Arial"/>
        </w:rPr>
        <w:t xml:space="preserve"> </w:t>
      </w:r>
      <w:r w:rsidR="008E4F1F" w:rsidRPr="008D0CBA">
        <w:rPr>
          <w:rFonts w:cs="Arial"/>
        </w:rPr>
        <w:t>to recommend a skin notation.</w:t>
      </w:r>
    </w:p>
    <w:p w14:paraId="684A0F3E" w14:textId="2985D0B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C37AA3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E8AFBD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E4F8B5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4ED4A7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7BA48D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CA10144" w14:textId="12C751B5" w:rsidR="00DE26E8" w:rsidRPr="003365A5" w:rsidRDefault="00DE26E8" w:rsidP="008F5DD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947" w:hanging="2947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F5DD8" w:rsidRPr="005133DE">
                  <w:t>2016</w:t>
                </w:r>
              </w:sdtContent>
            </w:sdt>
            <w:r w:rsidRPr="003365A5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F5DD8">
                  <w:t>TWA: 1,000 ppm (1,640 mg/m</w:t>
                </w:r>
                <w:r w:rsidR="008F5DD8" w:rsidRPr="008F5DD8">
                  <w:rPr>
                    <w:vertAlign w:val="superscript"/>
                  </w:rPr>
                  <w:t>3</w:t>
                </w:r>
                <w:r w:rsidR="008F5DD8">
                  <w:t>); STEL: 1,250 ppm (2,050 mg/m</w:t>
                </w:r>
                <w:r w:rsidR="008F5DD8" w:rsidRPr="008F5DD8">
                  <w:rPr>
                    <w:vertAlign w:val="superscript"/>
                  </w:rPr>
                  <w:t>3</w:t>
                </w:r>
                <w:r w:rsidR="008F5DD8">
                  <w:t>)</w:t>
                </w:r>
              </w:sdtContent>
            </w:sdt>
          </w:p>
        </w:tc>
      </w:tr>
      <w:tr w:rsidR="00C978F0" w:rsidRPr="00DA352E" w14:paraId="4090E0D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088863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075B6C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0E6642" w14:textId="5FFB5663" w:rsidR="00C978F0" w:rsidRPr="005133D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5133DE">
              <w:t>ACGIH</w:t>
            </w:r>
            <w:r w:rsidR="00916EC0" w:rsidRPr="005133DE">
              <w:t xml:space="preserve"> </w:t>
            </w:r>
            <w:r w:rsidR="00916EC0" w:rsidRPr="005133DE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B4D07" w:rsidRPr="005133DE">
                  <w:t>2018</w:t>
                </w:r>
              </w:sdtContent>
            </w:sdt>
            <w:r w:rsidR="00916EC0" w:rsidRPr="005133DE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B4D07" w:rsidRPr="005133DE">
                  <w:t xml:space="preserve">TLV-TWA: 1,000 ppm; </w:t>
                </w:r>
                <w:r w:rsidR="005133DE" w:rsidRPr="005133DE">
                  <w:t>TLV-</w:t>
                </w:r>
                <w:r w:rsidR="008B4D07" w:rsidRPr="005133DE">
                  <w:t>STEL: 1,250 ppm</w:t>
                </w:r>
              </w:sdtContent>
            </w:sdt>
          </w:p>
        </w:tc>
      </w:tr>
      <w:tr w:rsidR="00C978F0" w:rsidRPr="00DA352E" w14:paraId="346FA5C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7FE2E8D" w14:textId="7D9BDB9B" w:rsidR="00C978F0" w:rsidRDefault="005133DE" w:rsidP="003365A5">
            <w:pPr>
              <w:pStyle w:val="Tabletextprimarysource"/>
            </w:pPr>
            <w:r>
              <w:t xml:space="preserve">TLV-TWA and TLV-STEL recommended to minimise potential for anaesthetic effects and, at higher concentrations, asphyxiation. </w:t>
            </w:r>
          </w:p>
          <w:p w14:paraId="5F44D593" w14:textId="468ED8AF" w:rsidR="005133DE" w:rsidRDefault="005133DE" w:rsidP="003365A5">
            <w:pPr>
              <w:pStyle w:val="Tabletextprimarysource"/>
            </w:pPr>
            <w:r>
              <w:t>Summary of data:</w:t>
            </w:r>
          </w:p>
          <w:p w14:paraId="1A9B1E82" w14:textId="77777777" w:rsidR="008837FC" w:rsidRDefault="00A96C86" w:rsidP="003365A5">
            <w:pPr>
              <w:pStyle w:val="Tabletextprimarysource"/>
            </w:pPr>
            <w:r>
              <w:t xml:space="preserve">Human and animal exposure data are very limited. </w:t>
            </w:r>
          </w:p>
          <w:p w14:paraId="394E1CEA" w14:textId="77777777" w:rsidR="008837FC" w:rsidRDefault="005133DE" w:rsidP="003365A5">
            <w:pPr>
              <w:pStyle w:val="Tabletextprimarysource"/>
            </w:pPr>
            <w:r>
              <w:t>Mixture</w:t>
            </w:r>
            <w:r w:rsidR="00A96C86">
              <w:t>s</w:t>
            </w:r>
            <w:r>
              <w:t xml:space="preserve"> typically contain 68–70% methylacetylene. </w:t>
            </w:r>
          </w:p>
          <w:p w14:paraId="3B7C8195" w14:textId="5E2DD3BF" w:rsidR="008837FC" w:rsidRDefault="005133DE" w:rsidP="003365A5">
            <w:pPr>
              <w:pStyle w:val="Tabletextprimarysource"/>
            </w:pPr>
            <w:r>
              <w:t xml:space="preserve">Workplace exposures near the TLV-TWA and TLV-STEL should consider </w:t>
            </w:r>
            <w:r w:rsidR="00A96C86">
              <w:t>the 10% LEL of 3,</w:t>
            </w:r>
            <w:r w:rsidR="00295C54">
              <w:t>400 </w:t>
            </w:r>
            <w:r>
              <w:t xml:space="preserve">ppm. </w:t>
            </w:r>
          </w:p>
          <w:p w14:paraId="711B9826" w14:textId="0E6E6099" w:rsidR="005133DE" w:rsidRDefault="00A96C86" w:rsidP="003365A5">
            <w:pPr>
              <w:pStyle w:val="Tabletextprimarysource"/>
            </w:pPr>
            <w:r>
              <w:t>TLV-TWA and TLV-STEL based on very limited animal data and by analogy to methylacetylene.</w:t>
            </w:r>
          </w:p>
          <w:p w14:paraId="203C5AFD" w14:textId="5EE126AB" w:rsidR="005133DE" w:rsidRDefault="005133DE" w:rsidP="003365A5">
            <w:pPr>
              <w:pStyle w:val="Tabletextprimarysource"/>
            </w:pPr>
            <w:r>
              <w:t>Human data:</w:t>
            </w:r>
          </w:p>
          <w:p w14:paraId="48D26312" w14:textId="71BB6AC2" w:rsidR="005133DE" w:rsidRDefault="005133DE" w:rsidP="005133DE">
            <w:pPr>
              <w:pStyle w:val="Tabletextprimarysource"/>
              <w:numPr>
                <w:ilvl w:val="0"/>
                <w:numId w:val="1"/>
              </w:numPr>
            </w:pPr>
            <w:r>
              <w:t>Odour threshold: 100 ppm</w:t>
            </w:r>
            <w:r w:rsidR="00461C15">
              <w:t>.</w:t>
            </w:r>
          </w:p>
          <w:p w14:paraId="59424138" w14:textId="030F9442" w:rsidR="005133DE" w:rsidRDefault="005133DE" w:rsidP="00A96C86">
            <w:pPr>
              <w:pStyle w:val="Tabletextprimarysource"/>
            </w:pPr>
            <w:r>
              <w:t>Animal data:</w:t>
            </w:r>
          </w:p>
          <w:p w14:paraId="5F3883D5" w14:textId="34B9CC36" w:rsidR="00A96C86" w:rsidRDefault="00A96C86" w:rsidP="00A96C86">
            <w:pPr>
              <w:pStyle w:val="Tabletextprimarysource"/>
              <w:numPr>
                <w:ilvl w:val="0"/>
                <w:numId w:val="1"/>
              </w:numPr>
            </w:pPr>
            <w:r>
              <w:t>No adverse effects at 1,000 ppm</w:t>
            </w:r>
            <w:r w:rsidR="00461C15">
              <w:t xml:space="preserve"> </w:t>
            </w:r>
            <w:r>
              <w:t>measured by mortality, growth, haematological parameters and histopathology (rats, rabbits, dogs, guinea pigs, 7 h/d, 5 d/</w:t>
            </w:r>
            <w:proofErr w:type="spellStart"/>
            <w:r>
              <w:t>wk</w:t>
            </w:r>
            <w:proofErr w:type="spellEnd"/>
            <w:r>
              <w:t xml:space="preserve">, 16 </w:t>
            </w:r>
            <w:proofErr w:type="spellStart"/>
            <w:r>
              <w:t>wk</w:t>
            </w:r>
            <w:proofErr w:type="spellEnd"/>
            <w:r>
              <w:t xml:space="preserve">); decreased </w:t>
            </w:r>
            <w:proofErr w:type="spellStart"/>
            <w:r>
              <w:t>bw</w:t>
            </w:r>
            <w:proofErr w:type="spellEnd"/>
            <w:r>
              <w:t xml:space="preserve"> and organ weight at 5,000 ppm only in male rats and guinea pigs</w:t>
            </w:r>
          </w:p>
          <w:p w14:paraId="66857694" w14:textId="28479365" w:rsidR="00A96C86" w:rsidRDefault="00A96C86" w:rsidP="00C720F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effects at 5,000 ppm considered non-specific and not detected in clinical chemistry or histopathological parameters</w:t>
            </w:r>
            <w:r w:rsidR="00461C15">
              <w:t>.</w:t>
            </w:r>
          </w:p>
          <w:p w14:paraId="4C8A93A7" w14:textId="77777777" w:rsidR="008837FC" w:rsidRDefault="008837FC" w:rsidP="003365A5">
            <w:pPr>
              <w:pStyle w:val="Tabletextprimarysource"/>
            </w:pPr>
          </w:p>
          <w:p w14:paraId="465BB1C7" w14:textId="56DC128D" w:rsidR="005133DE" w:rsidRDefault="005133DE" w:rsidP="003365A5">
            <w:pPr>
              <w:pStyle w:val="Tabletextprimarysource"/>
            </w:pPr>
            <w:r>
              <w:t>Insufficient data to recommend notations for carcinogenicity, skin absorption or sensitisation.</w:t>
            </w:r>
          </w:p>
          <w:p w14:paraId="6EF126F0" w14:textId="3E405DCF" w:rsidR="008837FC" w:rsidRPr="00DA352E" w:rsidRDefault="008837FC" w:rsidP="003365A5">
            <w:pPr>
              <w:pStyle w:val="Tabletextprimarysource"/>
            </w:pPr>
          </w:p>
        </w:tc>
      </w:tr>
      <w:tr w:rsidR="00C978F0" w:rsidRPr="00DA352E" w14:paraId="77DDAE6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3755A7" w14:textId="0F02144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615F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615F0">
                  <w:t>NA</w:t>
                </w:r>
                <w:proofErr w:type="spellEnd"/>
              </w:sdtContent>
            </w:sdt>
          </w:p>
        </w:tc>
      </w:tr>
      <w:tr w:rsidR="00C978F0" w:rsidRPr="00DA352E" w14:paraId="3CA8FBE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786AE1" w14:textId="3E297A1D" w:rsidR="00C978F0" w:rsidRPr="00DA352E" w:rsidRDefault="009615F0" w:rsidP="003365A5">
            <w:pPr>
              <w:pStyle w:val="Tabletextprimarysource"/>
            </w:pPr>
            <w:r>
              <w:t>No report</w:t>
            </w:r>
            <w:r w:rsidR="00461C15">
              <w:t>.</w:t>
            </w:r>
          </w:p>
        </w:tc>
      </w:tr>
      <w:tr w:rsidR="00C978F0" w:rsidRPr="00DA352E" w14:paraId="2A8A7AA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D48F4E" w14:textId="28C09CA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64D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64D66">
                  <w:t>NA</w:t>
                </w:r>
                <w:proofErr w:type="spellEnd"/>
              </w:sdtContent>
            </w:sdt>
          </w:p>
        </w:tc>
      </w:tr>
      <w:tr w:rsidR="00C978F0" w:rsidRPr="00DA352E" w14:paraId="1B33FDE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8F3D6B" w14:textId="583E86C5" w:rsidR="00C978F0" w:rsidRPr="00DA352E" w:rsidRDefault="00264D66" w:rsidP="003365A5">
            <w:pPr>
              <w:pStyle w:val="Tabletextprimarysource"/>
            </w:pPr>
            <w:r>
              <w:t>No report</w:t>
            </w:r>
            <w:r w:rsidR="00461C15">
              <w:t>.</w:t>
            </w:r>
          </w:p>
        </w:tc>
      </w:tr>
      <w:tr w:rsidR="00DA352E" w:rsidRPr="00DA352E" w14:paraId="268500E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A12E96" w14:textId="32D7C7B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64D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64D66">
                  <w:t>NA</w:t>
                </w:r>
                <w:proofErr w:type="spellEnd"/>
              </w:sdtContent>
            </w:sdt>
          </w:p>
        </w:tc>
      </w:tr>
      <w:tr w:rsidR="00DA352E" w:rsidRPr="00DA352E" w14:paraId="64AD4C6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78000D8" w14:textId="71C52468" w:rsidR="00DA352E" w:rsidRPr="00DA352E" w:rsidRDefault="00264D66" w:rsidP="003365A5">
            <w:pPr>
              <w:pStyle w:val="Tabletextprimarysource"/>
            </w:pPr>
            <w:r>
              <w:t>No report</w:t>
            </w:r>
            <w:r w:rsidR="00461C15">
              <w:t>.</w:t>
            </w:r>
          </w:p>
        </w:tc>
      </w:tr>
      <w:tr w:rsidR="00DA352E" w:rsidRPr="00DA352E" w14:paraId="440FF09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585DB6" w14:textId="7D2DD25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659FE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659FE" w:rsidRPr="009659FE">
                  <w:t>TWA:</w:t>
                </w:r>
                <w:r w:rsidR="009659FE">
                  <w:t xml:space="preserve"> 1,000 ppm (1,800 mg/m</w:t>
                </w:r>
                <w:r w:rsidR="009659FE" w:rsidRPr="009659FE">
                  <w:rPr>
                    <w:vertAlign w:val="superscript"/>
                  </w:rPr>
                  <w:t>3</w:t>
                </w:r>
                <w:r w:rsidR="009659FE">
                  <w:t>)</w:t>
                </w:r>
              </w:sdtContent>
            </w:sdt>
          </w:p>
        </w:tc>
      </w:tr>
      <w:tr w:rsidR="00DA352E" w:rsidRPr="00DA352E" w14:paraId="0D288717" w14:textId="77777777" w:rsidTr="00C720F4">
        <w:trPr>
          <w:gridAfter w:val="1"/>
          <w:wAfter w:w="8" w:type="pct"/>
        </w:trPr>
        <w:tc>
          <w:tcPr>
            <w:tcW w:w="0" w:type="pct"/>
          </w:tcPr>
          <w:p w14:paraId="6FFFEC97" w14:textId="04470CDD" w:rsidR="00656B11" w:rsidRDefault="005137FE" w:rsidP="003365A5">
            <w:pPr>
              <w:pStyle w:val="Tabletextprimarysource"/>
            </w:pPr>
            <w:r>
              <w:t>Summary of additional data:</w:t>
            </w:r>
          </w:p>
          <w:p w14:paraId="34C53003" w14:textId="6D851659" w:rsidR="00B51DBE" w:rsidRDefault="00B51DBE" w:rsidP="003365A5">
            <w:pPr>
              <w:pStyle w:val="Tabletextprimarysource"/>
            </w:pPr>
            <w:r>
              <w:t xml:space="preserve">Current administrative OEL of 1,000 ppm considered too high; proposed HBROEL derived from NOAEL of 1,000 ppm for non-specific </w:t>
            </w:r>
            <w:proofErr w:type="spellStart"/>
            <w:r w:rsidR="00BC2704">
              <w:t>b</w:t>
            </w:r>
            <w:r w:rsidR="00295C54">
              <w:t>w</w:t>
            </w:r>
            <w:proofErr w:type="spellEnd"/>
            <w:r w:rsidR="00BC2704">
              <w:t xml:space="preserve"> </w:t>
            </w:r>
            <w:r>
              <w:t xml:space="preserve">and organ weight changes in male guinea pigs (also cited by ACGIH, 2018). A factor of 3 is applied to account for intraspecies differences and rounded down to arrive at the </w:t>
            </w:r>
            <w:r w:rsidR="00C720F4">
              <w:t>proposed HBROEL of 300 ppm as a</w:t>
            </w:r>
            <w:r>
              <w:t xml:space="preserve"> TWA.</w:t>
            </w:r>
          </w:p>
          <w:p w14:paraId="0FD16323" w14:textId="47B11859" w:rsidR="00656B11" w:rsidRDefault="00656B11" w:rsidP="003365A5">
            <w:pPr>
              <w:pStyle w:val="Tabletextprimarysource"/>
            </w:pPr>
            <w:r>
              <w:t>Animal data:</w:t>
            </w:r>
          </w:p>
          <w:p w14:paraId="5B5FE496" w14:textId="77777777" w:rsidR="005137FE" w:rsidRDefault="00656B11" w:rsidP="00656B11">
            <w:pPr>
              <w:pStyle w:val="Tabletextprimarysource"/>
              <w:numPr>
                <w:ilvl w:val="0"/>
                <w:numId w:val="1"/>
              </w:numPr>
            </w:pPr>
            <w:r>
              <w:t>Anaesthesia at 100,000–150,000 ppm methylacetylene (rats, cats, duration/frequency not specified); cardiac irregularities and convulsions reported</w:t>
            </w:r>
          </w:p>
          <w:p w14:paraId="78A64DD5" w14:textId="77777777" w:rsidR="00656B11" w:rsidRDefault="00656B11" w:rsidP="00656B11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Liver damage and narcosis at 113,500 mg/m</w:t>
            </w:r>
            <w:r>
              <w:rPr>
                <w:vertAlign w:val="superscript"/>
              </w:rPr>
              <w:t>3</w:t>
            </w:r>
            <w:r>
              <w:t xml:space="preserve"> (acute) 82,000 mg/m</w:t>
            </w:r>
            <w:r>
              <w:rPr>
                <w:vertAlign w:val="superscript"/>
              </w:rPr>
              <w:t>3</w:t>
            </w:r>
            <w:r>
              <w:t xml:space="preserve"> (chronic) for a C</w:t>
            </w:r>
            <w:r>
              <w:rPr>
                <w:vertAlign w:val="subscript"/>
              </w:rPr>
              <w:t>3</w:t>
            </w:r>
            <w:r>
              <w:t>-C</w:t>
            </w:r>
            <w:r>
              <w:rPr>
                <w:vertAlign w:val="subscript"/>
              </w:rPr>
              <w:t>4</w:t>
            </w:r>
            <w:r>
              <w:t xml:space="preserve"> alkane-alkene mixture containing 45% methylacetylene and 25.6% </w:t>
            </w:r>
            <w:proofErr w:type="spellStart"/>
            <w:r>
              <w:t>propadiene</w:t>
            </w:r>
            <w:proofErr w:type="spellEnd"/>
            <w:r>
              <w:t xml:space="preserve"> (rats, duration/frequency not specified)</w:t>
            </w:r>
          </w:p>
          <w:p w14:paraId="657ACCA6" w14:textId="1D45DA57" w:rsidR="00656B11" w:rsidRDefault="00656B11" w:rsidP="00656B11">
            <w:pPr>
              <w:pStyle w:val="Tabletextprimarysource"/>
              <w:numPr>
                <w:ilvl w:val="0"/>
                <w:numId w:val="1"/>
              </w:numPr>
            </w:pPr>
            <w:r>
              <w:t>Signs of narcosis and anaesthesia, and, at necropsy, dark-red colouration of lungs, bronchial contraction, and alveolar haemorrhage at 42,000 ppm (rats, 6 h); bronchiolitis and pneumonitis noted during 9</w:t>
            </w:r>
            <w:r w:rsidR="00461C15">
              <w:t xml:space="preserve"> </w:t>
            </w:r>
            <w:r>
              <w:t>d observation period</w:t>
            </w:r>
          </w:p>
          <w:p w14:paraId="7EDA9BA8" w14:textId="2B8AE005" w:rsidR="00B51DBE" w:rsidRDefault="00B51DBE" w:rsidP="00656B11">
            <w:pPr>
              <w:pStyle w:val="Tabletextprimarysource"/>
              <w:numPr>
                <w:ilvl w:val="0"/>
                <w:numId w:val="1"/>
              </w:numPr>
            </w:pPr>
            <w:r>
              <w:t>Rapidly reversible excess salivation, excitability, muscular fasciculation and some mortality at 28,700 ppm methylacetylene (r</w:t>
            </w:r>
            <w:r w:rsidR="00BE2E6F">
              <w:t>ats, dogs, 6 h/d, 5 d/wk, 6 mo):</w:t>
            </w:r>
            <w:r>
              <w:t xml:space="preserve"> </w:t>
            </w:r>
          </w:p>
          <w:p w14:paraId="2A34214C" w14:textId="100D6B07" w:rsidR="00B51DBE" w:rsidRDefault="00BC2704" w:rsidP="00C720F4">
            <w:pPr>
              <w:pStyle w:val="Tabletextprimarysource"/>
              <w:numPr>
                <w:ilvl w:val="1"/>
                <w:numId w:val="1"/>
              </w:numPr>
              <w:ind w:left="1156"/>
            </w:pPr>
            <w:proofErr w:type="spellStart"/>
            <w:r>
              <w:t>b</w:t>
            </w:r>
            <w:r w:rsidR="00295C54">
              <w:t>w</w:t>
            </w:r>
            <w:proofErr w:type="spellEnd"/>
            <w:r>
              <w:t xml:space="preserve"> </w:t>
            </w:r>
            <w:r w:rsidR="00B51DBE">
              <w:t>loss reported</w:t>
            </w:r>
            <w:r w:rsidR="00295C54">
              <w:t>;</w:t>
            </w:r>
            <w:r w:rsidR="00B51DBE">
              <w:t xml:space="preserve"> transient in dogs</w:t>
            </w:r>
          </w:p>
          <w:p w14:paraId="3ADCA9A6" w14:textId="61357351" w:rsidR="00B51DBE" w:rsidRDefault="00B51DBE" w:rsidP="00C720F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 macro- or microscopic changes observed during autopsy of dogs</w:t>
            </w:r>
          </w:p>
          <w:p w14:paraId="5A95C5FD" w14:textId="08216BE9" w:rsidR="00B51DBE" w:rsidRDefault="00B51DBE" w:rsidP="00C720F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distention, dark-red colouration, oedema, haemorrhages, and signs of irritation in lungs of rats</w:t>
            </w:r>
          </w:p>
          <w:p w14:paraId="5368F394" w14:textId="77777777" w:rsidR="00656B11" w:rsidRDefault="00656B11" w:rsidP="00656B1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Equivocal mutagenicity data </w:t>
            </w:r>
            <w:r>
              <w:rPr>
                <w:i/>
              </w:rPr>
              <w:t>in vitro</w:t>
            </w:r>
            <w:r>
              <w:t xml:space="preserve"> in </w:t>
            </w:r>
            <w:r>
              <w:rPr>
                <w:i/>
              </w:rPr>
              <w:t xml:space="preserve">Salmonella </w:t>
            </w:r>
            <w:r>
              <w:t xml:space="preserve">strains and </w:t>
            </w:r>
            <w:r>
              <w:rPr>
                <w:i/>
              </w:rPr>
              <w:t>E</w:t>
            </w:r>
            <w:r w:rsidR="00C720F4">
              <w:rPr>
                <w:i/>
              </w:rPr>
              <w:t>.</w:t>
            </w:r>
            <w:r>
              <w:rPr>
                <w:i/>
              </w:rPr>
              <w:t xml:space="preserve"> Coli</w:t>
            </w:r>
            <w:r w:rsidR="00461C15">
              <w:t>.</w:t>
            </w:r>
          </w:p>
          <w:p w14:paraId="328E037C" w14:textId="64DB7D76" w:rsidR="008837FC" w:rsidRPr="00DA352E" w:rsidRDefault="008837FC" w:rsidP="008837FC">
            <w:pPr>
              <w:pStyle w:val="Tabletextprimarysource"/>
            </w:pPr>
          </w:p>
        </w:tc>
      </w:tr>
    </w:tbl>
    <w:p w14:paraId="66D32511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05CE6DC2" w14:textId="77777777" w:rsidTr="00C720F4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D41E15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736F344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C3567E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77E0CAB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D9F512A" w14:textId="77777777" w:rsidTr="00C720F4">
        <w:trPr>
          <w:cantSplit/>
        </w:trPr>
        <w:tc>
          <w:tcPr>
            <w:tcW w:w="1498" w:type="dxa"/>
          </w:tcPr>
          <w:p w14:paraId="10BD3D89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6EE6909" w14:textId="7DC74E1A" w:rsidR="004966BF" w:rsidRDefault="00917BD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D0CB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34054CB" w14:textId="57DF2CCF" w:rsidR="004966BF" w:rsidRPr="004C23F4" w:rsidRDefault="008D0CB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1601C997" w14:textId="06D97879" w:rsidR="004966BF" w:rsidRPr="004C23F4" w:rsidRDefault="00C720F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No further information. </w:t>
            </w:r>
          </w:p>
        </w:tc>
      </w:tr>
    </w:tbl>
    <w:bookmarkEnd w:id="0"/>
    <w:p w14:paraId="58555B8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8B797E6" w14:textId="77777777" w:rsidTr="008D0CBA">
        <w:trPr>
          <w:trHeight w:val="454"/>
          <w:tblHeader/>
        </w:trPr>
        <w:tc>
          <w:tcPr>
            <w:tcW w:w="6597" w:type="dxa"/>
            <w:vAlign w:val="center"/>
          </w:tcPr>
          <w:p w14:paraId="5DA53C2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701BCE0" w14:textId="2C99F9A1" w:rsidR="002E0D61" w:rsidRDefault="008D0CB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CA0D2EB" w14:textId="77777777" w:rsidTr="008D0CBA">
        <w:trPr>
          <w:trHeight w:val="454"/>
        </w:trPr>
        <w:tc>
          <w:tcPr>
            <w:tcW w:w="6597" w:type="dxa"/>
            <w:vAlign w:val="center"/>
          </w:tcPr>
          <w:p w14:paraId="064B00B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6671BC4" w14:textId="3D25A615" w:rsidR="008A36CF" w:rsidRDefault="008D0CB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837FC" w14:paraId="5651DC0E" w14:textId="77777777" w:rsidTr="0045094C">
        <w:trPr>
          <w:trHeight w:val="454"/>
        </w:trPr>
        <w:sdt>
          <w:sdtPr>
            <w:rPr>
              <w:b/>
            </w:rPr>
            <w:id w:val="1830936485"/>
            <w:placeholder>
              <w:docPart w:val="B31694F610B442D7AF1A656AC1BC550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165B808" w14:textId="6E08EC39" w:rsidR="008837FC" w:rsidRDefault="008837F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EE0FE9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8C0651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894455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B34196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DAEAA45" w14:textId="77777777" w:rsidTr="00812887">
        <w:trPr>
          <w:cantSplit/>
        </w:trPr>
        <w:tc>
          <w:tcPr>
            <w:tcW w:w="3227" w:type="dxa"/>
          </w:tcPr>
          <w:p w14:paraId="77F395F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6CD5124" w14:textId="56CE86D2" w:rsidR="00687890" w:rsidRPr="00DD2F9B" w:rsidRDefault="00264D6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F084ABB" w14:textId="77777777" w:rsidTr="00812887">
        <w:trPr>
          <w:cantSplit/>
        </w:trPr>
        <w:tc>
          <w:tcPr>
            <w:tcW w:w="3227" w:type="dxa"/>
          </w:tcPr>
          <w:p w14:paraId="50C6EAE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A2DEDCA" w14:textId="6572A85E" w:rsidR="007925F0" w:rsidRPr="00DD2F9B" w:rsidRDefault="00264D6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B6C1294" w14:textId="77777777" w:rsidTr="00812887">
        <w:trPr>
          <w:cantSplit/>
        </w:trPr>
        <w:tc>
          <w:tcPr>
            <w:tcW w:w="3227" w:type="dxa"/>
          </w:tcPr>
          <w:p w14:paraId="0C27B49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A47B15C" w14:textId="19DD77BB" w:rsidR="00AF483F" w:rsidRPr="00DD2F9B" w:rsidRDefault="009659F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4BDC1C8" w14:textId="77777777" w:rsidTr="00812887">
        <w:trPr>
          <w:cantSplit/>
        </w:trPr>
        <w:tc>
          <w:tcPr>
            <w:tcW w:w="3227" w:type="dxa"/>
          </w:tcPr>
          <w:p w14:paraId="5C1190C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8EC1A68" w14:textId="0D9FEFCB" w:rsidR="00687890" w:rsidRPr="00DD2F9B" w:rsidRDefault="009659FE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682B588" w14:textId="77777777" w:rsidTr="00812887">
        <w:trPr>
          <w:cantSplit/>
        </w:trPr>
        <w:tc>
          <w:tcPr>
            <w:tcW w:w="3227" w:type="dxa"/>
          </w:tcPr>
          <w:p w14:paraId="7EBFB96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C384A2F" w14:textId="2D22A832" w:rsidR="00E41A26" w:rsidRPr="00DD2F9B" w:rsidRDefault="009659F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FD73F20" w14:textId="77777777" w:rsidTr="00812887">
        <w:trPr>
          <w:cantSplit/>
        </w:trPr>
        <w:tc>
          <w:tcPr>
            <w:tcW w:w="3227" w:type="dxa"/>
          </w:tcPr>
          <w:p w14:paraId="4F7AEEA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A2385F8" w14:textId="4C461C57" w:rsidR="002E0D61" w:rsidRPr="00DD2F9B" w:rsidRDefault="00264D6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4FD5136" w14:textId="77777777" w:rsidTr="00812887">
        <w:trPr>
          <w:cantSplit/>
        </w:trPr>
        <w:tc>
          <w:tcPr>
            <w:tcW w:w="3227" w:type="dxa"/>
          </w:tcPr>
          <w:p w14:paraId="7F9DAC2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EE1516B" w14:textId="278A6EDF" w:rsidR="002E0D61" w:rsidRPr="00DD2F9B" w:rsidRDefault="00264D6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25E3E36" w14:textId="77777777" w:rsidTr="00812887">
        <w:trPr>
          <w:cantSplit/>
        </w:trPr>
        <w:tc>
          <w:tcPr>
            <w:tcW w:w="3227" w:type="dxa"/>
          </w:tcPr>
          <w:p w14:paraId="0521483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8DBC695" w14:textId="25F87117" w:rsidR="002E0D61" w:rsidRPr="00DD2F9B" w:rsidRDefault="009659F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80B41D" w14:textId="77777777" w:rsidTr="00812887">
        <w:trPr>
          <w:cantSplit/>
        </w:trPr>
        <w:tc>
          <w:tcPr>
            <w:tcW w:w="3227" w:type="dxa"/>
          </w:tcPr>
          <w:p w14:paraId="04856FA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E19A2A1" w14:textId="7A56C950" w:rsidR="002E0D61" w:rsidRPr="00DD2F9B" w:rsidRDefault="009659F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DA04A0E" w14:textId="77777777" w:rsidTr="00812887">
        <w:trPr>
          <w:cantSplit/>
        </w:trPr>
        <w:tc>
          <w:tcPr>
            <w:tcW w:w="3227" w:type="dxa"/>
          </w:tcPr>
          <w:p w14:paraId="4C8A63C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2369D7" w14:textId="0FABFB44" w:rsidR="00386093" w:rsidRPr="00DD2F9B" w:rsidRDefault="009659F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C4215D1" w14:textId="77777777" w:rsidTr="00812887">
        <w:trPr>
          <w:cantSplit/>
        </w:trPr>
        <w:tc>
          <w:tcPr>
            <w:tcW w:w="3227" w:type="dxa"/>
          </w:tcPr>
          <w:p w14:paraId="5945B2C2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61E794BE" w14:textId="6262235A" w:rsidR="00386093" w:rsidRPr="00DD2F9B" w:rsidRDefault="009659F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E4BAFC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8A2DEE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ED01CF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B4EF31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28951A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0F3C2E9" w14:textId="07545FE6" w:rsidR="00932DCE" w:rsidRPr="004C23F4" w:rsidRDefault="00F56FE6" w:rsidP="00F9496B">
            <w:pPr>
              <w:pStyle w:val="Tablefont"/>
            </w:pPr>
            <w:r>
              <w:t>Insufficient data to assign a skin notation</w:t>
            </w:r>
            <w:r w:rsidR="008837FC">
              <w:t>.</w:t>
            </w:r>
          </w:p>
        </w:tc>
      </w:tr>
    </w:tbl>
    <w:bookmarkEnd w:id="3"/>
    <w:p w14:paraId="790ECBA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0C2DA45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7A8EC1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676F1F9" w14:textId="6646AF53" w:rsidR="00EB3D1B" w:rsidRDefault="009659FE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4E06710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8F1AF6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829ED3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B7DECC9" w14:textId="77777777" w:rsidR="001B79E5" w:rsidRDefault="008F5DD8" w:rsidP="001B79E5">
                <w:pPr>
                  <w:pStyle w:val="Tablefont"/>
                </w:pPr>
                <w:r>
                  <w:t>40.07</w:t>
                </w:r>
              </w:p>
            </w:tc>
          </w:sdtContent>
        </w:sdt>
      </w:tr>
      <w:tr w:rsidR="00A31D99" w:rsidRPr="004C23F4" w14:paraId="18C2C51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E2570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831C79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BC1A67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310106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50E08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BDF1D3" w14:textId="77777777" w:rsidTr="00EA6243">
        <w:trPr>
          <w:cantSplit/>
        </w:trPr>
        <w:tc>
          <w:tcPr>
            <w:tcW w:w="4077" w:type="dxa"/>
            <w:vAlign w:val="center"/>
          </w:tcPr>
          <w:p w14:paraId="3F1BAF1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1813D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4846538" w14:textId="77777777" w:rsidTr="00EA6243">
        <w:trPr>
          <w:cantSplit/>
        </w:trPr>
        <w:tc>
          <w:tcPr>
            <w:tcW w:w="4077" w:type="dxa"/>
            <w:vAlign w:val="center"/>
          </w:tcPr>
          <w:p w14:paraId="73F319D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034614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A44499C" w14:textId="77777777" w:rsidTr="00EA6243">
        <w:trPr>
          <w:cantSplit/>
        </w:trPr>
        <w:tc>
          <w:tcPr>
            <w:tcW w:w="4077" w:type="dxa"/>
            <w:vAlign w:val="center"/>
          </w:tcPr>
          <w:p w14:paraId="662BBDF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72324B7" w14:textId="77777777" w:rsidR="00E06F40" w:rsidRPr="00A006A0" w:rsidRDefault="00917BD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8C8CA4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9D6E5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A05C3A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A2F31F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1C3424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59F82C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36917D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AD2951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BAE00B2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4BE11BC" w14:textId="6FE5B086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551494">
        <w:t>2004</w:t>
      </w:r>
      <w:r>
        <w:t xml:space="preserve">) </w:t>
      </w:r>
      <w:r w:rsidR="00551494" w:rsidRPr="00551494">
        <w:t xml:space="preserve">Propyne-allene mixture (MAPP </w:t>
      </w:r>
      <w:proofErr w:type="spellStart"/>
      <w:r w:rsidR="00551494" w:rsidRPr="00551494">
        <w:t>gas</w:t>
      </w:r>
      <w:r w:rsidR="00807A82" w:rsidRPr="00807A82">
        <w:t>Health</w:t>
      </w:r>
      <w:proofErr w:type="spellEnd"/>
      <w:r w:rsidR="00807A82" w:rsidRPr="00807A82">
        <w:t>-based Reassessment of Administrative Occupational Exposure Limits</w:t>
      </w:r>
      <w:r w:rsidRPr="005F7416">
        <w:t xml:space="preserve">. The Hague: Health Council of the Netherlands; publication no. </w:t>
      </w:r>
      <w:r w:rsidR="00551494" w:rsidRPr="00551494">
        <w:t>2000/15OSH/129</w:t>
      </w:r>
      <w:r>
        <w:t>.</w:t>
      </w:r>
    </w:p>
    <w:p w14:paraId="09C36089" w14:textId="340866F9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D45C3A">
            <w:t>1994</w:t>
          </w:r>
        </w:sdtContent>
      </w:sdt>
      <w:r>
        <w:t xml:space="preserve">) Immediately dangerous to life or health concentrations – </w:t>
      </w:r>
      <w:r w:rsidR="00D45C3A" w:rsidRPr="00D45C3A">
        <w:t>Methyl acetylene-</w:t>
      </w:r>
      <w:proofErr w:type="spellStart"/>
      <w:r w:rsidR="00D45C3A" w:rsidRPr="00D45C3A">
        <w:t>propadiene</w:t>
      </w:r>
      <w:proofErr w:type="spellEnd"/>
      <w:r w:rsidR="00D45C3A" w:rsidRPr="00D45C3A">
        <w:t xml:space="preserve"> mixture (MAPP)</w:t>
      </w:r>
      <w:r>
        <w:t>.</w:t>
      </w:r>
    </w:p>
    <w:p w14:paraId="275B1B52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81950" w14:textId="77777777" w:rsidR="00987E3B" w:rsidRDefault="00987E3B" w:rsidP="00F43AD5">
      <w:pPr>
        <w:spacing w:after="0" w:line="240" w:lineRule="auto"/>
      </w:pPr>
      <w:r>
        <w:separator/>
      </w:r>
    </w:p>
  </w:endnote>
  <w:endnote w:type="continuationSeparator" w:id="0">
    <w:p w14:paraId="783D0FE1" w14:textId="77777777" w:rsidR="00987E3B" w:rsidRDefault="00987E3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04B38" w14:textId="77777777" w:rsidR="006B6D20" w:rsidRDefault="006B6D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9C61754" w14:textId="77777777" w:rsidR="008A36CF" w:rsidRDefault="008F5DD8" w:rsidP="0034744C">
        <w:pPr>
          <w:pStyle w:val="Footer"/>
          <w:rPr>
            <w:sz w:val="18"/>
            <w:szCs w:val="18"/>
          </w:rPr>
        </w:pPr>
        <w:r w:rsidRPr="008F5DD8">
          <w:rPr>
            <w:b/>
            <w:sz w:val="18"/>
            <w:szCs w:val="18"/>
          </w:rPr>
          <w:t>Methyl acetylene-</w:t>
        </w:r>
        <w:proofErr w:type="spellStart"/>
        <w:r w:rsidRPr="008F5DD8">
          <w:rPr>
            <w:b/>
            <w:sz w:val="18"/>
            <w:szCs w:val="18"/>
          </w:rPr>
          <w:t>propadiene</w:t>
        </w:r>
        <w:proofErr w:type="spellEnd"/>
        <w:r w:rsidRPr="008F5DD8">
          <w:rPr>
            <w:b/>
            <w:sz w:val="18"/>
            <w:szCs w:val="18"/>
          </w:rPr>
          <w:t xml:space="preserve"> mixture (MAPP)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59355-75-8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F79F949" w14:textId="1262DB6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B6D2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FDC6" w14:textId="77777777" w:rsidR="006B6D20" w:rsidRDefault="006B6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5174C" w14:textId="77777777" w:rsidR="00987E3B" w:rsidRDefault="00987E3B" w:rsidP="00F43AD5">
      <w:pPr>
        <w:spacing w:after="0" w:line="240" w:lineRule="auto"/>
      </w:pPr>
      <w:r>
        <w:separator/>
      </w:r>
    </w:p>
  </w:footnote>
  <w:footnote w:type="continuationSeparator" w:id="0">
    <w:p w14:paraId="6427C0E8" w14:textId="77777777" w:rsidR="00987E3B" w:rsidRDefault="00987E3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46FA9" w14:textId="77777777" w:rsidR="006B6D20" w:rsidRDefault="006B6D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855BA" w14:textId="7F024159" w:rsidR="006B6D20" w:rsidRDefault="006B6D20" w:rsidP="006B6D20">
    <w:pPr>
      <w:pStyle w:val="Header"/>
      <w:jc w:val="right"/>
    </w:pPr>
    <w:r>
      <w:rPr>
        <w:noProof/>
        <w:lang w:eastAsia="en-AU"/>
      </w:rPr>
      <w:drawing>
        <wp:inline distT="0" distB="0" distL="0" distR="0" wp14:anchorId="36A5AC86" wp14:editId="64431EFC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13D29A" w14:textId="018C79FE" w:rsidR="008A36CF" w:rsidRPr="006B6D20" w:rsidRDefault="008A36CF" w:rsidP="006B6D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5DF19" w14:textId="77777777" w:rsidR="006B6D20" w:rsidRDefault="006B6D2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EE62C" w14:textId="4ECBF46B" w:rsidR="006B6D20" w:rsidRDefault="006B6D20" w:rsidP="006B6D2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9CFF24D" wp14:editId="4670DC66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17F54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373FF"/>
    <w:multiLevelType w:val="hybridMultilevel"/>
    <w:tmpl w:val="2378F7B6"/>
    <w:lvl w:ilvl="0" w:tplc="E23CBA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0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ECB"/>
    <w:rsid w:val="00032B88"/>
    <w:rsid w:val="00037E52"/>
    <w:rsid w:val="00046DF5"/>
    <w:rsid w:val="00046E01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33C9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66C0"/>
    <w:rsid w:val="00244AD1"/>
    <w:rsid w:val="002463BC"/>
    <w:rsid w:val="002465CE"/>
    <w:rsid w:val="002475B3"/>
    <w:rsid w:val="0025734A"/>
    <w:rsid w:val="00263255"/>
    <w:rsid w:val="00264D66"/>
    <w:rsid w:val="00276494"/>
    <w:rsid w:val="00277B0C"/>
    <w:rsid w:val="002874EE"/>
    <w:rsid w:val="00295C54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032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71A0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1C15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33DE"/>
    <w:rsid w:val="005137FE"/>
    <w:rsid w:val="005142C4"/>
    <w:rsid w:val="0051509C"/>
    <w:rsid w:val="00516BAB"/>
    <w:rsid w:val="005272E2"/>
    <w:rsid w:val="0053108F"/>
    <w:rsid w:val="00532B56"/>
    <w:rsid w:val="00534B10"/>
    <w:rsid w:val="005446A2"/>
    <w:rsid w:val="00544D2F"/>
    <w:rsid w:val="00551494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3401"/>
    <w:rsid w:val="00624C4E"/>
    <w:rsid w:val="00625200"/>
    <w:rsid w:val="006363A8"/>
    <w:rsid w:val="00636DB7"/>
    <w:rsid w:val="00650905"/>
    <w:rsid w:val="006532ED"/>
    <w:rsid w:val="006549F2"/>
    <w:rsid w:val="006567B7"/>
    <w:rsid w:val="00656B11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0B14"/>
    <w:rsid w:val="006B160A"/>
    <w:rsid w:val="006B4E6C"/>
    <w:rsid w:val="006B50B6"/>
    <w:rsid w:val="006B6D20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532C"/>
    <w:rsid w:val="00796708"/>
    <w:rsid w:val="007B1B42"/>
    <w:rsid w:val="007C30EB"/>
    <w:rsid w:val="007E063C"/>
    <w:rsid w:val="007E2A4B"/>
    <w:rsid w:val="007E307D"/>
    <w:rsid w:val="007E6A4E"/>
    <w:rsid w:val="007E6C94"/>
    <w:rsid w:val="007F0BB1"/>
    <w:rsid w:val="007F1005"/>
    <w:rsid w:val="007F25E0"/>
    <w:rsid w:val="007F5328"/>
    <w:rsid w:val="00804F5A"/>
    <w:rsid w:val="00807A82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37FC"/>
    <w:rsid w:val="0088798F"/>
    <w:rsid w:val="00887E4B"/>
    <w:rsid w:val="008915C8"/>
    <w:rsid w:val="008A173C"/>
    <w:rsid w:val="008A36CF"/>
    <w:rsid w:val="008A3BC4"/>
    <w:rsid w:val="008B403C"/>
    <w:rsid w:val="008B4D07"/>
    <w:rsid w:val="008B7983"/>
    <w:rsid w:val="008C2511"/>
    <w:rsid w:val="008D026D"/>
    <w:rsid w:val="008D0CBA"/>
    <w:rsid w:val="008D23AB"/>
    <w:rsid w:val="008D4B8B"/>
    <w:rsid w:val="008D5A78"/>
    <w:rsid w:val="008E4F1F"/>
    <w:rsid w:val="008E7B64"/>
    <w:rsid w:val="008F59D9"/>
    <w:rsid w:val="008F5DCD"/>
    <w:rsid w:val="008F5DD8"/>
    <w:rsid w:val="00900951"/>
    <w:rsid w:val="009118A6"/>
    <w:rsid w:val="00916909"/>
    <w:rsid w:val="00916EC0"/>
    <w:rsid w:val="00917BD2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15F0"/>
    <w:rsid w:val="009621B6"/>
    <w:rsid w:val="009659FE"/>
    <w:rsid w:val="00974F2D"/>
    <w:rsid w:val="00977524"/>
    <w:rsid w:val="00977E88"/>
    <w:rsid w:val="00984920"/>
    <w:rsid w:val="00987E3B"/>
    <w:rsid w:val="0099303A"/>
    <w:rsid w:val="009971C2"/>
    <w:rsid w:val="009A0A66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378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203C"/>
    <w:rsid w:val="00A84504"/>
    <w:rsid w:val="00A8672F"/>
    <w:rsid w:val="00A93057"/>
    <w:rsid w:val="00A968B0"/>
    <w:rsid w:val="00A96C86"/>
    <w:rsid w:val="00AB2672"/>
    <w:rsid w:val="00AB2817"/>
    <w:rsid w:val="00AB43C4"/>
    <w:rsid w:val="00AC32E7"/>
    <w:rsid w:val="00AC3A9F"/>
    <w:rsid w:val="00AC6D2F"/>
    <w:rsid w:val="00AD4674"/>
    <w:rsid w:val="00AE2745"/>
    <w:rsid w:val="00AE2880"/>
    <w:rsid w:val="00AE2F64"/>
    <w:rsid w:val="00AF42CB"/>
    <w:rsid w:val="00AF483F"/>
    <w:rsid w:val="00AF5E07"/>
    <w:rsid w:val="00AF5F06"/>
    <w:rsid w:val="00B00A25"/>
    <w:rsid w:val="00B137FB"/>
    <w:rsid w:val="00B1422A"/>
    <w:rsid w:val="00B1765C"/>
    <w:rsid w:val="00B213C4"/>
    <w:rsid w:val="00B27761"/>
    <w:rsid w:val="00B40C60"/>
    <w:rsid w:val="00B479A9"/>
    <w:rsid w:val="00B51DBE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5084"/>
    <w:rsid w:val="00BB612A"/>
    <w:rsid w:val="00BC2704"/>
    <w:rsid w:val="00BD499F"/>
    <w:rsid w:val="00BD56DE"/>
    <w:rsid w:val="00BE2E6F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20F4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E7E35"/>
    <w:rsid w:val="00D048F7"/>
    <w:rsid w:val="00D0517E"/>
    <w:rsid w:val="00D140FC"/>
    <w:rsid w:val="00D21D8C"/>
    <w:rsid w:val="00D27D4F"/>
    <w:rsid w:val="00D31357"/>
    <w:rsid w:val="00D33220"/>
    <w:rsid w:val="00D334D1"/>
    <w:rsid w:val="00D41A80"/>
    <w:rsid w:val="00D44C89"/>
    <w:rsid w:val="00D45C3A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2B7"/>
    <w:rsid w:val="00E21AC9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56FE6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4E63879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46E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E0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E0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E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E01"/>
    <w:rPr>
      <w:b/>
      <w:bCs/>
      <w:szCs w:val="20"/>
    </w:rPr>
  </w:style>
  <w:style w:type="paragraph" w:styleId="Revision">
    <w:name w:val="Revision"/>
    <w:hidden/>
    <w:uiPriority w:val="99"/>
    <w:semiHidden/>
    <w:rsid w:val="00AD46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CA72D3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303592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31694F610B442D7AF1A656AC1BC5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53158-E97E-4A08-A3C0-0A90489C5C20}"/>
      </w:docPartPr>
      <w:docPartBody>
        <w:p w:rsidR="0021260B" w:rsidRDefault="00301230" w:rsidP="00301230">
          <w:pPr>
            <w:pStyle w:val="B31694F610B442D7AF1A656AC1BC550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1260B"/>
    <w:rsid w:val="00301230"/>
    <w:rsid w:val="00303592"/>
    <w:rsid w:val="00347D16"/>
    <w:rsid w:val="003E0149"/>
    <w:rsid w:val="00755FBF"/>
    <w:rsid w:val="0079532C"/>
    <w:rsid w:val="009617B2"/>
    <w:rsid w:val="00A8203C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123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DA2FFE9CEF2D415F9F59B567F352ED2C">
    <w:name w:val="DA2FFE9CEF2D415F9F59B567F352ED2C"/>
    <w:rsid w:val="00CA72D3"/>
  </w:style>
  <w:style w:type="paragraph" w:customStyle="1" w:styleId="B31694F610B442D7AF1A656AC1BC550F">
    <w:name w:val="B31694F610B442D7AF1A656AC1BC550F"/>
    <w:rsid w:val="003012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412DA-7569-4199-9FB7-A9EA0BEEA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93B07-E11B-49C3-AFAD-D19F72B665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1c567317-0c4d-4a62-8516-c22afd1b5354"/>
    <ds:schemaRef ds:uri="http://schemas.microsoft.com/office/2006/metadata/properties"/>
    <ds:schemaRef ds:uri="http://purl.org/dc/terms/"/>
    <ds:schemaRef ds:uri="http://schemas.openxmlformats.org/package/2006/metadata/core-properties"/>
    <ds:schemaRef ds:uri="a0509f21-ed56-4150-9955-96be669e5f2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4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15</cp:revision>
  <cp:lastPrinted>2018-10-22T22:41:00Z</cp:lastPrinted>
  <dcterms:created xsi:type="dcterms:W3CDTF">2019-10-31T21:29:00Z</dcterms:created>
  <dcterms:modified xsi:type="dcterms:W3CDTF">2026-01-08T23:49:00Z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2025-12-23T04:46:50Z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580f88dd-6ead-4401-8e6f-0262a577ccf2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