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0C360EAD" w14:textId="4832D27C" w:rsidR="00BD499F" w:rsidRPr="004C23F4" w:rsidRDefault="006F06BC" w:rsidP="00B40C60">
          <w:pPr>
            <w:pStyle w:val="Heading1"/>
            <w:jc w:val="center"/>
            <w:rPr>
              <w:rFonts w:ascii="Arial" w:hAnsi="Arial" w:cs="Arial"/>
            </w:rPr>
          </w:pPr>
          <w:r w:rsidRPr="006F06BC">
            <w:rPr>
              <w:rFonts w:ascii="Arial" w:hAnsi="Arial" w:cs="Arial"/>
            </w:rPr>
            <w:t>5-Methylheptan-3-one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8"/>
        <w:gridCol w:w="5038"/>
      </w:tblGrid>
      <w:tr w:rsidR="00F43AD5" w:rsidRPr="004C23F4" w14:paraId="15FC2BF2" w14:textId="77777777" w:rsidTr="00B76A41">
        <w:trPr>
          <w:cantSplit/>
          <w:tblHeader/>
        </w:trPr>
        <w:tc>
          <w:tcPr>
            <w:tcW w:w="4077" w:type="dxa"/>
          </w:tcPr>
          <w:p w14:paraId="10DDAD7C" w14:textId="77777777" w:rsidR="00F43AD5" w:rsidRPr="00921DE7" w:rsidRDefault="00CB1CB1" w:rsidP="00B76A41">
            <w:pPr>
              <w:pStyle w:val="Tablerowright"/>
            </w:pPr>
            <w:r w:rsidRPr="00921DE7">
              <w:t>CAS number:</w:t>
            </w:r>
          </w:p>
        </w:tc>
        <w:tc>
          <w:tcPr>
            <w:tcW w:w="5165" w:type="dxa"/>
          </w:tcPr>
          <w:p w14:paraId="23552F16" w14:textId="22C306AE" w:rsidR="00F43AD5" w:rsidRPr="00717D45" w:rsidRDefault="00DB45C9" w:rsidP="00B76A41">
            <w:pPr>
              <w:pStyle w:val="Tablefont"/>
            </w:pPr>
            <w:r w:rsidRPr="00DB45C9">
              <w:t>541-85-5</w:t>
            </w:r>
          </w:p>
        </w:tc>
      </w:tr>
      <w:tr w:rsidR="00F43AD5" w:rsidRPr="004C23F4" w14:paraId="6CC9DCE2" w14:textId="77777777" w:rsidTr="00B76A41">
        <w:trPr>
          <w:cantSplit/>
        </w:trPr>
        <w:tc>
          <w:tcPr>
            <w:tcW w:w="4077" w:type="dxa"/>
          </w:tcPr>
          <w:p w14:paraId="062EAB4C" w14:textId="77777777" w:rsidR="00F43AD5" w:rsidRPr="00921DE7" w:rsidRDefault="00CB1CB1" w:rsidP="00B76A41">
            <w:pPr>
              <w:pStyle w:val="Tablerowright"/>
            </w:pPr>
            <w:r w:rsidRPr="00921DE7">
              <w:t>Synonyms:</w:t>
            </w:r>
          </w:p>
        </w:tc>
        <w:tc>
          <w:tcPr>
            <w:tcW w:w="5165" w:type="dxa"/>
          </w:tcPr>
          <w:p w14:paraId="476E47EB" w14:textId="2F5311D4" w:rsidR="00F43AD5" w:rsidRPr="00717D45" w:rsidRDefault="00DB45C9" w:rsidP="00B76A41">
            <w:pPr>
              <w:pStyle w:val="Tablefont"/>
            </w:pPr>
            <w:r>
              <w:t xml:space="preserve">Amyl ethyl ketone, EAK, ethyl sec-amyl ketone, </w:t>
            </w:r>
            <w:r w:rsidR="002D7814">
              <w:br/>
            </w:r>
            <w:r>
              <w:t>ethyl 2-methylbutyl ketone, 2-methylbutyl ethyl ketone, 3-methyl-5-heptanone, 5-methyl-3-heptanone</w:t>
            </w:r>
          </w:p>
        </w:tc>
      </w:tr>
      <w:tr w:rsidR="00F43AD5" w:rsidRPr="004C23F4" w14:paraId="505C6A5A" w14:textId="77777777" w:rsidTr="00B76A41">
        <w:trPr>
          <w:cantSplit/>
        </w:trPr>
        <w:tc>
          <w:tcPr>
            <w:tcW w:w="4077" w:type="dxa"/>
          </w:tcPr>
          <w:p w14:paraId="172BB421" w14:textId="77777777" w:rsidR="00F43AD5" w:rsidRPr="00921DE7" w:rsidRDefault="00CB1CB1" w:rsidP="00B76A41">
            <w:pPr>
              <w:pStyle w:val="Tablerowright"/>
            </w:pPr>
            <w:r w:rsidRPr="00921DE7">
              <w:t>Chemical formula:</w:t>
            </w:r>
          </w:p>
        </w:tc>
        <w:tc>
          <w:tcPr>
            <w:tcW w:w="5165" w:type="dxa"/>
          </w:tcPr>
          <w:p w14:paraId="02AA0A5E" w14:textId="3782DD3D" w:rsidR="00F43AD5" w:rsidRPr="00717D45" w:rsidRDefault="00DB45C9" w:rsidP="00B76A41">
            <w:pPr>
              <w:pStyle w:val="Tablefont"/>
            </w:pPr>
            <w:r>
              <w:t>C8H16O</w:t>
            </w:r>
          </w:p>
        </w:tc>
      </w:tr>
      <w:tr w:rsidR="00F43AD5" w:rsidRPr="004C23F4" w14:paraId="1C517A94" w14:textId="77777777" w:rsidTr="00B76A41">
        <w:trPr>
          <w:cantSplit/>
        </w:trPr>
        <w:tc>
          <w:tcPr>
            <w:tcW w:w="4077" w:type="dxa"/>
          </w:tcPr>
          <w:p w14:paraId="0468CD00" w14:textId="77777777" w:rsidR="00F43AD5" w:rsidRPr="00921DE7" w:rsidRDefault="00CB1CB1" w:rsidP="00B76A41">
            <w:pPr>
              <w:pStyle w:val="Tablerowright"/>
            </w:pPr>
            <w:r w:rsidRPr="00921DE7">
              <w:t>Structural formula:</w:t>
            </w:r>
          </w:p>
        </w:tc>
        <w:tc>
          <w:tcPr>
            <w:tcW w:w="5165" w:type="dxa"/>
          </w:tcPr>
          <w:p w14:paraId="438D3C5C" w14:textId="61803DAC" w:rsidR="00F43AD5" w:rsidRPr="004250A5" w:rsidRDefault="00DB45C9" w:rsidP="00B76A41">
            <w:pPr>
              <w:pStyle w:val="Tablerowheading"/>
              <w:rPr>
                <w:b w:val="0"/>
              </w:rPr>
            </w:pPr>
            <w:r w:rsidRPr="00263A55">
              <w:rPr>
                <w:b w:val="0"/>
              </w:rPr>
              <w:t>—</w:t>
            </w:r>
          </w:p>
        </w:tc>
      </w:tr>
    </w:tbl>
    <w:p w14:paraId="7CD83B7B" w14:textId="6F8FEC1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720B50">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4C23F4" w14:paraId="3D53221E" w14:textId="77777777" w:rsidTr="004250A5">
        <w:trPr>
          <w:cantSplit/>
          <w:tblHeader/>
        </w:trPr>
        <w:tc>
          <w:tcPr>
            <w:tcW w:w="4005" w:type="dxa"/>
            <w:vAlign w:val="center"/>
          </w:tcPr>
          <w:p w14:paraId="0E6ED4F9" w14:textId="77777777" w:rsidR="002C7AFE" w:rsidRPr="002C58FF" w:rsidRDefault="00921DE7" w:rsidP="00921DE7">
            <w:pPr>
              <w:pStyle w:val="Tablerowright"/>
            </w:pPr>
            <w:r>
              <w:t>TWA:</w:t>
            </w:r>
          </w:p>
        </w:tc>
        <w:tc>
          <w:tcPr>
            <w:tcW w:w="5021" w:type="dxa"/>
          </w:tcPr>
          <w:p w14:paraId="4CED0E87" w14:textId="7E486AD5" w:rsidR="002C7AFE" w:rsidRPr="00720B50" w:rsidRDefault="00720B50" w:rsidP="00017C82">
            <w:pPr>
              <w:pStyle w:val="Tablefont"/>
              <w:rPr>
                <w:b/>
              </w:rPr>
            </w:pPr>
            <w:r>
              <w:rPr>
                <w:b/>
              </w:rPr>
              <w:t>10 ppm (53 mg/m</w:t>
            </w:r>
            <w:r>
              <w:rPr>
                <w:b/>
                <w:vertAlign w:val="superscript"/>
              </w:rPr>
              <w:t>3</w:t>
            </w:r>
            <w:r>
              <w:rPr>
                <w:b/>
              </w:rPr>
              <w:t>)</w:t>
            </w:r>
          </w:p>
        </w:tc>
      </w:tr>
      <w:tr w:rsidR="002C7AFE" w:rsidRPr="004C23F4" w14:paraId="70B2FA4A" w14:textId="77777777" w:rsidTr="004250A5">
        <w:trPr>
          <w:cantSplit/>
        </w:trPr>
        <w:tc>
          <w:tcPr>
            <w:tcW w:w="4005" w:type="dxa"/>
            <w:vAlign w:val="center"/>
          </w:tcPr>
          <w:p w14:paraId="3950A0E8" w14:textId="77777777" w:rsidR="002C7AFE" w:rsidRPr="002C58FF" w:rsidRDefault="002C7AFE" w:rsidP="00921DE7">
            <w:pPr>
              <w:pStyle w:val="Tablerowright"/>
            </w:pPr>
            <w:r w:rsidRPr="002C58FF">
              <w:t>STEL</w:t>
            </w:r>
            <w:r w:rsidR="00921DE7">
              <w:t>:</w:t>
            </w:r>
          </w:p>
        </w:tc>
        <w:tc>
          <w:tcPr>
            <w:tcW w:w="5021" w:type="dxa"/>
          </w:tcPr>
          <w:p w14:paraId="6539AD1C" w14:textId="179BB771" w:rsidR="002C7AFE" w:rsidRPr="00720B50" w:rsidRDefault="00720B50" w:rsidP="00017C82">
            <w:pPr>
              <w:pStyle w:val="Tablefont"/>
              <w:rPr>
                <w:b/>
              </w:rPr>
            </w:pPr>
            <w:r>
              <w:rPr>
                <w:b/>
              </w:rPr>
              <w:t>20 ppm (107 mg/m</w:t>
            </w:r>
            <w:r>
              <w:rPr>
                <w:b/>
                <w:vertAlign w:val="superscript"/>
              </w:rPr>
              <w:t>3</w:t>
            </w:r>
            <w:r>
              <w:rPr>
                <w:b/>
              </w:rPr>
              <w:t>)</w:t>
            </w:r>
          </w:p>
        </w:tc>
      </w:tr>
      <w:tr w:rsidR="002C7AFE" w:rsidRPr="004C23F4" w14:paraId="5ABDC5FC" w14:textId="77777777" w:rsidTr="004250A5">
        <w:trPr>
          <w:cantSplit/>
        </w:trPr>
        <w:tc>
          <w:tcPr>
            <w:tcW w:w="4005" w:type="dxa"/>
            <w:vAlign w:val="center"/>
          </w:tcPr>
          <w:p w14:paraId="1D38D109" w14:textId="77777777" w:rsidR="002C7AFE" w:rsidRPr="002C58FF" w:rsidRDefault="00921DE7" w:rsidP="00921DE7">
            <w:pPr>
              <w:pStyle w:val="Tablerowright"/>
            </w:pPr>
            <w:r>
              <w:t>Peak limitation:</w:t>
            </w:r>
          </w:p>
        </w:tc>
        <w:tc>
          <w:tcPr>
            <w:tcW w:w="5021" w:type="dxa"/>
          </w:tcPr>
          <w:p w14:paraId="27B80C54" w14:textId="49D6418D" w:rsidR="002C7AFE" w:rsidRPr="004250A5" w:rsidRDefault="00720B50" w:rsidP="00017C82">
            <w:pPr>
              <w:pStyle w:val="Tablefont"/>
              <w:rPr>
                <w:b/>
              </w:rPr>
            </w:pPr>
            <w:r w:rsidRPr="00263A55">
              <w:rPr>
                <w:b/>
              </w:rPr>
              <w:t>—</w:t>
            </w:r>
          </w:p>
        </w:tc>
      </w:tr>
      <w:tr w:rsidR="002C7AFE" w:rsidRPr="004C23F4" w14:paraId="7E33B024" w14:textId="77777777" w:rsidTr="004250A5">
        <w:trPr>
          <w:cantSplit/>
        </w:trPr>
        <w:tc>
          <w:tcPr>
            <w:tcW w:w="4005" w:type="dxa"/>
          </w:tcPr>
          <w:p w14:paraId="3D613BB9"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21" w:type="dxa"/>
          </w:tcPr>
          <w:p w14:paraId="563D069E" w14:textId="33498ACE" w:rsidR="002C7AFE" w:rsidRPr="004250A5" w:rsidRDefault="00720B50" w:rsidP="008A36CF">
            <w:pPr>
              <w:pStyle w:val="Tablefont"/>
              <w:rPr>
                <w:b/>
              </w:rPr>
            </w:pPr>
            <w:r w:rsidRPr="00263A55">
              <w:rPr>
                <w:b/>
              </w:rPr>
              <w:t>—</w:t>
            </w:r>
          </w:p>
        </w:tc>
      </w:tr>
      <w:tr w:rsidR="002C7AFE" w:rsidRPr="004C23F4" w14:paraId="0FCEDFBF" w14:textId="77777777" w:rsidTr="004250A5">
        <w:trPr>
          <w:cantSplit/>
        </w:trPr>
        <w:tc>
          <w:tcPr>
            <w:tcW w:w="4005" w:type="dxa"/>
            <w:vAlign w:val="center"/>
          </w:tcPr>
          <w:p w14:paraId="1FF93FA1" w14:textId="77777777" w:rsidR="00F10C97" w:rsidRPr="002C58FF" w:rsidRDefault="00921DE7" w:rsidP="009F04D2">
            <w:pPr>
              <w:pStyle w:val="Tablerowright"/>
            </w:pPr>
            <w:r>
              <w:t>IDLH:</w:t>
            </w:r>
          </w:p>
        </w:tc>
        <w:tc>
          <w:tcPr>
            <w:tcW w:w="5021" w:type="dxa"/>
          </w:tcPr>
          <w:p w14:paraId="380AC25B" w14:textId="6D53228A" w:rsidR="002C7AFE" w:rsidRPr="00EB3D1B" w:rsidRDefault="00DB45C9" w:rsidP="00017C82">
            <w:pPr>
              <w:pStyle w:val="Tablefont"/>
              <w:rPr>
                <w:b/>
              </w:rPr>
            </w:pPr>
            <w:r>
              <w:rPr>
                <w:b/>
              </w:rPr>
              <w:t>100 ppm</w:t>
            </w:r>
          </w:p>
        </w:tc>
      </w:tr>
      <w:tr w:rsidR="004250A5" w:rsidRPr="004C23F4" w14:paraId="2290EF71" w14:textId="77777777" w:rsidTr="005158B7">
        <w:trPr>
          <w:cantSplit/>
        </w:trPr>
        <w:tc>
          <w:tcPr>
            <w:tcW w:w="9026" w:type="dxa"/>
            <w:gridSpan w:val="2"/>
            <w:vAlign w:val="center"/>
          </w:tcPr>
          <w:p w14:paraId="2438653F" w14:textId="7105C1E9" w:rsidR="004250A5" w:rsidRPr="00EB3D1B" w:rsidRDefault="004250A5" w:rsidP="00017C82">
            <w:pPr>
              <w:pStyle w:val="Tablefont"/>
              <w:rPr>
                <w:b/>
              </w:rPr>
            </w:pPr>
            <w:r>
              <w:rPr>
                <w:b/>
              </w:rPr>
              <w:t>Sampling and analys</w:t>
            </w:r>
            <w:r w:rsidRPr="004250A5">
              <w:rPr>
                <w:b/>
              </w:rPr>
              <w:t>is:</w:t>
            </w:r>
            <w:r w:rsidRPr="004250A5">
              <w:rPr>
                <w:rStyle w:val="WESstatus"/>
                <w:color w:val="auto"/>
              </w:rPr>
              <w:t xml:space="preserve"> </w:t>
            </w:r>
            <w:sdt>
              <w:sdtPr>
                <w:rPr>
                  <w:rStyle w:val="WESstatus"/>
                  <w:color w:val="auto"/>
                </w:rPr>
                <w:id w:val="-2105258949"/>
                <w:placeholder>
                  <w:docPart w:val="395F61CADC7E49F8B133799FF3C433B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263A55">
                  <w:rPr>
                    <w:rStyle w:val="WESstatus"/>
                    <w:color w:val="auto"/>
                  </w:rPr>
                  <w:t xml:space="preserve">The recommended value is quantifiable through available sampling and analysis techniques. </w:t>
                </w:r>
              </w:sdtContent>
            </w:sdt>
          </w:p>
        </w:tc>
      </w:tr>
    </w:tbl>
    <w:p w14:paraId="2D3E7574" w14:textId="77777777" w:rsidR="00CB1CB1" w:rsidRPr="003365A5" w:rsidRDefault="00F10C97" w:rsidP="003365A5">
      <w:pPr>
        <w:pStyle w:val="Heading2"/>
      </w:pPr>
      <w:r>
        <w:t>Recommendation and basis for workplace exposure standard</w:t>
      </w:r>
    </w:p>
    <w:p w14:paraId="502CADD8" w14:textId="75C0827D" w:rsidR="006639B4" w:rsidRDefault="00720B50" w:rsidP="000C139A">
      <w:pPr>
        <w:rPr>
          <w:rFonts w:cs="Arial"/>
        </w:rPr>
      </w:pPr>
      <w:r>
        <w:rPr>
          <w:rFonts w:cs="Arial"/>
        </w:rPr>
        <w:t xml:space="preserve">A TWA of </w:t>
      </w:r>
      <w:r w:rsidRPr="00720B50">
        <w:t>10 ppm (53 mg/m</w:t>
      </w:r>
      <w:r w:rsidRPr="00720B50">
        <w:rPr>
          <w:vertAlign w:val="superscript"/>
        </w:rPr>
        <w:t>3</w:t>
      </w:r>
      <w:r w:rsidRPr="00720B50">
        <w:t>)</w:t>
      </w:r>
      <w:r>
        <w:rPr>
          <w:b/>
        </w:rPr>
        <w:t xml:space="preserve"> </w:t>
      </w:r>
      <w:r>
        <w:rPr>
          <w:rFonts w:cs="Arial"/>
        </w:rPr>
        <w:t xml:space="preserve">is recommended to protect </w:t>
      </w:r>
      <w:r w:rsidR="00EF28DD">
        <w:rPr>
          <w:rFonts w:cs="Arial"/>
        </w:rPr>
        <w:t>for neurotoxic</w:t>
      </w:r>
      <w:r w:rsidR="00223790">
        <w:rPr>
          <w:rFonts w:cs="Arial"/>
        </w:rPr>
        <w:t xml:space="preserve"> effects</w:t>
      </w:r>
      <w:r w:rsidR="00EF28DD">
        <w:rPr>
          <w:rFonts w:cs="Arial"/>
        </w:rPr>
        <w:t xml:space="preserve"> and</w:t>
      </w:r>
      <w:r w:rsidR="00223790">
        <w:rPr>
          <w:rFonts w:cs="Arial"/>
        </w:rPr>
        <w:t xml:space="preserve"> local</w:t>
      </w:r>
      <w:r w:rsidR="00EF28DD">
        <w:rPr>
          <w:rFonts w:cs="Arial"/>
        </w:rPr>
        <w:t xml:space="preserve"> irritation in exposed workers.</w:t>
      </w:r>
    </w:p>
    <w:p w14:paraId="740739CD" w14:textId="4AFDC85D" w:rsidR="00EF28DD" w:rsidRPr="00EF28DD" w:rsidRDefault="00EF28DD" w:rsidP="000C139A">
      <w:pPr>
        <w:rPr>
          <w:rFonts w:cs="Arial"/>
        </w:rPr>
      </w:pPr>
      <w:r>
        <w:rPr>
          <w:rFonts w:cs="Arial"/>
        </w:rPr>
        <w:t xml:space="preserve">A STEL of </w:t>
      </w:r>
      <w:r w:rsidRPr="00EF28DD">
        <w:t>20 ppm (107 mg/m</w:t>
      </w:r>
      <w:r w:rsidRPr="00EF28DD">
        <w:rPr>
          <w:vertAlign w:val="superscript"/>
        </w:rPr>
        <w:t>3</w:t>
      </w:r>
      <w:r w:rsidRPr="00EF28DD">
        <w:t>)</w:t>
      </w:r>
      <w:r>
        <w:t xml:space="preserve"> is recommended to protect for </w:t>
      </w:r>
      <w:r w:rsidR="002D7814">
        <w:t xml:space="preserve">acute </w:t>
      </w:r>
      <w:r>
        <w:t xml:space="preserve">irritation of the eyes, nose and throat in </w:t>
      </w:r>
      <w:r w:rsidR="002D7814">
        <w:t>exposed workers</w:t>
      </w:r>
      <w:r>
        <w:t>.</w:t>
      </w:r>
    </w:p>
    <w:p w14:paraId="5D1614FA" w14:textId="77777777" w:rsidR="00C7155E" w:rsidRPr="004C23F4" w:rsidRDefault="00F10C97" w:rsidP="003365A5">
      <w:pPr>
        <w:pStyle w:val="Heading2"/>
      </w:pPr>
      <w:r>
        <w:t>Discussion and conclusions</w:t>
      </w:r>
    </w:p>
    <w:p w14:paraId="261A9C45" w14:textId="77777777" w:rsidR="002D7814" w:rsidRDefault="00E0354A" w:rsidP="006639B4">
      <w:r w:rsidRPr="00E0354A">
        <w:t xml:space="preserve">5-Methylheptan-3-one </w:t>
      </w:r>
      <w:r>
        <w:t xml:space="preserve">is used as a solvent for nitrocellulose-alkyd, nitrocellulose-maleic and vinyl resins. </w:t>
      </w:r>
    </w:p>
    <w:p w14:paraId="40C8B5B8" w14:textId="77777777" w:rsidR="007C7535" w:rsidRDefault="00E0354A" w:rsidP="006639B4">
      <w:pPr>
        <w:rPr>
          <w:rFonts w:cs="Arial"/>
        </w:rPr>
      </w:pPr>
      <w:r>
        <w:t xml:space="preserve">Critical effects </w:t>
      </w:r>
      <w:r w:rsidR="002D7814">
        <w:t xml:space="preserve">of </w:t>
      </w:r>
      <w:r>
        <w:t>exposure include irritation</w:t>
      </w:r>
      <w:r w:rsidR="00223790">
        <w:t xml:space="preserve"> of the eyes, nose and throat</w:t>
      </w:r>
      <w:r>
        <w:t xml:space="preserve"> and neurotoxicity.</w:t>
      </w:r>
      <w:r w:rsidR="002D7814">
        <w:rPr>
          <w:rFonts w:cs="Arial"/>
        </w:rPr>
        <w:t xml:space="preserve"> </w:t>
      </w:r>
    </w:p>
    <w:p w14:paraId="35F887B4" w14:textId="592CAFAF" w:rsidR="00E0354A" w:rsidRDefault="00235972" w:rsidP="006639B4">
      <w:r>
        <w:rPr>
          <w:rFonts w:cs="Arial"/>
        </w:rPr>
        <w:t xml:space="preserve">No irritation </w:t>
      </w:r>
      <w:r w:rsidR="000E554F">
        <w:rPr>
          <w:rFonts w:cs="Arial"/>
        </w:rPr>
        <w:t xml:space="preserve">reported in volunteers exposed for five minutes </w:t>
      </w:r>
      <w:r>
        <w:rPr>
          <w:rFonts w:cs="Arial"/>
        </w:rPr>
        <w:t>at 5 ppm</w:t>
      </w:r>
      <w:r w:rsidDel="00235972">
        <w:rPr>
          <w:rFonts w:cs="Arial"/>
        </w:rPr>
        <w:t xml:space="preserve"> </w:t>
      </w:r>
      <w:r w:rsidR="000E554F">
        <w:rPr>
          <w:rFonts w:cs="Arial"/>
        </w:rPr>
        <w:t>(NOAEC)</w:t>
      </w:r>
      <w:r w:rsidR="00DE00CE">
        <w:rPr>
          <w:rFonts w:cs="Arial"/>
        </w:rPr>
        <w:t>. In this study,</w:t>
      </w:r>
      <w:r w:rsidR="003D1EFA">
        <w:rPr>
          <w:rFonts w:cs="Arial"/>
        </w:rPr>
        <w:t xml:space="preserve"> </w:t>
      </w:r>
      <w:r w:rsidR="00223790">
        <w:rPr>
          <w:rFonts w:cs="Arial"/>
        </w:rPr>
        <w:t xml:space="preserve">mild nasal irritation </w:t>
      </w:r>
      <w:r w:rsidR="00DE00CE">
        <w:rPr>
          <w:rFonts w:cs="Arial"/>
        </w:rPr>
        <w:t xml:space="preserve">was reported </w:t>
      </w:r>
      <w:r w:rsidR="00223790">
        <w:rPr>
          <w:rFonts w:cs="Arial"/>
        </w:rPr>
        <w:t>at 25</w:t>
      </w:r>
      <w:r w:rsidR="003D1EFA">
        <w:rPr>
          <w:rFonts w:cs="Arial"/>
        </w:rPr>
        <w:t> </w:t>
      </w:r>
      <w:r w:rsidR="00223790">
        <w:rPr>
          <w:rFonts w:cs="Arial"/>
        </w:rPr>
        <w:t>ppm</w:t>
      </w:r>
      <w:r w:rsidR="003D1EFA">
        <w:rPr>
          <w:rFonts w:cs="Arial"/>
        </w:rPr>
        <w:t xml:space="preserve"> (LOAEC) with increas</w:t>
      </w:r>
      <w:r w:rsidR="000E554F">
        <w:rPr>
          <w:rFonts w:cs="Arial"/>
        </w:rPr>
        <w:t>ed</w:t>
      </w:r>
      <w:r w:rsidR="003D1EFA">
        <w:rPr>
          <w:rFonts w:cs="Arial"/>
        </w:rPr>
        <w:t xml:space="preserve"> irritation at </w:t>
      </w:r>
      <w:r w:rsidR="00CE4E32">
        <w:rPr>
          <w:rFonts w:cs="Arial"/>
        </w:rPr>
        <w:t>50 ppm</w:t>
      </w:r>
      <w:r w:rsidR="003D1EFA">
        <w:rPr>
          <w:rFonts w:cs="Arial"/>
        </w:rPr>
        <w:t xml:space="preserve"> and </w:t>
      </w:r>
      <w:r w:rsidR="00CE4E32">
        <w:rPr>
          <w:rFonts w:cs="Arial"/>
        </w:rPr>
        <w:t xml:space="preserve">additional </w:t>
      </w:r>
      <w:r w:rsidR="00223790">
        <w:rPr>
          <w:rFonts w:cs="Arial"/>
        </w:rPr>
        <w:t xml:space="preserve">headache and nausea at </w:t>
      </w:r>
      <w:r w:rsidR="003D1EFA">
        <w:rPr>
          <w:rFonts w:cs="Arial"/>
        </w:rPr>
        <w:t xml:space="preserve">the highest concentration of </w:t>
      </w:r>
      <w:r w:rsidR="00223790">
        <w:rPr>
          <w:rFonts w:cs="Arial"/>
        </w:rPr>
        <w:t>100 ppm</w:t>
      </w:r>
      <w:r w:rsidR="00223790" w:rsidDel="00223790">
        <w:rPr>
          <w:rFonts w:cs="Arial"/>
        </w:rPr>
        <w:t xml:space="preserve"> </w:t>
      </w:r>
      <w:r w:rsidR="00E0354A">
        <w:rPr>
          <w:rFonts w:cs="Arial"/>
        </w:rPr>
        <w:t xml:space="preserve">(DFG, </w:t>
      </w:r>
      <w:r w:rsidR="00477795">
        <w:rPr>
          <w:rFonts w:cs="Arial"/>
        </w:rPr>
        <w:t xml:space="preserve">2001; SCOEL, 1991). A </w:t>
      </w:r>
      <w:r w:rsidR="00477795">
        <w:t xml:space="preserve">NOAEL of </w:t>
      </w:r>
      <w:r w:rsidR="002D7814">
        <w:t>82 </w:t>
      </w:r>
      <w:r w:rsidR="00477795">
        <w:t>mg/kg/d</w:t>
      </w:r>
      <w:r w:rsidR="002B3744">
        <w:t>ay</w:t>
      </w:r>
      <w:r w:rsidR="00477795">
        <w:t xml:space="preserve"> based on </w:t>
      </w:r>
      <w:r w:rsidR="00DA419B">
        <w:t>neuropathy</w:t>
      </w:r>
      <w:r w:rsidR="00477795">
        <w:t xml:space="preserve"> is reported in a </w:t>
      </w:r>
      <w:r w:rsidR="00DA419B">
        <w:t>13</w:t>
      </w:r>
      <w:r w:rsidR="000E554F">
        <w:t>-</w:t>
      </w:r>
      <w:r w:rsidR="00DA419B">
        <w:t>week</w:t>
      </w:r>
      <w:r w:rsidR="00477795">
        <w:t xml:space="preserve"> rat gavage study</w:t>
      </w:r>
      <w:r w:rsidR="002B1F21" w:rsidRPr="002B1F21">
        <w:t xml:space="preserve"> </w:t>
      </w:r>
      <w:r w:rsidR="002B1F21">
        <w:t xml:space="preserve">(ACGIH, 2018; </w:t>
      </w:r>
      <w:r w:rsidR="002B1F21">
        <w:rPr>
          <w:rFonts w:cs="Arial"/>
        </w:rPr>
        <w:t>DFG, 2001</w:t>
      </w:r>
      <w:r w:rsidR="002B1F21">
        <w:t>)</w:t>
      </w:r>
      <w:r w:rsidR="00477795">
        <w:t xml:space="preserve">. </w:t>
      </w:r>
      <w:r w:rsidR="009D5C98">
        <w:t xml:space="preserve">Based on this NOAEL, </w:t>
      </w:r>
      <w:r w:rsidR="002B1F21">
        <w:t xml:space="preserve">ACGIH </w:t>
      </w:r>
      <w:r w:rsidR="009D5C98">
        <w:t xml:space="preserve">(2018) </w:t>
      </w:r>
      <w:r w:rsidR="002B1F21">
        <w:t>extrapolated</w:t>
      </w:r>
      <w:r w:rsidR="00477795">
        <w:t xml:space="preserve"> the </w:t>
      </w:r>
      <w:r w:rsidR="00B57240">
        <w:t xml:space="preserve">human </w:t>
      </w:r>
      <w:r w:rsidR="00477795">
        <w:t>equivalent airborne concentration</w:t>
      </w:r>
      <w:r w:rsidR="00B57240" w:rsidRPr="00B57240">
        <w:t xml:space="preserve"> </w:t>
      </w:r>
      <w:r w:rsidR="00B57240">
        <w:t xml:space="preserve">exposure </w:t>
      </w:r>
      <w:r w:rsidR="002B1F21">
        <w:t xml:space="preserve">at </w:t>
      </w:r>
      <w:r w:rsidR="003D1EFA">
        <w:t xml:space="preserve">NOAEC </w:t>
      </w:r>
      <w:r w:rsidR="00CE4E32">
        <w:t xml:space="preserve">of </w:t>
      </w:r>
      <w:r w:rsidR="00477795">
        <w:t xml:space="preserve">110 ppm </w:t>
      </w:r>
      <w:r w:rsidR="00CE4E32">
        <w:t xml:space="preserve">and used this NOAEC to derive a TLV-TWA of </w:t>
      </w:r>
      <w:r w:rsidR="00CE4E32">
        <w:rPr>
          <w:rFonts w:cs="Arial"/>
        </w:rPr>
        <w:t>10</w:t>
      </w:r>
      <w:r w:rsidR="00CE4E32" w:rsidRPr="00477795">
        <w:rPr>
          <w:rFonts w:cs="Arial"/>
        </w:rPr>
        <w:t xml:space="preserve"> ppm</w:t>
      </w:r>
      <w:r w:rsidR="00CE4E32">
        <w:rPr>
          <w:rFonts w:cs="Arial"/>
        </w:rPr>
        <w:t xml:space="preserve"> </w:t>
      </w:r>
      <w:r w:rsidR="00CE4E32" w:rsidRPr="00720B50">
        <w:t>(53 mg/m</w:t>
      </w:r>
      <w:r w:rsidR="00CE4E32" w:rsidRPr="00720B50">
        <w:rPr>
          <w:vertAlign w:val="superscript"/>
        </w:rPr>
        <w:t>3</w:t>
      </w:r>
      <w:r w:rsidR="00CE4E32" w:rsidRPr="00720B50">
        <w:t>)</w:t>
      </w:r>
      <w:r w:rsidR="00477795">
        <w:t>.</w:t>
      </w:r>
      <w:r w:rsidR="00CE4E32">
        <w:t xml:space="preserve"> </w:t>
      </w:r>
      <w:r w:rsidR="00CE4E32">
        <w:rPr>
          <w:rFonts w:cs="Arial"/>
        </w:rPr>
        <w:t>DFG (2001) and SCOEL (1991) also derived an OEL of 10</w:t>
      </w:r>
      <w:r w:rsidR="00CE4E32" w:rsidRPr="00477795">
        <w:rPr>
          <w:rFonts w:cs="Arial"/>
        </w:rPr>
        <w:t xml:space="preserve"> ppm</w:t>
      </w:r>
      <w:r w:rsidR="00CE4E32">
        <w:rPr>
          <w:rFonts w:cs="Arial"/>
        </w:rPr>
        <w:t xml:space="preserve"> </w:t>
      </w:r>
      <w:r w:rsidR="00CE4E32" w:rsidRPr="00720B50">
        <w:t>(53 mg/m</w:t>
      </w:r>
      <w:r w:rsidR="00CE4E32" w:rsidRPr="00720B50">
        <w:rPr>
          <w:vertAlign w:val="superscript"/>
        </w:rPr>
        <w:t>3</w:t>
      </w:r>
      <w:r w:rsidR="00CE4E32" w:rsidRPr="00720B50">
        <w:t>)</w:t>
      </w:r>
      <w:r w:rsidR="00CE4E32">
        <w:t>.</w:t>
      </w:r>
    </w:p>
    <w:p w14:paraId="6B03AD69" w14:textId="2BB1D751" w:rsidR="00477795" w:rsidRPr="004C23F4" w:rsidRDefault="003D1EFA" w:rsidP="006639B4">
      <w:pPr>
        <w:rPr>
          <w:rFonts w:cs="Arial"/>
        </w:rPr>
      </w:pPr>
      <w:r>
        <w:rPr>
          <w:rFonts w:cs="Arial"/>
        </w:rPr>
        <w:t>T</w:t>
      </w:r>
      <w:r w:rsidR="00477795">
        <w:rPr>
          <w:rFonts w:cs="Arial"/>
        </w:rPr>
        <w:t>he</w:t>
      </w:r>
      <w:r w:rsidR="007C5F82">
        <w:rPr>
          <w:rFonts w:cs="Arial"/>
        </w:rPr>
        <w:t xml:space="preserve"> </w:t>
      </w:r>
      <w:r w:rsidR="002B1F21">
        <w:rPr>
          <w:rFonts w:cs="Arial"/>
        </w:rPr>
        <w:t xml:space="preserve">SWA </w:t>
      </w:r>
      <w:r w:rsidR="00477795">
        <w:rPr>
          <w:rFonts w:cs="Arial"/>
        </w:rPr>
        <w:t>TWA of 10</w:t>
      </w:r>
      <w:r w:rsidR="00477795" w:rsidRPr="00477795">
        <w:rPr>
          <w:rFonts w:cs="Arial"/>
        </w:rPr>
        <w:t xml:space="preserve"> ppm</w:t>
      </w:r>
      <w:r w:rsidR="008579DB">
        <w:rPr>
          <w:rFonts w:cs="Arial"/>
        </w:rPr>
        <w:t xml:space="preserve"> </w:t>
      </w:r>
      <w:r w:rsidR="008579DB" w:rsidRPr="00720B50">
        <w:t>(53 mg/m</w:t>
      </w:r>
      <w:r w:rsidR="008579DB" w:rsidRPr="00720B50">
        <w:rPr>
          <w:vertAlign w:val="superscript"/>
        </w:rPr>
        <w:t>3</w:t>
      </w:r>
      <w:r w:rsidR="009D5C98">
        <w:t>)</w:t>
      </w:r>
      <w:r w:rsidR="00477795">
        <w:rPr>
          <w:rFonts w:cs="Arial"/>
        </w:rPr>
        <w:t xml:space="preserve"> and </w:t>
      </w:r>
      <w:r w:rsidR="00CE4E32">
        <w:rPr>
          <w:rFonts w:cs="Arial"/>
        </w:rPr>
        <w:t>the</w:t>
      </w:r>
      <w:r w:rsidR="002B1F21">
        <w:rPr>
          <w:rFonts w:cs="Arial"/>
        </w:rPr>
        <w:t xml:space="preserve"> </w:t>
      </w:r>
      <w:r w:rsidR="00477795">
        <w:rPr>
          <w:rFonts w:cs="Arial"/>
        </w:rPr>
        <w:t xml:space="preserve">STEL of 20 ppm </w:t>
      </w:r>
      <w:r w:rsidR="008579DB" w:rsidRPr="00EF28DD">
        <w:t>(107 mg/m</w:t>
      </w:r>
      <w:r w:rsidR="008579DB" w:rsidRPr="00EF28DD">
        <w:rPr>
          <w:vertAlign w:val="superscript"/>
        </w:rPr>
        <w:t>3</w:t>
      </w:r>
      <w:r w:rsidR="008579DB" w:rsidRPr="00EF28DD">
        <w:t>)</w:t>
      </w:r>
      <w:r w:rsidR="008579DB">
        <w:t xml:space="preserve"> </w:t>
      </w:r>
      <w:r w:rsidR="002B1F21">
        <w:t xml:space="preserve">(SCOEL, 1991) </w:t>
      </w:r>
      <w:r w:rsidR="00477795">
        <w:rPr>
          <w:rFonts w:cs="Arial"/>
        </w:rPr>
        <w:t>are</w:t>
      </w:r>
      <w:r w:rsidR="00477795" w:rsidRPr="00477795">
        <w:rPr>
          <w:rFonts w:cs="Arial"/>
        </w:rPr>
        <w:t xml:space="preserve"> recommended </w:t>
      </w:r>
      <w:r w:rsidR="002B1F21">
        <w:rPr>
          <w:rFonts w:cs="Arial"/>
        </w:rPr>
        <w:t xml:space="preserve">be retained </w:t>
      </w:r>
      <w:r w:rsidR="00477795" w:rsidRPr="00477795">
        <w:rPr>
          <w:rFonts w:cs="Arial"/>
        </w:rPr>
        <w:t>to limit irritant</w:t>
      </w:r>
      <w:r w:rsidR="00477795">
        <w:rPr>
          <w:rFonts w:cs="Arial"/>
        </w:rPr>
        <w:t xml:space="preserve"> and neurotoxic</w:t>
      </w:r>
      <w:r w:rsidR="00477795" w:rsidRPr="00477795">
        <w:rPr>
          <w:rFonts w:cs="Arial"/>
        </w:rPr>
        <w:t xml:space="preserve"> effects</w:t>
      </w:r>
      <w:r w:rsidR="00477795">
        <w:rPr>
          <w:rFonts w:cs="Arial"/>
        </w:rPr>
        <w:t xml:space="preserve">. </w:t>
      </w:r>
      <w:r w:rsidR="009651F1">
        <w:rPr>
          <w:rFonts w:cs="Arial"/>
        </w:rPr>
        <w:t xml:space="preserve">A </w:t>
      </w:r>
      <w:r w:rsidR="00477795">
        <w:t>STEL</w:t>
      </w:r>
      <w:r w:rsidR="009651F1">
        <w:t xml:space="preserve"> is recommended to protect for irritation from acute exposures</w:t>
      </w:r>
      <w:r w:rsidR="00C6316B">
        <w:t xml:space="preserve"> of 50 ppm</w:t>
      </w:r>
      <w:r w:rsidR="009651F1">
        <w:t xml:space="preserve">. </w:t>
      </w:r>
    </w:p>
    <w:p w14:paraId="475ABB8B" w14:textId="77777777" w:rsidR="004529F0" w:rsidRPr="004C23F4" w:rsidRDefault="004529F0" w:rsidP="004250A5">
      <w:pPr>
        <w:pStyle w:val="Heading2"/>
      </w:pPr>
      <w:r>
        <w:lastRenderedPageBreak/>
        <w:t>Recommendation for notations</w:t>
      </w:r>
    </w:p>
    <w:p w14:paraId="3B34DF8B" w14:textId="5BC16761" w:rsidR="00DB45C9" w:rsidRDefault="00DB45C9" w:rsidP="00263A55">
      <w:pPr>
        <w:keepNext/>
        <w:rPr>
          <w:rFonts w:cs="Arial"/>
        </w:rPr>
      </w:pPr>
      <w:r>
        <w:rPr>
          <w:rFonts w:cs="Arial"/>
        </w:rPr>
        <w:t xml:space="preserve">Not classified as a carcinogen according to the Globally Harmonized System of </w:t>
      </w:r>
      <w:r w:rsidR="00477795">
        <w:rPr>
          <w:rFonts w:cs="Arial"/>
        </w:rPr>
        <w:t xml:space="preserve">Classification and Labelling of </w:t>
      </w:r>
      <w:r>
        <w:rPr>
          <w:rFonts w:cs="Arial"/>
        </w:rPr>
        <w:t xml:space="preserve">Chemicals (GHS). </w:t>
      </w:r>
    </w:p>
    <w:p w14:paraId="7670B78D" w14:textId="4B946513" w:rsidR="00DB45C9" w:rsidRDefault="00DB45C9" w:rsidP="00263A55">
      <w:pPr>
        <w:keepNext/>
        <w:rPr>
          <w:rFonts w:cs="Arial"/>
        </w:rPr>
      </w:pPr>
      <w:r>
        <w:rPr>
          <w:rFonts w:cs="Arial"/>
        </w:rPr>
        <w:t>Not classified as a skin</w:t>
      </w:r>
      <w:r w:rsidR="00477795">
        <w:rPr>
          <w:rFonts w:cs="Arial"/>
        </w:rPr>
        <w:t xml:space="preserve"> sensitiser</w:t>
      </w:r>
      <w:r>
        <w:rPr>
          <w:rFonts w:cs="Arial"/>
        </w:rPr>
        <w:t xml:space="preserve"> or respiratory sensitiser according to the GHS.</w:t>
      </w:r>
    </w:p>
    <w:p w14:paraId="7E787245" w14:textId="661D41A6" w:rsidR="0025734A" w:rsidRPr="004C23F4" w:rsidRDefault="00263A55" w:rsidP="00263A55">
      <w:pPr>
        <w:keepNext/>
        <w:rPr>
          <w:rFonts w:cs="Arial"/>
        </w:rPr>
      </w:pPr>
      <w:r>
        <w:rPr>
          <w:rFonts w:cs="Arial"/>
        </w:rPr>
        <w:t xml:space="preserve">There </w:t>
      </w:r>
      <w:r w:rsidR="00E9532C">
        <w:rPr>
          <w:rFonts w:cs="Arial"/>
        </w:rPr>
        <w:t>are</w:t>
      </w:r>
      <w:r>
        <w:rPr>
          <w:rFonts w:cs="Arial"/>
        </w:rPr>
        <w:t xml:space="preserve"> i</w:t>
      </w:r>
      <w:r w:rsidR="00DB45C9">
        <w:rPr>
          <w:rFonts w:cs="Arial"/>
        </w:rPr>
        <w:t xml:space="preserve">nsufficient </w:t>
      </w:r>
      <w:r>
        <w:rPr>
          <w:rFonts w:cs="Arial"/>
        </w:rPr>
        <w:t>data</w:t>
      </w:r>
      <w:r w:rsidR="00DB45C9">
        <w:rPr>
          <w:rFonts w:cs="Arial"/>
        </w:rPr>
        <w:t xml:space="preserve"> to recommend a skin notation.</w:t>
      </w:r>
    </w:p>
    <w:p w14:paraId="47CD51DA"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2AC9FF60"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2256BDE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25B0C1DF" w14:textId="77777777" w:rsidTr="008579DB">
        <w:trPr>
          <w:gridAfter w:val="1"/>
          <w:wAfter w:w="8" w:type="pct"/>
          <w:trHeight w:val="393"/>
          <w:tblHeader/>
        </w:trPr>
        <w:tc>
          <w:tcPr>
            <w:tcW w:w="4992" w:type="pct"/>
            <w:shd w:val="clear" w:color="auto" w:fill="BFBFBF" w:themeFill="background1" w:themeFillShade="BF"/>
            <w:vAlign w:val="center"/>
          </w:tcPr>
          <w:p w14:paraId="74C0DB7A" w14:textId="77777777" w:rsidR="00C978F0" w:rsidRPr="00DA352E" w:rsidRDefault="00C978F0" w:rsidP="004250A5">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6A4DE86C" w14:textId="77777777" w:rsidTr="008579DB">
        <w:tc>
          <w:tcPr>
            <w:tcW w:w="5000" w:type="pct"/>
            <w:gridSpan w:val="2"/>
            <w:shd w:val="clear" w:color="auto" w:fill="F2F2F2" w:themeFill="background1" w:themeFillShade="F2"/>
          </w:tcPr>
          <w:p w14:paraId="090A46E1" w14:textId="29ECA145" w:rsidR="00DE26E8" w:rsidRPr="003365A5" w:rsidRDefault="00DE26E8" w:rsidP="00263A55">
            <w:pPr>
              <w:pStyle w:val="Tablerowheadingitalic"/>
              <w:tabs>
                <w:tab w:val="clear" w:pos="2268"/>
                <w:tab w:val="clear" w:pos="5670"/>
                <w:tab w:val="left" w:pos="1418"/>
                <w:tab w:val="left" w:pos="2552"/>
              </w:tabs>
              <w:spacing w:before="60" w:after="60"/>
            </w:pPr>
            <w:r w:rsidRPr="003365A5">
              <w:t>SWA</w:t>
            </w:r>
            <w:r w:rsidRPr="003365A5">
              <w:tab/>
            </w:r>
            <w:sdt>
              <w:sdtPr>
                <w:id w:val="-2034099983"/>
                <w:placeholder>
                  <w:docPart w:val="0A35AF4547E94E219E26BC12DBC33282"/>
                </w:placeholder>
                <w:text/>
              </w:sdtPr>
              <w:sdtEndPr/>
              <w:sdtContent>
                <w:r w:rsidR="00DB45C9">
                  <w:t>1991</w:t>
                </w:r>
              </w:sdtContent>
            </w:sdt>
            <w:r w:rsidRPr="003365A5">
              <w:tab/>
            </w:r>
            <w:r>
              <w:tab/>
            </w:r>
            <w:sdt>
              <w:sdtPr>
                <w:alias w:val="SWA WES"/>
                <w:tag w:val="SWA WES"/>
                <w:id w:val="857077202"/>
                <w:placeholder>
                  <w:docPart w:val="81CFEC2FDBC5451289F394E66D92D1A0"/>
                </w:placeholder>
              </w:sdtPr>
              <w:sdtEndPr/>
              <w:sdtContent>
                <w:r w:rsidR="00B94EA8">
                  <w:t>TWA: 10 ppm (53 mg/m</w:t>
                </w:r>
                <w:r w:rsidR="00B94EA8" w:rsidRPr="00B94EA8">
                  <w:rPr>
                    <w:vertAlign w:val="superscript"/>
                  </w:rPr>
                  <w:t>3</w:t>
                </w:r>
                <w:r w:rsidR="00B94EA8">
                  <w:t>); STEL: 20 ppm (107 mg/m</w:t>
                </w:r>
                <w:r w:rsidR="00B94EA8" w:rsidRPr="00B94EA8">
                  <w:rPr>
                    <w:vertAlign w:val="superscript"/>
                  </w:rPr>
                  <w:t>3</w:t>
                </w:r>
                <w:r w:rsidR="00B94EA8">
                  <w:t>)</w:t>
                </w:r>
              </w:sdtContent>
            </w:sdt>
          </w:p>
        </w:tc>
      </w:tr>
      <w:tr w:rsidR="00C978F0" w:rsidRPr="00DA352E" w14:paraId="5B30ABDC" w14:textId="77777777" w:rsidTr="008579DB">
        <w:trPr>
          <w:gridAfter w:val="1"/>
          <w:wAfter w:w="8" w:type="pct"/>
        </w:trPr>
        <w:tc>
          <w:tcPr>
            <w:tcW w:w="4992" w:type="pct"/>
          </w:tcPr>
          <w:p w14:paraId="49DA6A66" w14:textId="77777777" w:rsidR="00C978F0" w:rsidRPr="00DA352E" w:rsidRDefault="00C978F0" w:rsidP="004250A5">
            <w:pPr>
              <w:pStyle w:val="Tabletextprimarysource"/>
            </w:pPr>
          </w:p>
        </w:tc>
      </w:tr>
      <w:tr w:rsidR="00C978F0" w:rsidRPr="00DA352E" w14:paraId="68328D81" w14:textId="77777777" w:rsidTr="008579DB">
        <w:trPr>
          <w:gridAfter w:val="1"/>
          <w:wAfter w:w="8" w:type="pct"/>
        </w:trPr>
        <w:tc>
          <w:tcPr>
            <w:tcW w:w="4992" w:type="pct"/>
            <w:shd w:val="clear" w:color="auto" w:fill="F2F2F2" w:themeFill="background1" w:themeFillShade="F2"/>
          </w:tcPr>
          <w:p w14:paraId="753E0AD5" w14:textId="4F3F31C0" w:rsidR="00C978F0" w:rsidRPr="00DA352E" w:rsidRDefault="00DA352E" w:rsidP="00263A55">
            <w:pPr>
              <w:pStyle w:val="Tablerowheadingitalic"/>
              <w:tabs>
                <w:tab w:val="clear" w:pos="2268"/>
                <w:tab w:val="clear" w:pos="5670"/>
                <w:tab w:val="left" w:pos="1418"/>
                <w:tab w:val="left" w:pos="2552"/>
              </w:tabs>
              <w:spacing w:before="60" w:after="60"/>
            </w:pPr>
            <w:r w:rsidRPr="00DA352E">
              <w:t>ACGIH</w:t>
            </w:r>
            <w:r w:rsidR="00916EC0">
              <w:t xml:space="preserve"> </w:t>
            </w:r>
            <w:r w:rsidR="00916EC0" w:rsidRPr="003365A5">
              <w:tab/>
            </w:r>
            <w:sdt>
              <w:sdtPr>
                <w:id w:val="444816450"/>
                <w:placeholder>
                  <w:docPart w:val="C8FBF9621EB94FE084F687C8955AF85F"/>
                </w:placeholder>
                <w:text/>
              </w:sdtPr>
              <w:sdtEndPr/>
              <w:sdtContent>
                <w:r w:rsidR="00B94EA8">
                  <w:t>2007</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B94EA8">
                  <w:t>TLV-TWA: 10 ppm (52.4 mg/m</w:t>
                </w:r>
                <w:r w:rsidR="00B94EA8" w:rsidRPr="00B94EA8">
                  <w:rPr>
                    <w:vertAlign w:val="superscript"/>
                  </w:rPr>
                  <w:t>3</w:t>
                </w:r>
                <w:r w:rsidR="00B94EA8">
                  <w:t>)</w:t>
                </w:r>
              </w:sdtContent>
            </w:sdt>
          </w:p>
        </w:tc>
      </w:tr>
      <w:tr w:rsidR="00C978F0" w:rsidRPr="00DA352E" w14:paraId="14F70DB7" w14:textId="77777777" w:rsidTr="008579DB">
        <w:trPr>
          <w:gridAfter w:val="1"/>
          <w:wAfter w:w="8" w:type="pct"/>
        </w:trPr>
        <w:tc>
          <w:tcPr>
            <w:tcW w:w="4992" w:type="pct"/>
          </w:tcPr>
          <w:p w14:paraId="1EFE444D" w14:textId="04FC67AA" w:rsidR="00C978F0" w:rsidRDefault="00B64F9A" w:rsidP="004250A5">
            <w:pPr>
              <w:pStyle w:val="Tabletextprimarysource"/>
            </w:pPr>
            <w:r>
              <w:t>TLV-TWA recommended to minimise potential neurotoxic effects.</w:t>
            </w:r>
          </w:p>
          <w:p w14:paraId="0FCC370A" w14:textId="1C21E393" w:rsidR="00FC46B8" w:rsidRDefault="00FC46B8" w:rsidP="00FC46B8">
            <w:pPr>
              <w:pStyle w:val="Tabletextprimarysource"/>
            </w:pPr>
            <w:r>
              <w:t>TLV-TWA based on the conversion of a NOAEL in rats of 82 mg/kg/d to airborne concentration equivalent of 574 mg/m</w:t>
            </w:r>
            <w:r w:rsidRPr="00B64F9A">
              <w:rPr>
                <w:vertAlign w:val="superscript"/>
              </w:rPr>
              <w:t>3</w:t>
            </w:r>
            <w:r>
              <w:t xml:space="preserve"> (110 ppm) </w:t>
            </w:r>
            <w:r w:rsidRPr="008579DB">
              <w:rPr>
                <w:i/>
              </w:rPr>
              <w:t>via</w:t>
            </w:r>
            <w:r>
              <w:t xml:space="preserve"> generic factors; no further specifics provided</w:t>
            </w:r>
          </w:p>
          <w:p w14:paraId="7AB43682" w14:textId="77777777" w:rsidR="00B64F9A" w:rsidRDefault="00B64F9A" w:rsidP="004250A5">
            <w:pPr>
              <w:pStyle w:val="Tabletextprimarysource"/>
            </w:pPr>
            <w:r>
              <w:t>Summary of data:</w:t>
            </w:r>
          </w:p>
          <w:p w14:paraId="386DE2F6" w14:textId="475A836E" w:rsidR="00B64F9A" w:rsidRDefault="00B64F9A" w:rsidP="004250A5">
            <w:pPr>
              <w:pStyle w:val="Tabletextprimarysource"/>
            </w:pPr>
            <w:r>
              <w:t>No human studies available</w:t>
            </w:r>
            <w:r w:rsidR="004250A5">
              <w:t>.</w:t>
            </w:r>
          </w:p>
          <w:p w14:paraId="4134CB8F" w14:textId="38147AE6" w:rsidR="00B64F9A" w:rsidRDefault="00B64F9A" w:rsidP="004250A5">
            <w:pPr>
              <w:pStyle w:val="Tabletextprimarysource"/>
            </w:pPr>
            <w:r>
              <w:t>Animal data:</w:t>
            </w:r>
          </w:p>
          <w:p w14:paraId="2E5C5B26" w14:textId="095BE55B" w:rsidR="00B64F9A" w:rsidRDefault="00B64F9A" w:rsidP="00263A55">
            <w:pPr>
              <w:pStyle w:val="ListBullet"/>
              <w:spacing w:before="60" w:after="60"/>
              <w:ind w:left="720"/>
              <w:contextualSpacing w:val="0"/>
            </w:pPr>
            <w:r>
              <w:t>RD</w:t>
            </w:r>
            <w:r>
              <w:rPr>
                <w:vertAlign w:val="subscript"/>
              </w:rPr>
              <w:t>50</w:t>
            </w:r>
            <w:r w:rsidR="00263A55">
              <w:t>:</w:t>
            </w:r>
            <w:r w:rsidR="002B3744">
              <w:t xml:space="preserve"> </w:t>
            </w:r>
            <w:r>
              <w:t>760 ppm (3,980 mg/m</w:t>
            </w:r>
            <w:r>
              <w:rPr>
                <w:vertAlign w:val="superscript"/>
              </w:rPr>
              <w:t>3</w:t>
            </w:r>
            <w:r>
              <w:t xml:space="preserve">) </w:t>
            </w:r>
            <w:r w:rsidR="00263A55">
              <w:t xml:space="preserve">in </w:t>
            </w:r>
            <w:r w:rsidR="004250A5">
              <w:t>mice</w:t>
            </w:r>
          </w:p>
          <w:p w14:paraId="07BF4367" w14:textId="01CACBE7" w:rsidR="00BA43B3" w:rsidRDefault="008360C9" w:rsidP="00263A55">
            <w:pPr>
              <w:pStyle w:val="ListBullet"/>
              <w:spacing w:before="60" w:after="60"/>
              <w:ind w:left="720"/>
              <w:contextualSpacing w:val="0"/>
            </w:pPr>
            <w:r>
              <w:t xml:space="preserve">Male rats dosed </w:t>
            </w:r>
            <w:r w:rsidRPr="00FB6D19">
              <w:rPr>
                <w:i/>
              </w:rPr>
              <w:t>via</w:t>
            </w:r>
            <w:r>
              <w:t xml:space="preserve"> gavage at 0, 82, 410 or 820 mg/kg 5 d/</w:t>
            </w:r>
            <w:proofErr w:type="spellStart"/>
            <w:r>
              <w:t>wk</w:t>
            </w:r>
            <w:proofErr w:type="spellEnd"/>
            <w:r>
              <w:t xml:space="preserve"> for 13 </w:t>
            </w:r>
            <w:proofErr w:type="spellStart"/>
            <w:r>
              <w:t>wk</w:t>
            </w:r>
            <w:proofErr w:type="spellEnd"/>
            <w:r>
              <w:t xml:space="preserve">; rats subject to functional observational battery of tests along with </w:t>
            </w:r>
            <w:r w:rsidR="00235972">
              <w:t>body weight,</w:t>
            </w:r>
            <w:r>
              <w:t xml:space="preserve"> feed consumption, haematology, cell morphology, clinical chemistry and neuropathology</w:t>
            </w:r>
            <w:r w:rsidR="009D5C98">
              <w:t>:</w:t>
            </w:r>
          </w:p>
          <w:p w14:paraId="52F46E26" w14:textId="3785C698" w:rsidR="00C016D4" w:rsidRDefault="00C016D4" w:rsidP="008579DB">
            <w:pPr>
              <w:pStyle w:val="ListBullet"/>
              <w:numPr>
                <w:ilvl w:val="0"/>
                <w:numId w:val="8"/>
              </w:numPr>
              <w:spacing w:before="60" w:after="60"/>
            </w:pPr>
            <w:r>
              <w:t>the functional observational battery included procedures to detect unusual body positions or activity level, compromised coordination of movement or gait, any unusual or bizarre behaviour, and other indications of neurotoxicity, including but not limited to limb grip strength, convulsions, tremors, and lacrimation</w:t>
            </w:r>
          </w:p>
          <w:p w14:paraId="7A7CFA10" w14:textId="072FCE02" w:rsidR="00C016D4" w:rsidRDefault="00A27BBD" w:rsidP="00A27BBD">
            <w:pPr>
              <w:pStyle w:val="ListBullet"/>
              <w:numPr>
                <w:ilvl w:val="0"/>
                <w:numId w:val="8"/>
              </w:numPr>
              <w:spacing w:before="60" w:after="60"/>
              <w:contextualSpacing w:val="0"/>
            </w:pPr>
            <w:r>
              <w:t>a</w:t>
            </w:r>
            <w:r w:rsidR="00BA43B3">
              <w:t>n observation</w:t>
            </w:r>
            <w:r w:rsidR="00C016D4">
              <w:t xml:space="preserve"> from the battery</w:t>
            </w:r>
            <w:r w:rsidR="00BA43B3">
              <w:t xml:space="preserve"> of reduced vocalisation</w:t>
            </w:r>
            <w:r w:rsidR="00C016D4">
              <w:t xml:space="preserve"> established the LOAEL of</w:t>
            </w:r>
            <w:r w:rsidR="008579DB">
              <w:t xml:space="preserve"> </w:t>
            </w:r>
            <w:r w:rsidR="00BA43B3">
              <w:t>82</w:t>
            </w:r>
            <w:r w:rsidR="00235972">
              <w:t> </w:t>
            </w:r>
            <w:r w:rsidR="00BA43B3">
              <w:t>mg/kg</w:t>
            </w:r>
            <w:r w:rsidR="00C016D4">
              <w:t>/d</w:t>
            </w:r>
            <w:r w:rsidR="00BA43B3">
              <w:t xml:space="preserve"> </w:t>
            </w:r>
          </w:p>
          <w:p w14:paraId="2E4BA214" w14:textId="3840C89A" w:rsidR="00BA43B3" w:rsidRDefault="00C016D4" w:rsidP="00235972">
            <w:pPr>
              <w:pStyle w:val="ListBullet"/>
              <w:numPr>
                <w:ilvl w:val="0"/>
                <w:numId w:val="8"/>
              </w:numPr>
              <w:spacing w:before="60" w:after="60"/>
              <w:contextualSpacing w:val="0"/>
            </w:pPr>
            <w:r>
              <w:t>no NOEL for reduced vocalisation was identified</w:t>
            </w:r>
            <w:r w:rsidR="00235972">
              <w:t xml:space="preserve">: effect </w:t>
            </w:r>
            <w:r>
              <w:t>was</w:t>
            </w:r>
            <w:r w:rsidR="00BA43B3">
              <w:t xml:space="preserve"> not considered adverse</w:t>
            </w:r>
          </w:p>
          <w:p w14:paraId="765E8AF7" w14:textId="2518A80E" w:rsidR="00BA43B3" w:rsidRDefault="00B64F9A" w:rsidP="00A27BBD">
            <w:pPr>
              <w:pStyle w:val="ListBullet"/>
              <w:numPr>
                <w:ilvl w:val="0"/>
                <w:numId w:val="8"/>
              </w:numPr>
              <w:spacing w:before="60" w:after="60"/>
              <w:contextualSpacing w:val="0"/>
            </w:pPr>
            <w:r>
              <w:t>NOAEL of 82 mg/kg/d</w:t>
            </w:r>
            <w:r w:rsidR="00CE4DBE">
              <w:t xml:space="preserve"> based on 2 observations of reduced lifting of the tail and overall reduced activity </w:t>
            </w:r>
          </w:p>
          <w:p w14:paraId="0C650236" w14:textId="620AD426" w:rsidR="00BA43B3" w:rsidRDefault="00BA43B3" w:rsidP="00CE4DBE">
            <w:pPr>
              <w:pStyle w:val="ListBullet"/>
              <w:numPr>
                <w:ilvl w:val="0"/>
                <w:numId w:val="8"/>
              </w:numPr>
              <w:spacing w:before="60" w:after="60"/>
              <w:contextualSpacing w:val="0"/>
            </w:pPr>
            <w:r>
              <w:t>NOAEL of 410 mg/kg/d</w:t>
            </w:r>
            <w:r w:rsidR="00CE4DBE">
              <w:t xml:space="preserve"> for 9 observations: unkempt hair coats [p &lt;0.0001], exophthalmos [p ≈0.03], minor tremors [p ≈0.05], failure to respond to touch [p ≈0.006], hypotonic gait [p &lt;0.002], tail-dragging [p=0.0001], lateral deviation of the limbs [p</w:t>
            </w:r>
            <w:r w:rsidR="008C3369">
              <w:t> </w:t>
            </w:r>
            <w:r w:rsidR="00CE4DBE">
              <w:t>≈0.006], difficulty hopping [p ≈0.008], and soft muscle tone [p ≈0.01]</w:t>
            </w:r>
          </w:p>
          <w:p w14:paraId="71E61CC7" w14:textId="576A2289" w:rsidR="0037319C" w:rsidRDefault="009D5C98" w:rsidP="008579DB">
            <w:pPr>
              <w:pStyle w:val="ListBullet"/>
              <w:numPr>
                <w:ilvl w:val="0"/>
                <w:numId w:val="8"/>
              </w:numPr>
              <w:spacing w:before="60" w:after="60"/>
            </w:pPr>
            <w:r>
              <w:t>n</w:t>
            </w:r>
            <w:r w:rsidR="0037319C">
              <w:t>o difference in body weight or feed consumption from control rats</w:t>
            </w:r>
            <w:r w:rsidR="00235972">
              <w:t xml:space="preserve"> at 82 mg/kg/d</w:t>
            </w:r>
          </w:p>
          <w:p w14:paraId="32B56835" w14:textId="00843FC5" w:rsidR="0037319C" w:rsidRDefault="009D5C98" w:rsidP="008579DB">
            <w:pPr>
              <w:pStyle w:val="ListBullet"/>
              <w:numPr>
                <w:ilvl w:val="0"/>
                <w:numId w:val="8"/>
              </w:numPr>
              <w:spacing w:before="60" w:after="60"/>
            </w:pPr>
            <w:r>
              <w:t>b</w:t>
            </w:r>
            <w:r w:rsidR="00235972">
              <w:t xml:space="preserve">ody weights were 9% less than control rats on average and consumed slightly less feed </w:t>
            </w:r>
            <w:r w:rsidR="008D306F">
              <w:t>at</w:t>
            </w:r>
            <w:r w:rsidR="0037319C">
              <w:t xml:space="preserve"> 410 mg/kg/d, but these differences were not statistically significant</w:t>
            </w:r>
          </w:p>
          <w:p w14:paraId="0C17DB38" w14:textId="53FE4273" w:rsidR="0037319C" w:rsidRDefault="009D5C98" w:rsidP="008579DB">
            <w:pPr>
              <w:pStyle w:val="ListBullet"/>
              <w:numPr>
                <w:ilvl w:val="0"/>
                <w:numId w:val="8"/>
              </w:numPr>
              <w:spacing w:before="60" w:after="60"/>
            </w:pPr>
            <w:r>
              <w:t>a</w:t>
            </w:r>
            <w:r w:rsidR="0037319C">
              <w:t xml:space="preserve">verage body weights </w:t>
            </w:r>
            <w:r w:rsidR="008D306F">
              <w:t xml:space="preserve">were </w:t>
            </w:r>
            <w:r w:rsidR="0037319C">
              <w:t xml:space="preserve">24% </w:t>
            </w:r>
            <w:r w:rsidR="008D306F">
              <w:t xml:space="preserve">lower </w:t>
            </w:r>
            <w:r w:rsidR="0037319C">
              <w:t>than control rats (statistically significant at p</w:t>
            </w:r>
            <w:r w:rsidR="008D306F">
              <w:t> </w:t>
            </w:r>
            <w:r w:rsidR="0037319C">
              <w:t>&lt;</w:t>
            </w:r>
            <w:r w:rsidR="008D306F">
              <w:t> </w:t>
            </w:r>
            <w:r w:rsidR="0037319C">
              <w:t>0.05) and consumed 12% less feed on average</w:t>
            </w:r>
            <w:r w:rsidR="008D306F">
              <w:t xml:space="preserve"> at 820 mg/kg/d</w:t>
            </w:r>
          </w:p>
          <w:p w14:paraId="2B45F82E" w14:textId="7E7DA5A2" w:rsidR="0037319C" w:rsidRDefault="009D5C98" w:rsidP="008579DB">
            <w:pPr>
              <w:pStyle w:val="ListBullet"/>
              <w:numPr>
                <w:ilvl w:val="0"/>
                <w:numId w:val="8"/>
              </w:numPr>
              <w:spacing w:before="60" w:after="60"/>
            </w:pPr>
            <w:r>
              <w:t>n</w:t>
            </w:r>
            <w:r w:rsidR="0037319C">
              <w:t>o significant differences between exposed and unexposed rats</w:t>
            </w:r>
            <w:r w:rsidR="008D306F">
              <w:t xml:space="preserve"> in haematology and cell morphology</w:t>
            </w:r>
          </w:p>
          <w:p w14:paraId="6D461958" w14:textId="1DF36C04" w:rsidR="0037319C" w:rsidRDefault="009D5C98" w:rsidP="008579DB">
            <w:pPr>
              <w:pStyle w:val="ListBullet"/>
              <w:numPr>
                <w:ilvl w:val="0"/>
                <w:numId w:val="8"/>
              </w:numPr>
              <w:spacing w:before="60" w:after="60"/>
            </w:pPr>
            <w:r>
              <w:t>p</w:t>
            </w:r>
            <w:r w:rsidR="008D306F">
              <w:t xml:space="preserve">lasma </w:t>
            </w:r>
            <w:r w:rsidR="0037319C">
              <w:t>concentrations of alanine aminotransferase (ALT)</w:t>
            </w:r>
            <w:r w:rsidR="008D306F">
              <w:t xml:space="preserve"> reduced</w:t>
            </w:r>
            <w:r w:rsidR="0037319C">
              <w:t>; the 82-mg/kg/d group had 14% less ALT than control rats; the 410-mg/kg/d group had 30% less and the 820-mg/kg/d group had 32% less; this effect not necessarily considered adverse</w:t>
            </w:r>
          </w:p>
          <w:p w14:paraId="5BB8FF7E" w14:textId="41EF7C72" w:rsidR="00BA43B3" w:rsidRDefault="0037319C" w:rsidP="00CE4DBE">
            <w:pPr>
              <w:pStyle w:val="ListBullet"/>
              <w:numPr>
                <w:ilvl w:val="0"/>
                <w:numId w:val="8"/>
              </w:numPr>
              <w:spacing w:before="60" w:after="60"/>
              <w:contextualSpacing w:val="0"/>
            </w:pPr>
            <w:r>
              <w:t>p</w:t>
            </w:r>
            <w:r w:rsidR="00BA43B3">
              <w:t>athological examination revealed damage to the tibial and sciatic nerves, including infolding of the myelin sheath into the axon, Wallerian degeneration, axonal swelling and thinning of the myelin sheath over swollen axons</w:t>
            </w:r>
            <w:r>
              <w:t>; for both nerves, the NOAEL for infolding of the myelin sheath into the axon, Wallerian degeneration, and axonal swelling was 82 mg/kg</w:t>
            </w:r>
            <w:r w:rsidR="008D306F">
              <w:t>/d</w:t>
            </w:r>
            <w:r>
              <w:t>; the NOAEL for thinning of the myelin sheath over swollen axons was 410 mg/kg for both nerves</w:t>
            </w:r>
          </w:p>
          <w:p w14:paraId="6D039435" w14:textId="20263271" w:rsidR="00B64F9A" w:rsidRDefault="00A27BBD" w:rsidP="00CE4DBE">
            <w:pPr>
              <w:pStyle w:val="ListBullet"/>
              <w:numPr>
                <w:ilvl w:val="0"/>
                <w:numId w:val="8"/>
              </w:numPr>
              <w:spacing w:before="60" w:after="60"/>
              <w:contextualSpacing w:val="0"/>
            </w:pPr>
            <w:r>
              <w:t>a</w:t>
            </w:r>
            <w:r w:rsidR="00BA43B3">
              <w:t>uthors concluded</w:t>
            </w:r>
            <w:r w:rsidR="00CE4DBE">
              <w:t xml:space="preserve"> </w:t>
            </w:r>
            <w:r w:rsidR="00BA43B3">
              <w:t>82 mg/kg/d as the NOAEL for the entire study</w:t>
            </w:r>
          </w:p>
          <w:p w14:paraId="1EB4F849" w14:textId="0AA1F37D" w:rsidR="00FF7EC5" w:rsidRDefault="00B64F9A" w:rsidP="00263A55">
            <w:pPr>
              <w:pStyle w:val="ListBullet"/>
              <w:spacing w:before="60" w:after="60"/>
              <w:ind w:left="720"/>
              <w:contextualSpacing w:val="0"/>
            </w:pPr>
            <w:r>
              <w:t>Airborne concentration equivalent of NOAEL is 574 mg/m</w:t>
            </w:r>
            <w:r w:rsidRPr="00B64F9A">
              <w:rPr>
                <w:vertAlign w:val="superscript"/>
              </w:rPr>
              <w:t>3</w:t>
            </w:r>
            <w:r>
              <w:t xml:space="preserve"> </w:t>
            </w:r>
            <w:r w:rsidR="00FF7EC5">
              <w:t>(</w:t>
            </w:r>
            <w:r>
              <w:t>110 ppm</w:t>
            </w:r>
            <w:r w:rsidR="00FF7EC5">
              <w:t>);</w:t>
            </w:r>
            <w:r>
              <w:t xml:space="preserve"> 70</w:t>
            </w:r>
            <w:r w:rsidR="004250A5">
              <w:t xml:space="preserve"> </w:t>
            </w:r>
            <w:r>
              <w:t xml:space="preserve">kg human </w:t>
            </w:r>
            <w:r w:rsidR="00FF7EC5">
              <w:t>inhaling</w:t>
            </w:r>
            <w:r>
              <w:t xml:space="preserve"> 10 m</w:t>
            </w:r>
            <w:r w:rsidRPr="00FF7EC5">
              <w:rPr>
                <w:vertAlign w:val="superscript"/>
              </w:rPr>
              <w:t>3</w:t>
            </w:r>
            <w:r w:rsidR="00FF7EC5">
              <w:t xml:space="preserve"> in an 8</w:t>
            </w:r>
            <w:r w:rsidR="008C3369">
              <w:t>-</w:t>
            </w:r>
            <w:r w:rsidR="00FF7EC5">
              <w:t>h</w:t>
            </w:r>
            <w:r>
              <w:t xml:space="preserve"> workday</w:t>
            </w:r>
            <w:r w:rsidR="004250A5">
              <w:t>.</w:t>
            </w:r>
          </w:p>
          <w:p w14:paraId="059D5B86" w14:textId="77777777" w:rsidR="007C5F82" w:rsidRDefault="007C5F82" w:rsidP="004250A5">
            <w:pPr>
              <w:pStyle w:val="Tabletextprimarysource"/>
            </w:pPr>
          </w:p>
          <w:p w14:paraId="2BB0ADFB" w14:textId="4544F07D" w:rsidR="00B64F9A" w:rsidRDefault="00FF7EC5" w:rsidP="004250A5">
            <w:pPr>
              <w:pStyle w:val="Tabletextprimarysource"/>
            </w:pPr>
            <w:r>
              <w:t>TWA justified by the equivalent airborne concentration; no further derivation</w:t>
            </w:r>
            <w:r w:rsidR="004250A5">
              <w:t>.</w:t>
            </w:r>
          </w:p>
          <w:p w14:paraId="1EA5A09E" w14:textId="77777777" w:rsidR="00FF7EC5" w:rsidRDefault="00FF7EC5" w:rsidP="004250A5">
            <w:pPr>
              <w:pStyle w:val="Tabletextprimarysource"/>
            </w:pPr>
            <w:r>
              <w:t>Insufficient data to recommend a skin, sensitiser or carcinogenicity notation or a TLV-STEL.</w:t>
            </w:r>
          </w:p>
          <w:p w14:paraId="766B7F14" w14:textId="350BBEDB" w:rsidR="007C5F82" w:rsidRPr="00DA352E" w:rsidRDefault="007C5F82" w:rsidP="004250A5">
            <w:pPr>
              <w:pStyle w:val="Tabletextprimarysource"/>
            </w:pPr>
          </w:p>
        </w:tc>
      </w:tr>
      <w:tr w:rsidR="00C978F0" w:rsidRPr="00DA352E" w14:paraId="7DAE611E" w14:textId="77777777" w:rsidTr="008579DB">
        <w:trPr>
          <w:gridAfter w:val="1"/>
          <w:wAfter w:w="8" w:type="pct"/>
        </w:trPr>
        <w:tc>
          <w:tcPr>
            <w:tcW w:w="4992" w:type="pct"/>
            <w:shd w:val="clear" w:color="auto" w:fill="F2F2F2" w:themeFill="background1" w:themeFillShade="F2"/>
          </w:tcPr>
          <w:p w14:paraId="64D5EB3D" w14:textId="377CD3F9" w:rsidR="00C978F0" w:rsidRPr="00DA352E" w:rsidRDefault="00DA352E" w:rsidP="00263A55">
            <w:pPr>
              <w:pStyle w:val="Tablerowheadingitalic"/>
              <w:tabs>
                <w:tab w:val="clear" w:pos="2268"/>
                <w:tab w:val="clear" w:pos="5670"/>
                <w:tab w:val="left" w:pos="1418"/>
                <w:tab w:val="left" w:pos="2552"/>
              </w:tabs>
              <w:spacing w:before="60" w:after="60"/>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B94EA8">
                  <w:t>2001</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B94EA8">
                  <w:t>MAK: 10 ppm (53 mg/m</w:t>
                </w:r>
                <w:r w:rsidR="00B94EA8" w:rsidRPr="00B94EA8">
                  <w:rPr>
                    <w:vertAlign w:val="superscript"/>
                  </w:rPr>
                  <w:t>3</w:t>
                </w:r>
                <w:r w:rsidR="00B94EA8">
                  <w:t>)</w:t>
                </w:r>
              </w:sdtContent>
            </w:sdt>
          </w:p>
        </w:tc>
      </w:tr>
      <w:tr w:rsidR="00C978F0" w:rsidRPr="00DA352E" w14:paraId="528551EF" w14:textId="77777777" w:rsidTr="008579DB">
        <w:trPr>
          <w:gridAfter w:val="1"/>
          <w:wAfter w:w="8" w:type="pct"/>
        </w:trPr>
        <w:tc>
          <w:tcPr>
            <w:tcW w:w="4992" w:type="pct"/>
          </w:tcPr>
          <w:p w14:paraId="4D7D904B" w14:textId="77777777" w:rsidR="00C978F0" w:rsidRDefault="004D252A" w:rsidP="004250A5">
            <w:pPr>
              <w:pStyle w:val="Tabletextprimarysource"/>
            </w:pPr>
            <w:r>
              <w:t>MAK recommended to protect for local irritation and neurotoxicity effects.</w:t>
            </w:r>
          </w:p>
          <w:p w14:paraId="412C6C63" w14:textId="77777777" w:rsidR="004D252A" w:rsidRDefault="004D252A" w:rsidP="004250A5">
            <w:pPr>
              <w:pStyle w:val="Tabletextprimarysource"/>
            </w:pPr>
            <w:r>
              <w:t>Summary of additional data:</w:t>
            </w:r>
          </w:p>
          <w:p w14:paraId="03F004F4" w14:textId="6B55E088" w:rsidR="0045040E" w:rsidRDefault="0045040E" w:rsidP="00263A55">
            <w:pPr>
              <w:pStyle w:val="ListBullet"/>
              <w:spacing w:before="60" w:after="60"/>
              <w:ind w:left="720"/>
              <w:contextualSpacing w:val="0"/>
            </w:pPr>
            <w:r>
              <w:t>Reported odour threshold of 5 and 6 ppm</w:t>
            </w:r>
          </w:p>
          <w:p w14:paraId="61E55210" w14:textId="7DCA317D" w:rsidR="00223790" w:rsidRDefault="00223790" w:rsidP="008D306F">
            <w:pPr>
              <w:pStyle w:val="ListBullet"/>
              <w:spacing w:before="60" w:after="60"/>
              <w:ind w:left="720"/>
              <w:contextualSpacing w:val="0"/>
            </w:pPr>
            <w:r>
              <w:t xml:space="preserve">A </w:t>
            </w:r>
            <w:r w:rsidR="00C6316B">
              <w:t>5-min</w:t>
            </w:r>
            <w:r w:rsidR="00A25506">
              <w:t xml:space="preserve"> exposure</w:t>
            </w:r>
            <w:r>
              <w:t xml:space="preserve"> study</w:t>
            </w:r>
            <w:r w:rsidR="00A25506">
              <w:t xml:space="preserve"> o</w:t>
            </w:r>
            <w:r w:rsidR="00C6316B">
              <w:t>n</w:t>
            </w:r>
            <w:r w:rsidR="00A25506">
              <w:t xml:space="preserve"> volunteers </w:t>
            </w:r>
            <w:r w:rsidR="00C6316B">
              <w:t>reported the following:</w:t>
            </w:r>
          </w:p>
          <w:p w14:paraId="14357F83" w14:textId="77777777" w:rsidR="008D306F" w:rsidRDefault="008D306F" w:rsidP="00FB6D19">
            <w:pPr>
              <w:pStyle w:val="ListBullet"/>
              <w:numPr>
                <w:ilvl w:val="0"/>
                <w:numId w:val="10"/>
              </w:numPr>
              <w:spacing w:before="60" w:after="60"/>
              <w:contextualSpacing w:val="0"/>
            </w:pPr>
            <w:r>
              <w:t xml:space="preserve">5 ppm tolerated with no symptoms of irritation </w:t>
            </w:r>
          </w:p>
          <w:p w14:paraId="5F9982E7" w14:textId="2903DCAC" w:rsidR="002D7814" w:rsidRDefault="00A25506" w:rsidP="00FB6D19">
            <w:pPr>
              <w:pStyle w:val="ListBullet"/>
              <w:numPr>
                <w:ilvl w:val="0"/>
                <w:numId w:val="10"/>
              </w:numPr>
              <w:spacing w:before="60" w:after="60"/>
              <w:contextualSpacing w:val="0"/>
            </w:pPr>
            <w:r>
              <w:t>25 ppm slight irritation of mucous membranes</w:t>
            </w:r>
          </w:p>
          <w:p w14:paraId="00925C79" w14:textId="4909D6F0" w:rsidR="002D7814" w:rsidRDefault="0045040E" w:rsidP="00FB6D19">
            <w:pPr>
              <w:pStyle w:val="ListBullet"/>
              <w:numPr>
                <w:ilvl w:val="0"/>
                <w:numId w:val="10"/>
              </w:numPr>
              <w:spacing w:before="60" w:after="60"/>
              <w:contextualSpacing w:val="0"/>
            </w:pPr>
            <w:r>
              <w:t>50 ppm irrit</w:t>
            </w:r>
            <w:r w:rsidR="00EF28DD">
              <w:t>ation of eyes, nose and throat</w:t>
            </w:r>
          </w:p>
          <w:p w14:paraId="245EE82A" w14:textId="19879493" w:rsidR="004D252A" w:rsidRDefault="00EF28DD" w:rsidP="00FB6D19">
            <w:pPr>
              <w:pStyle w:val="ListBullet"/>
              <w:numPr>
                <w:ilvl w:val="0"/>
                <w:numId w:val="10"/>
              </w:numPr>
              <w:spacing w:before="60" w:after="60"/>
              <w:contextualSpacing w:val="0"/>
            </w:pPr>
            <w:r>
              <w:t xml:space="preserve">100 ppm strong irritation and </w:t>
            </w:r>
            <w:r w:rsidR="0045040E">
              <w:t>headache and nausea</w:t>
            </w:r>
          </w:p>
          <w:p w14:paraId="545F0868" w14:textId="601385C0" w:rsidR="00C6316B" w:rsidRPr="008579DB" w:rsidRDefault="00C6316B" w:rsidP="00263A55">
            <w:pPr>
              <w:pStyle w:val="ListBullet"/>
              <w:spacing w:before="60" w:after="60"/>
              <w:ind w:left="720"/>
              <w:contextualSpacing w:val="0"/>
            </w:pPr>
            <w:r>
              <w:rPr>
                <w:rFonts w:cs="Arial"/>
                <w:color w:val="1C1D1E"/>
                <w:shd w:val="clear" w:color="auto" w:fill="FFFFFF"/>
              </w:rPr>
              <w:t>Groups of 5 male rats (no other details) were given 100, 500 or 1000 mg/kg</w:t>
            </w:r>
            <w:r w:rsidR="008D306F">
              <w:rPr>
                <w:rFonts w:cs="Arial"/>
                <w:color w:val="1C1D1E"/>
                <w:shd w:val="clear" w:color="auto" w:fill="FFFFFF"/>
              </w:rPr>
              <w:t>/d</w:t>
            </w:r>
            <w:r>
              <w:rPr>
                <w:rFonts w:cs="Arial"/>
                <w:color w:val="1C1D1E"/>
                <w:shd w:val="clear" w:color="auto" w:fill="FFFFFF"/>
              </w:rPr>
              <w:t xml:space="preserve"> </w:t>
            </w:r>
            <w:r w:rsidR="003D1EFA">
              <w:t xml:space="preserve">by </w:t>
            </w:r>
            <w:r>
              <w:rPr>
                <w:rFonts w:cs="Arial"/>
                <w:color w:val="1C1D1E"/>
                <w:shd w:val="clear" w:color="auto" w:fill="FFFFFF"/>
              </w:rPr>
              <w:t xml:space="preserve">gavage </w:t>
            </w:r>
            <w:r w:rsidR="003D1EFA">
              <w:rPr>
                <w:rFonts w:cs="Arial"/>
                <w:color w:val="1C1D1E"/>
                <w:shd w:val="clear" w:color="auto" w:fill="FFFFFF"/>
              </w:rPr>
              <w:t xml:space="preserve">for </w:t>
            </w:r>
            <w:r>
              <w:rPr>
                <w:rFonts w:cs="Arial"/>
                <w:color w:val="1C1D1E"/>
                <w:shd w:val="clear" w:color="auto" w:fill="FFFFFF"/>
              </w:rPr>
              <w:t xml:space="preserve">13 </w:t>
            </w:r>
            <w:proofErr w:type="spellStart"/>
            <w:r>
              <w:rPr>
                <w:rFonts w:cs="Arial"/>
                <w:color w:val="1C1D1E"/>
                <w:shd w:val="clear" w:color="auto" w:fill="FFFFFF"/>
              </w:rPr>
              <w:t>wk</w:t>
            </w:r>
            <w:proofErr w:type="spellEnd"/>
            <w:r w:rsidR="008C3369">
              <w:rPr>
                <w:rFonts w:cs="Arial"/>
                <w:color w:val="1C1D1E"/>
                <w:shd w:val="clear" w:color="auto" w:fill="FFFFFF"/>
              </w:rPr>
              <w:t>:</w:t>
            </w:r>
          </w:p>
          <w:p w14:paraId="10FD91A0" w14:textId="7D790387" w:rsidR="00C6316B" w:rsidRPr="008579DB" w:rsidRDefault="008579DB" w:rsidP="008579DB">
            <w:pPr>
              <w:pStyle w:val="ListBullet"/>
              <w:numPr>
                <w:ilvl w:val="0"/>
                <w:numId w:val="13"/>
              </w:numPr>
              <w:spacing w:before="60" w:after="60"/>
              <w:contextualSpacing w:val="0"/>
            </w:pPr>
            <w:r>
              <w:t>a</w:t>
            </w:r>
            <w:r w:rsidR="00C6316B">
              <w:t>t 1</w:t>
            </w:r>
            <w:r>
              <w:t>,</w:t>
            </w:r>
            <w:r w:rsidR="00C6316B">
              <w:t>000 mg/kg/d p</w:t>
            </w:r>
            <w:r w:rsidR="00C6316B">
              <w:rPr>
                <w:rFonts w:cs="Arial"/>
                <w:color w:val="1C1D1E"/>
                <w:shd w:val="clear" w:color="auto" w:fill="FFFFFF"/>
              </w:rPr>
              <w:t>eripheral neuropathy occurred; seen from clinical observations and functional tests carried out: stumbling and paralysis of the rear extremities, decreased reflexes and upright reflexes, reduced tone of the hind leg muscles, reduced grip strength of the hind legs as well as diarrh</w:t>
            </w:r>
            <w:r>
              <w:rPr>
                <w:rFonts w:cs="Arial"/>
                <w:color w:val="1C1D1E"/>
                <w:shd w:val="clear" w:color="auto" w:fill="FFFFFF"/>
              </w:rPr>
              <w:t>o</w:t>
            </w:r>
            <w:r w:rsidR="00C6316B">
              <w:rPr>
                <w:rFonts w:cs="Arial"/>
                <w:color w:val="1C1D1E"/>
                <w:shd w:val="clear" w:color="auto" w:fill="FFFFFF"/>
              </w:rPr>
              <w:t>ea, reduced activity, unkempt fur, salivation and reduced body weight</w:t>
            </w:r>
          </w:p>
          <w:p w14:paraId="7D460CBB" w14:textId="67ABB42E" w:rsidR="00C9598E" w:rsidRDefault="008579DB" w:rsidP="008579DB">
            <w:pPr>
              <w:pStyle w:val="ListBullet"/>
              <w:numPr>
                <w:ilvl w:val="0"/>
                <w:numId w:val="13"/>
              </w:numPr>
              <w:spacing w:before="60" w:after="60"/>
              <w:contextualSpacing w:val="0"/>
            </w:pPr>
            <w:r>
              <w:rPr>
                <w:rFonts w:cs="Arial"/>
                <w:color w:val="1C1D1E"/>
                <w:shd w:val="clear" w:color="auto" w:fill="FFFFFF"/>
              </w:rPr>
              <w:t>s</w:t>
            </w:r>
            <w:r w:rsidR="00C6316B">
              <w:rPr>
                <w:rFonts w:cs="Arial"/>
                <w:color w:val="1C1D1E"/>
                <w:shd w:val="clear" w:color="auto" w:fill="FFFFFF"/>
              </w:rPr>
              <w:t>imilar effects to a lesser extent as those reported at 1000 mg/</w:t>
            </w:r>
            <w:r w:rsidR="003D1EFA">
              <w:rPr>
                <w:rFonts w:cs="Arial"/>
                <w:color w:val="1C1D1E"/>
                <w:shd w:val="clear" w:color="auto" w:fill="FFFFFF"/>
              </w:rPr>
              <w:t>kg</w:t>
            </w:r>
            <w:r w:rsidR="00C6316B">
              <w:rPr>
                <w:rFonts w:cs="Arial"/>
                <w:color w:val="1C1D1E"/>
                <w:shd w:val="clear" w:color="auto" w:fill="FFFFFF"/>
              </w:rPr>
              <w:t xml:space="preserve">/d </w:t>
            </w:r>
            <w:r w:rsidR="00DA3EDD">
              <w:t>at 500 mg/kg/d</w:t>
            </w:r>
          </w:p>
          <w:p w14:paraId="25447C64" w14:textId="74F3F79A" w:rsidR="00DA3EDD" w:rsidRDefault="00DA3EDD" w:rsidP="008579DB">
            <w:pPr>
              <w:pStyle w:val="ListBullet"/>
              <w:numPr>
                <w:ilvl w:val="0"/>
                <w:numId w:val="12"/>
              </w:numPr>
              <w:spacing w:before="60" w:after="60"/>
              <w:contextualSpacing w:val="0"/>
            </w:pPr>
            <w:r>
              <w:t>no clinical effect reported at 100 mg/kg/d</w:t>
            </w:r>
          </w:p>
          <w:p w14:paraId="4E6ECC26" w14:textId="56A63C57" w:rsidR="00C6316B" w:rsidRPr="00C9598E" w:rsidRDefault="00C6316B" w:rsidP="008579DB">
            <w:pPr>
              <w:pStyle w:val="ListBullet"/>
              <w:numPr>
                <w:ilvl w:val="0"/>
                <w:numId w:val="12"/>
              </w:numPr>
              <w:spacing w:before="60" w:after="60"/>
              <w:contextualSpacing w:val="0"/>
            </w:pPr>
            <w:r>
              <w:rPr>
                <w:rFonts w:cs="Arial"/>
                <w:color w:val="1C1D1E"/>
                <w:shd w:val="clear" w:color="auto" w:fill="FFFFFF"/>
              </w:rPr>
              <w:t xml:space="preserve">clinical chemistry and haematology </w:t>
            </w:r>
            <w:r w:rsidR="003D1EFA">
              <w:rPr>
                <w:rFonts w:cs="Arial"/>
                <w:color w:val="1C1D1E"/>
                <w:shd w:val="clear" w:color="auto" w:fill="FFFFFF"/>
              </w:rPr>
              <w:t>were normal</w:t>
            </w:r>
          </w:p>
          <w:p w14:paraId="5FAD0B8E" w14:textId="4A6C490B" w:rsidR="0045040E" w:rsidRPr="00B1404B" w:rsidRDefault="00C9598E" w:rsidP="00263A55">
            <w:pPr>
              <w:pStyle w:val="ListBullet"/>
              <w:spacing w:before="60" w:after="60"/>
              <w:ind w:left="720"/>
              <w:contextualSpacing w:val="0"/>
            </w:pPr>
            <w:r>
              <w:rPr>
                <w:rFonts w:cs="Arial"/>
                <w:color w:val="1C1D1E"/>
                <w:shd w:val="clear" w:color="auto" w:fill="FFFFFF"/>
              </w:rPr>
              <w:t>Dose</w:t>
            </w:r>
            <w:r w:rsidR="00D965C1">
              <w:rPr>
                <w:rFonts w:cs="Arial"/>
                <w:color w:val="1C1D1E"/>
                <w:shd w:val="clear" w:color="auto" w:fill="FFFFFF"/>
              </w:rPr>
              <w:t xml:space="preserve"> of</w:t>
            </w:r>
            <w:r>
              <w:rPr>
                <w:rFonts w:cs="Arial"/>
                <w:color w:val="1C1D1E"/>
                <w:shd w:val="clear" w:color="auto" w:fill="FFFFFF"/>
              </w:rPr>
              <w:t xml:space="preserve"> 100 mg/kg</w:t>
            </w:r>
            <w:r w:rsidR="003D1EFA">
              <w:rPr>
                <w:rFonts w:cs="Arial"/>
                <w:color w:val="1C1D1E"/>
                <w:shd w:val="clear" w:color="auto" w:fill="FFFFFF"/>
              </w:rPr>
              <w:t>/d</w:t>
            </w:r>
            <w:r>
              <w:rPr>
                <w:rFonts w:cs="Arial"/>
                <w:color w:val="1C1D1E"/>
                <w:shd w:val="clear" w:color="auto" w:fill="FFFFFF"/>
              </w:rPr>
              <w:t xml:space="preserve"> reported as having a corresponding airborne equivalent </w:t>
            </w:r>
            <w:r w:rsidR="00263A55">
              <w:rPr>
                <w:rFonts w:cs="Arial"/>
                <w:color w:val="1C1D1E"/>
                <w:shd w:val="clear" w:color="auto" w:fill="FFFFFF"/>
              </w:rPr>
              <w:t>concentration</w:t>
            </w:r>
            <w:r>
              <w:rPr>
                <w:rFonts w:cs="Arial"/>
                <w:color w:val="1C1D1E"/>
                <w:shd w:val="clear" w:color="auto" w:fill="FFFFFF"/>
              </w:rPr>
              <w:t xml:space="preserve"> of </w:t>
            </w:r>
            <w:r w:rsidR="00263A55">
              <w:rPr>
                <w:rFonts w:cs="Arial"/>
                <w:color w:val="1C1D1E"/>
                <w:shd w:val="clear" w:color="auto" w:fill="FFFFFF"/>
              </w:rPr>
              <w:t>~</w:t>
            </w:r>
            <w:r>
              <w:rPr>
                <w:rFonts w:cs="Arial"/>
                <w:color w:val="1C1D1E"/>
                <w:shd w:val="clear" w:color="auto" w:fill="FFFFFF"/>
              </w:rPr>
              <w:t>100 ppm; no derivation provided; basis for MAK.</w:t>
            </w:r>
          </w:p>
          <w:p w14:paraId="25D0B390" w14:textId="7BCF6D9D" w:rsidR="007C5F82" w:rsidRPr="00DA352E" w:rsidRDefault="007C5F82" w:rsidP="00B1404B">
            <w:pPr>
              <w:pStyle w:val="ListBullet"/>
              <w:numPr>
                <w:ilvl w:val="0"/>
                <w:numId w:val="0"/>
              </w:numPr>
              <w:spacing w:before="60" w:after="60"/>
              <w:ind w:left="360" w:hanging="360"/>
              <w:contextualSpacing w:val="0"/>
            </w:pPr>
          </w:p>
        </w:tc>
      </w:tr>
      <w:tr w:rsidR="00C978F0" w:rsidRPr="00DA352E" w14:paraId="5DEDEAE2" w14:textId="77777777" w:rsidTr="008579DB">
        <w:trPr>
          <w:gridAfter w:val="1"/>
          <w:wAfter w:w="8" w:type="pct"/>
        </w:trPr>
        <w:tc>
          <w:tcPr>
            <w:tcW w:w="4992" w:type="pct"/>
            <w:shd w:val="clear" w:color="auto" w:fill="F2F2F2" w:themeFill="background1" w:themeFillShade="F2"/>
          </w:tcPr>
          <w:p w14:paraId="5FA5279F" w14:textId="3BA85B40" w:rsidR="00C978F0" w:rsidRPr="00DA352E" w:rsidRDefault="00DA352E" w:rsidP="00263A55">
            <w:pPr>
              <w:pStyle w:val="Tablerowheadingitalic"/>
              <w:tabs>
                <w:tab w:val="clear" w:pos="2268"/>
                <w:tab w:val="clear" w:pos="5670"/>
                <w:tab w:val="left" w:pos="1418"/>
                <w:tab w:val="left" w:pos="2850"/>
              </w:tabs>
              <w:spacing w:before="60" w:after="60"/>
              <w:ind w:left="2850" w:hanging="2850"/>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B94EA8">
                  <w:t>1991</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B94EA8">
                  <w:t>TWA: 10 ppm (53 mg/m</w:t>
                </w:r>
                <w:r w:rsidR="00B94EA8" w:rsidRPr="00B94EA8">
                  <w:rPr>
                    <w:vertAlign w:val="superscript"/>
                  </w:rPr>
                  <w:t>3</w:t>
                </w:r>
                <w:r w:rsidR="00263A55">
                  <w:t>); STEL</w:t>
                </w:r>
                <w:r w:rsidR="00B94EA8">
                  <w:t>: 20 ppm (107 mg/m</w:t>
                </w:r>
                <w:r w:rsidR="00B94EA8" w:rsidRPr="00B94EA8">
                  <w:rPr>
                    <w:vertAlign w:val="superscript"/>
                  </w:rPr>
                  <w:t>3</w:t>
                </w:r>
                <w:r w:rsidR="00B94EA8">
                  <w:t>)</w:t>
                </w:r>
              </w:sdtContent>
            </w:sdt>
          </w:p>
        </w:tc>
      </w:tr>
      <w:tr w:rsidR="00C978F0" w:rsidRPr="00DA352E" w14:paraId="66803D1C" w14:textId="77777777" w:rsidTr="008579DB">
        <w:trPr>
          <w:gridAfter w:val="1"/>
          <w:wAfter w:w="8" w:type="pct"/>
        </w:trPr>
        <w:tc>
          <w:tcPr>
            <w:tcW w:w="4992" w:type="pct"/>
          </w:tcPr>
          <w:p w14:paraId="46925AE2" w14:textId="768D6DF0" w:rsidR="00C978F0" w:rsidRDefault="00D965C1" w:rsidP="004250A5">
            <w:pPr>
              <w:pStyle w:val="Tabletextprimarysource"/>
            </w:pPr>
            <w:r>
              <w:t>OELs recommended to protect for nasal irritation</w:t>
            </w:r>
            <w:r w:rsidR="004250A5">
              <w:t>.</w:t>
            </w:r>
          </w:p>
          <w:p w14:paraId="75CA55AA" w14:textId="77777777" w:rsidR="00D965C1" w:rsidRDefault="00D965C1" w:rsidP="004250A5">
            <w:pPr>
              <w:pStyle w:val="Tabletextprimarysource"/>
            </w:pPr>
            <w:r>
              <w:t>Summary of additional data:</w:t>
            </w:r>
          </w:p>
          <w:p w14:paraId="5D970FBB" w14:textId="77777777" w:rsidR="00D965C1" w:rsidRDefault="00D965C1" w:rsidP="00263A55">
            <w:pPr>
              <w:pStyle w:val="ListBullet"/>
              <w:spacing w:before="60" w:after="60"/>
              <w:ind w:left="720"/>
              <w:contextualSpacing w:val="0"/>
            </w:pPr>
            <w:r>
              <w:t>Based on same 5 min exposure study as cited by DFG (2001)</w:t>
            </w:r>
          </w:p>
          <w:p w14:paraId="76886354" w14:textId="77777777" w:rsidR="00D965C1" w:rsidRDefault="00E0354A" w:rsidP="00263A55">
            <w:pPr>
              <w:pStyle w:val="ListBullet"/>
              <w:spacing w:before="60" w:after="60"/>
              <w:ind w:left="720"/>
              <w:contextualSpacing w:val="0"/>
            </w:pPr>
            <w:r>
              <w:t>No information on toxicity following repeat exposure; considers acute data acceptable provisionally.</w:t>
            </w:r>
          </w:p>
          <w:p w14:paraId="0B58BE11" w14:textId="6DBFEA32" w:rsidR="007C5F82" w:rsidRPr="00DA352E" w:rsidRDefault="007C5F82" w:rsidP="00B1404B">
            <w:pPr>
              <w:pStyle w:val="ListBullet"/>
              <w:numPr>
                <w:ilvl w:val="0"/>
                <w:numId w:val="0"/>
              </w:numPr>
              <w:spacing w:before="60" w:after="60"/>
              <w:ind w:left="360" w:hanging="360"/>
              <w:contextualSpacing w:val="0"/>
            </w:pPr>
          </w:p>
        </w:tc>
      </w:tr>
      <w:tr w:rsidR="00DA352E" w:rsidRPr="00DA352E" w14:paraId="23356076" w14:textId="77777777" w:rsidTr="008579DB">
        <w:trPr>
          <w:gridAfter w:val="1"/>
          <w:wAfter w:w="8" w:type="pct"/>
        </w:trPr>
        <w:tc>
          <w:tcPr>
            <w:tcW w:w="4992" w:type="pct"/>
            <w:shd w:val="clear" w:color="auto" w:fill="F2F2F2" w:themeFill="background1" w:themeFillShade="F2"/>
          </w:tcPr>
          <w:p w14:paraId="60B53815" w14:textId="72E085C3" w:rsidR="00DA352E" w:rsidRPr="00DA352E" w:rsidRDefault="00DA352E" w:rsidP="00263A55">
            <w:pPr>
              <w:pStyle w:val="Tablerowheadingitalic"/>
              <w:tabs>
                <w:tab w:val="clear" w:pos="2268"/>
                <w:tab w:val="clear" w:pos="5670"/>
                <w:tab w:val="left" w:pos="1418"/>
                <w:tab w:val="left" w:pos="2552"/>
              </w:tabs>
              <w:spacing w:before="60" w:after="60"/>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B94EA8">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B94EA8">
                  <w:t>NA</w:t>
                </w:r>
                <w:proofErr w:type="spellEnd"/>
              </w:sdtContent>
            </w:sdt>
          </w:p>
        </w:tc>
      </w:tr>
      <w:tr w:rsidR="00DA352E" w:rsidRPr="00DA352E" w14:paraId="27D374F9" w14:textId="77777777" w:rsidTr="008579DB">
        <w:trPr>
          <w:gridAfter w:val="1"/>
          <w:wAfter w:w="8" w:type="pct"/>
        </w:trPr>
        <w:tc>
          <w:tcPr>
            <w:tcW w:w="4992" w:type="pct"/>
          </w:tcPr>
          <w:p w14:paraId="51C258BF" w14:textId="2ABF8EBE" w:rsidR="00DA352E" w:rsidRPr="00DA352E" w:rsidRDefault="00B94EA8" w:rsidP="004250A5">
            <w:pPr>
              <w:pStyle w:val="Tabletextprimarysource"/>
            </w:pPr>
            <w:r>
              <w:t>No report</w:t>
            </w:r>
            <w:r w:rsidR="004250A5">
              <w:t>.</w:t>
            </w:r>
          </w:p>
        </w:tc>
      </w:tr>
      <w:tr w:rsidR="00DA352E" w:rsidRPr="00DA352E" w14:paraId="5B76F3F2" w14:textId="77777777" w:rsidTr="008579DB">
        <w:trPr>
          <w:gridAfter w:val="1"/>
          <w:wAfter w:w="8" w:type="pct"/>
        </w:trPr>
        <w:tc>
          <w:tcPr>
            <w:tcW w:w="4992" w:type="pct"/>
            <w:shd w:val="clear" w:color="auto" w:fill="F2F2F2" w:themeFill="background1" w:themeFillShade="F2"/>
          </w:tcPr>
          <w:p w14:paraId="763B4946" w14:textId="46824B49" w:rsidR="00DA352E" w:rsidRPr="00DA352E" w:rsidRDefault="00DA352E" w:rsidP="00263A55">
            <w:pPr>
              <w:pStyle w:val="Tablerowheadingitalic"/>
              <w:tabs>
                <w:tab w:val="clear" w:pos="2268"/>
                <w:tab w:val="clear" w:pos="5670"/>
                <w:tab w:val="left" w:pos="1418"/>
                <w:tab w:val="left" w:pos="2552"/>
              </w:tabs>
              <w:spacing w:before="60" w:after="60"/>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B94EA8">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B94EA8">
                  <w:t>NA</w:t>
                </w:r>
                <w:proofErr w:type="spellEnd"/>
              </w:sdtContent>
            </w:sdt>
          </w:p>
        </w:tc>
      </w:tr>
      <w:tr w:rsidR="00DA352E" w:rsidRPr="00DA352E" w14:paraId="362F055F" w14:textId="77777777" w:rsidTr="008579DB">
        <w:trPr>
          <w:gridAfter w:val="1"/>
          <w:wAfter w:w="8" w:type="pct"/>
        </w:trPr>
        <w:tc>
          <w:tcPr>
            <w:tcW w:w="4992" w:type="pct"/>
          </w:tcPr>
          <w:p w14:paraId="7D796BF1" w14:textId="11D3E0EC" w:rsidR="00DA352E" w:rsidRPr="00DA352E" w:rsidRDefault="00B94EA8" w:rsidP="004250A5">
            <w:pPr>
              <w:pStyle w:val="Tabletextprimarysource"/>
            </w:pPr>
            <w:r>
              <w:t>No report</w:t>
            </w:r>
            <w:r w:rsidR="004250A5">
              <w:t>.</w:t>
            </w:r>
          </w:p>
        </w:tc>
      </w:tr>
    </w:tbl>
    <w:p w14:paraId="44EDDB10"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p w14:paraId="668A0ADC" w14:textId="20C11722" w:rsidR="007E2A4B" w:rsidRDefault="004250A5">
      <w:r>
        <w:t>NIL</w:t>
      </w:r>
      <w:r w:rsidR="00FB6D19">
        <w:t>.</w:t>
      </w:r>
    </w:p>
    <w:bookmarkEnd w:id="0"/>
    <w:p w14:paraId="58CF7E8D" w14:textId="77777777" w:rsidR="007E2A4B" w:rsidRDefault="007E2A4B" w:rsidP="007E2A4B">
      <w:pPr>
        <w:pStyle w:val="Heading3"/>
      </w:pPr>
      <w:r>
        <w:lastRenderedPageBreak/>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0D50F39C" w14:textId="77777777" w:rsidTr="00E0354A">
        <w:trPr>
          <w:trHeight w:val="454"/>
          <w:tblHeader/>
        </w:trPr>
        <w:tc>
          <w:tcPr>
            <w:tcW w:w="6603" w:type="dxa"/>
            <w:vAlign w:val="center"/>
          </w:tcPr>
          <w:p w14:paraId="2B36BEE4"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6E45F83B" w14:textId="5A4E249E" w:rsidR="002E0D61" w:rsidRDefault="00E0354A" w:rsidP="00C3091E">
                <w:pPr>
                  <w:pStyle w:val="Tablefont"/>
                  <w:keepNext/>
                  <w:keepLines/>
                  <w:spacing w:before="40" w:after="40"/>
                </w:pPr>
                <w:r>
                  <w:t>No</w:t>
                </w:r>
              </w:p>
            </w:tc>
          </w:sdtContent>
        </w:sdt>
      </w:tr>
      <w:tr w:rsidR="008A36CF" w14:paraId="210247D5" w14:textId="77777777" w:rsidTr="00E0354A">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7D04DE11" w14:textId="612A23C3" w:rsidR="008A36CF" w:rsidRPr="006901A2" w:rsidRDefault="00E0354A"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3EC830BB" w14:textId="77777777" w:rsidR="008A36CF" w:rsidRDefault="008A36CF" w:rsidP="008A36CF">
            <w:pPr>
              <w:pStyle w:val="Tablefont"/>
              <w:keepNext/>
              <w:keepLines/>
              <w:spacing w:before="40" w:after="40"/>
            </w:pPr>
          </w:p>
        </w:tc>
      </w:tr>
    </w:tbl>
    <w:bookmarkEnd w:id="1"/>
    <w:p w14:paraId="20784D22"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0A09B4D1" w14:textId="77777777" w:rsidTr="00812887">
        <w:trPr>
          <w:cantSplit/>
          <w:tblHeader/>
        </w:trPr>
        <w:tc>
          <w:tcPr>
            <w:tcW w:w="3227" w:type="dxa"/>
            <w:shd w:val="clear" w:color="auto" w:fill="BFBFBF" w:themeFill="background1" w:themeFillShade="BF"/>
            <w:vAlign w:val="center"/>
          </w:tcPr>
          <w:p w14:paraId="4233E772"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5C42CEF0" w14:textId="77777777" w:rsidR="00687890" w:rsidRPr="004C23F4" w:rsidRDefault="00687890" w:rsidP="00F4402E">
            <w:pPr>
              <w:pStyle w:val="Tableheader"/>
              <w:tabs>
                <w:tab w:val="right" w:pos="5272"/>
              </w:tabs>
            </w:pPr>
            <w:r w:rsidRPr="004C23F4">
              <w:t>Notations</w:t>
            </w:r>
            <w:r w:rsidR="003A2B94">
              <w:tab/>
            </w:r>
          </w:p>
        </w:tc>
      </w:tr>
      <w:tr w:rsidR="00687890" w:rsidRPr="004C23F4" w14:paraId="70799C0B" w14:textId="77777777" w:rsidTr="00812887">
        <w:trPr>
          <w:cantSplit/>
        </w:trPr>
        <w:tc>
          <w:tcPr>
            <w:tcW w:w="3227" w:type="dxa"/>
          </w:tcPr>
          <w:p w14:paraId="316A716C" w14:textId="77777777" w:rsidR="004079B4" w:rsidRPr="004C23F4" w:rsidRDefault="00084513" w:rsidP="00F4402E">
            <w:pPr>
              <w:pStyle w:val="Tablefont"/>
            </w:pPr>
            <w:r w:rsidRPr="004C23F4">
              <w:t>SWA</w:t>
            </w:r>
          </w:p>
        </w:tc>
        <w:tc>
          <w:tcPr>
            <w:tcW w:w="6015" w:type="dxa"/>
          </w:tcPr>
          <w:p w14:paraId="5B8DF840" w14:textId="7654C7F2" w:rsidR="00687890" w:rsidRPr="00DD2F9B" w:rsidRDefault="00B94EA8" w:rsidP="00DD2F9B">
            <w:pPr>
              <w:pStyle w:val="Tablefont"/>
            </w:pPr>
            <w:r>
              <w:t>—</w:t>
            </w:r>
          </w:p>
        </w:tc>
      </w:tr>
      <w:tr w:rsidR="007925F0" w:rsidRPr="004C23F4" w14:paraId="500A0438" w14:textId="77777777" w:rsidTr="00812887">
        <w:trPr>
          <w:cantSplit/>
        </w:trPr>
        <w:tc>
          <w:tcPr>
            <w:tcW w:w="3227" w:type="dxa"/>
          </w:tcPr>
          <w:p w14:paraId="04644850" w14:textId="77777777" w:rsidR="004079B4" w:rsidRPr="004C23F4" w:rsidRDefault="007925F0" w:rsidP="00F4402E">
            <w:pPr>
              <w:pStyle w:val="Tablefont"/>
            </w:pPr>
            <w:r>
              <w:t>HCIS</w:t>
            </w:r>
          </w:p>
        </w:tc>
        <w:tc>
          <w:tcPr>
            <w:tcW w:w="6015" w:type="dxa"/>
          </w:tcPr>
          <w:p w14:paraId="1636D159" w14:textId="53EC8800" w:rsidR="007925F0" w:rsidRPr="00DD2F9B" w:rsidRDefault="00B94EA8" w:rsidP="00DD2F9B">
            <w:pPr>
              <w:pStyle w:val="Tablefont"/>
            </w:pPr>
            <w:r>
              <w:t>—</w:t>
            </w:r>
          </w:p>
        </w:tc>
      </w:tr>
      <w:tr w:rsidR="00AF483F" w:rsidRPr="004C23F4" w14:paraId="1E29D9F1" w14:textId="77777777" w:rsidTr="00812887">
        <w:trPr>
          <w:cantSplit/>
        </w:trPr>
        <w:tc>
          <w:tcPr>
            <w:tcW w:w="3227" w:type="dxa"/>
          </w:tcPr>
          <w:p w14:paraId="2B50BDB9" w14:textId="77777777" w:rsidR="00AF483F" w:rsidRPr="004C23F4" w:rsidRDefault="00AF483F" w:rsidP="00F4402E">
            <w:pPr>
              <w:pStyle w:val="Tablefont"/>
            </w:pPr>
            <w:r>
              <w:t>NICNAS</w:t>
            </w:r>
          </w:p>
        </w:tc>
        <w:tc>
          <w:tcPr>
            <w:tcW w:w="6015" w:type="dxa"/>
          </w:tcPr>
          <w:p w14:paraId="538B32D4" w14:textId="15492816" w:rsidR="00AF483F" w:rsidRPr="00DD2F9B" w:rsidRDefault="00B94EA8" w:rsidP="00DD2F9B">
            <w:pPr>
              <w:pStyle w:val="Tablefont"/>
            </w:pPr>
            <w:r>
              <w:t>NA</w:t>
            </w:r>
          </w:p>
        </w:tc>
      </w:tr>
      <w:tr w:rsidR="00687890" w:rsidRPr="004C23F4" w14:paraId="5261AE1C" w14:textId="77777777" w:rsidTr="00812887">
        <w:trPr>
          <w:cantSplit/>
        </w:trPr>
        <w:tc>
          <w:tcPr>
            <w:tcW w:w="3227" w:type="dxa"/>
          </w:tcPr>
          <w:p w14:paraId="469AADBE" w14:textId="77777777" w:rsidR="004079B4" w:rsidRPr="004C23F4" w:rsidRDefault="00687890" w:rsidP="00F4402E">
            <w:pPr>
              <w:pStyle w:val="Tablefont"/>
            </w:pPr>
            <w:r w:rsidRPr="004C23F4">
              <w:t>EU Annex</w:t>
            </w:r>
          </w:p>
        </w:tc>
        <w:tc>
          <w:tcPr>
            <w:tcW w:w="6015" w:type="dxa"/>
          </w:tcPr>
          <w:p w14:paraId="37083EE5" w14:textId="015AB601" w:rsidR="00687890" w:rsidRPr="00DD2F9B" w:rsidRDefault="00B94EA8" w:rsidP="00DD2F9B">
            <w:pPr>
              <w:pStyle w:val="Tablefont"/>
            </w:pPr>
            <w:r>
              <w:t>NA</w:t>
            </w:r>
          </w:p>
        </w:tc>
      </w:tr>
      <w:tr w:rsidR="00E41A26" w:rsidRPr="004C23F4" w14:paraId="0D5BB8DA" w14:textId="77777777" w:rsidTr="00812887">
        <w:trPr>
          <w:cantSplit/>
        </w:trPr>
        <w:tc>
          <w:tcPr>
            <w:tcW w:w="3227" w:type="dxa"/>
          </w:tcPr>
          <w:p w14:paraId="086136A0" w14:textId="77777777" w:rsidR="00E41A26" w:rsidRDefault="00E41A26" w:rsidP="00F4402E">
            <w:pPr>
              <w:pStyle w:val="Tablefont"/>
            </w:pPr>
            <w:r>
              <w:t>ECHA</w:t>
            </w:r>
          </w:p>
        </w:tc>
        <w:tc>
          <w:tcPr>
            <w:tcW w:w="6015" w:type="dxa"/>
          </w:tcPr>
          <w:p w14:paraId="1479526C" w14:textId="23AC8C82" w:rsidR="00E41A26" w:rsidRPr="00DD2F9B" w:rsidRDefault="00B94EA8" w:rsidP="00DD2F9B">
            <w:pPr>
              <w:pStyle w:val="Tablefont"/>
            </w:pPr>
            <w:r>
              <w:t>NA</w:t>
            </w:r>
          </w:p>
        </w:tc>
      </w:tr>
      <w:tr w:rsidR="002E0D61" w:rsidRPr="004C23F4" w14:paraId="30328C01" w14:textId="77777777" w:rsidTr="00812887">
        <w:trPr>
          <w:cantSplit/>
        </w:trPr>
        <w:tc>
          <w:tcPr>
            <w:tcW w:w="3227" w:type="dxa"/>
          </w:tcPr>
          <w:p w14:paraId="12CF3ED7" w14:textId="77777777" w:rsidR="004079B4" w:rsidRPr="004C23F4" w:rsidRDefault="002E0D61" w:rsidP="00F4402E">
            <w:pPr>
              <w:pStyle w:val="Tablefont"/>
            </w:pPr>
            <w:r>
              <w:t>ACGIH</w:t>
            </w:r>
          </w:p>
        </w:tc>
        <w:tc>
          <w:tcPr>
            <w:tcW w:w="6015" w:type="dxa"/>
          </w:tcPr>
          <w:p w14:paraId="33AA8810" w14:textId="07894DC0" w:rsidR="002E0D61" w:rsidRPr="00DD2F9B" w:rsidRDefault="00B94EA8" w:rsidP="00DD2F9B">
            <w:pPr>
              <w:pStyle w:val="Tablefont"/>
            </w:pPr>
            <w:r>
              <w:t>—</w:t>
            </w:r>
          </w:p>
        </w:tc>
      </w:tr>
      <w:tr w:rsidR="002E0D61" w:rsidRPr="004C23F4" w14:paraId="1BCA5F0B" w14:textId="77777777" w:rsidTr="00812887">
        <w:trPr>
          <w:cantSplit/>
        </w:trPr>
        <w:tc>
          <w:tcPr>
            <w:tcW w:w="3227" w:type="dxa"/>
          </w:tcPr>
          <w:p w14:paraId="1E31D310" w14:textId="77777777" w:rsidR="004079B4" w:rsidRPr="004C23F4" w:rsidRDefault="002E0D61" w:rsidP="00F4402E">
            <w:pPr>
              <w:pStyle w:val="Tablefont"/>
            </w:pPr>
            <w:r>
              <w:t>DFG</w:t>
            </w:r>
          </w:p>
        </w:tc>
        <w:tc>
          <w:tcPr>
            <w:tcW w:w="6015" w:type="dxa"/>
          </w:tcPr>
          <w:p w14:paraId="787AD856" w14:textId="3DB4C922" w:rsidR="002E0D61" w:rsidRPr="00DD2F9B" w:rsidRDefault="00B94EA8" w:rsidP="00DD2F9B">
            <w:pPr>
              <w:pStyle w:val="Tablefont"/>
            </w:pPr>
            <w:r>
              <w:t>—</w:t>
            </w:r>
          </w:p>
        </w:tc>
      </w:tr>
      <w:tr w:rsidR="002E0D61" w:rsidRPr="004C23F4" w14:paraId="3C1D8873" w14:textId="77777777" w:rsidTr="00812887">
        <w:trPr>
          <w:cantSplit/>
        </w:trPr>
        <w:tc>
          <w:tcPr>
            <w:tcW w:w="3227" w:type="dxa"/>
          </w:tcPr>
          <w:p w14:paraId="3DACEFF4" w14:textId="77777777" w:rsidR="004079B4" w:rsidRPr="004C23F4" w:rsidRDefault="002E0D61" w:rsidP="00F4402E">
            <w:pPr>
              <w:pStyle w:val="Tablefont"/>
            </w:pPr>
            <w:r>
              <w:t>SCOEL</w:t>
            </w:r>
          </w:p>
        </w:tc>
        <w:tc>
          <w:tcPr>
            <w:tcW w:w="6015" w:type="dxa"/>
          </w:tcPr>
          <w:p w14:paraId="2E7E3E01" w14:textId="2D81A492" w:rsidR="002E0D61" w:rsidRPr="00DD2F9B" w:rsidRDefault="00B94EA8" w:rsidP="00DD2F9B">
            <w:pPr>
              <w:pStyle w:val="Tablefont"/>
            </w:pPr>
            <w:r>
              <w:t>—</w:t>
            </w:r>
          </w:p>
        </w:tc>
      </w:tr>
      <w:tr w:rsidR="002E0D61" w:rsidRPr="004C23F4" w14:paraId="0366E0B4" w14:textId="77777777" w:rsidTr="00812887">
        <w:trPr>
          <w:cantSplit/>
        </w:trPr>
        <w:tc>
          <w:tcPr>
            <w:tcW w:w="3227" w:type="dxa"/>
          </w:tcPr>
          <w:p w14:paraId="540886AF" w14:textId="77777777" w:rsidR="004079B4" w:rsidRDefault="002E0D61" w:rsidP="00F4402E">
            <w:pPr>
              <w:pStyle w:val="Tablefont"/>
            </w:pPr>
            <w:r>
              <w:t>HCOTN</w:t>
            </w:r>
          </w:p>
        </w:tc>
        <w:tc>
          <w:tcPr>
            <w:tcW w:w="6015" w:type="dxa"/>
          </w:tcPr>
          <w:p w14:paraId="6623B86B" w14:textId="500F8873" w:rsidR="002E0D61" w:rsidRPr="00DD2F9B" w:rsidRDefault="00B94EA8" w:rsidP="00DD2F9B">
            <w:pPr>
              <w:pStyle w:val="Tablefont"/>
            </w:pPr>
            <w:r>
              <w:t>NA</w:t>
            </w:r>
          </w:p>
        </w:tc>
      </w:tr>
      <w:tr w:rsidR="00386093" w:rsidRPr="004C23F4" w14:paraId="1D31E7F6" w14:textId="77777777" w:rsidTr="00812887">
        <w:trPr>
          <w:cantSplit/>
        </w:trPr>
        <w:tc>
          <w:tcPr>
            <w:tcW w:w="3227" w:type="dxa"/>
          </w:tcPr>
          <w:p w14:paraId="1CC70839" w14:textId="77777777" w:rsidR="004079B4" w:rsidRDefault="00386093" w:rsidP="00F4402E">
            <w:pPr>
              <w:pStyle w:val="Tablefont"/>
            </w:pPr>
            <w:r>
              <w:t>IARC</w:t>
            </w:r>
          </w:p>
        </w:tc>
        <w:tc>
          <w:tcPr>
            <w:tcW w:w="6015" w:type="dxa"/>
          </w:tcPr>
          <w:p w14:paraId="1A933A57" w14:textId="40E0867F" w:rsidR="00386093" w:rsidRPr="00DD2F9B" w:rsidRDefault="00B94EA8" w:rsidP="00DD2F9B">
            <w:pPr>
              <w:pStyle w:val="Tablefont"/>
            </w:pPr>
            <w:r>
              <w:t>NA</w:t>
            </w:r>
          </w:p>
        </w:tc>
      </w:tr>
      <w:tr w:rsidR="00386093" w:rsidRPr="004C23F4" w14:paraId="4335B254" w14:textId="77777777" w:rsidTr="00812887">
        <w:trPr>
          <w:cantSplit/>
        </w:trPr>
        <w:tc>
          <w:tcPr>
            <w:tcW w:w="3227" w:type="dxa"/>
          </w:tcPr>
          <w:p w14:paraId="1E9C7F5E" w14:textId="77777777" w:rsidR="004079B4" w:rsidRDefault="00386093" w:rsidP="00F4402E">
            <w:pPr>
              <w:pStyle w:val="Tablefont"/>
              <w:keepNext/>
            </w:pPr>
            <w:r>
              <w:t>US NIOSH</w:t>
            </w:r>
          </w:p>
        </w:tc>
        <w:tc>
          <w:tcPr>
            <w:tcW w:w="6015" w:type="dxa"/>
          </w:tcPr>
          <w:p w14:paraId="74CEF90F" w14:textId="42465CE2" w:rsidR="00386093" w:rsidRPr="00DD2F9B" w:rsidRDefault="00B94EA8" w:rsidP="00D87570">
            <w:pPr>
              <w:pStyle w:val="Tablefont"/>
              <w:keepNext/>
            </w:pPr>
            <w:r>
              <w:t>NA</w:t>
            </w:r>
          </w:p>
        </w:tc>
      </w:tr>
    </w:tbl>
    <w:bookmarkEnd w:id="2"/>
    <w:p w14:paraId="7E072058"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7270DC62"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5DC7A76A" w14:textId="77777777" w:rsidTr="00EA6243">
        <w:trPr>
          <w:cantSplit/>
          <w:tblHeader/>
        </w:trPr>
        <w:tc>
          <w:tcPr>
            <w:tcW w:w="5000" w:type="pct"/>
            <w:shd w:val="clear" w:color="auto" w:fill="BFBFBF" w:themeFill="background1" w:themeFillShade="BF"/>
            <w:vAlign w:val="center"/>
          </w:tcPr>
          <w:p w14:paraId="6EC384B9"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5AFB01EE" w14:textId="77777777" w:rsidTr="00EA6243">
        <w:trPr>
          <w:cantSplit/>
          <w:tblHeader/>
        </w:trPr>
        <w:tc>
          <w:tcPr>
            <w:tcW w:w="5000" w:type="pct"/>
            <w:vAlign w:val="center"/>
          </w:tcPr>
          <w:p w14:paraId="4F6E713D" w14:textId="33C4E14E" w:rsidR="00932DCE" w:rsidRPr="004C23F4" w:rsidRDefault="004250A5" w:rsidP="00F9496B">
            <w:pPr>
              <w:pStyle w:val="Tablefont"/>
            </w:pPr>
            <w:r>
              <w:t>Insufficient data to assign a skin notation</w:t>
            </w:r>
            <w:r w:rsidR="00FB6D19">
              <w:t>.</w:t>
            </w:r>
          </w:p>
        </w:tc>
      </w:tr>
    </w:tbl>
    <w:bookmarkEnd w:id="3"/>
    <w:p w14:paraId="6A860051"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26AF7E0D" w14:textId="77777777" w:rsidTr="00610F2E">
        <w:trPr>
          <w:trHeight w:val="454"/>
          <w:tblHeader/>
        </w:trPr>
        <w:tc>
          <w:tcPr>
            <w:tcW w:w="4361" w:type="dxa"/>
            <w:vAlign w:val="center"/>
          </w:tcPr>
          <w:p w14:paraId="31C7231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F9A8A11" w14:textId="79357A0C" w:rsidR="00EB3D1B" w:rsidRDefault="00B94EA8" w:rsidP="00EB3D1B">
                <w:pPr>
                  <w:pStyle w:val="Tablefont"/>
                </w:pPr>
                <w:r>
                  <w:t>Yes</w:t>
                </w:r>
              </w:p>
            </w:tc>
          </w:sdtContent>
        </w:sdt>
      </w:tr>
    </w:tbl>
    <w:p w14:paraId="35838454"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464C11E3" w14:textId="77777777" w:rsidTr="00EA6243">
        <w:trPr>
          <w:cantSplit/>
          <w:tblHeader/>
        </w:trPr>
        <w:tc>
          <w:tcPr>
            <w:tcW w:w="4077" w:type="dxa"/>
            <w:vAlign w:val="center"/>
          </w:tcPr>
          <w:p w14:paraId="1178488F"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E8458B6" w14:textId="77C96E7F" w:rsidR="001B79E5" w:rsidRDefault="00B94EA8" w:rsidP="001B79E5">
                <w:pPr>
                  <w:pStyle w:val="Tablefont"/>
                </w:pPr>
                <w:r w:rsidRPr="00B94EA8">
                  <w:t>128.21</w:t>
                </w:r>
              </w:p>
            </w:tc>
          </w:sdtContent>
        </w:sdt>
      </w:tr>
      <w:tr w:rsidR="00A31D99" w:rsidRPr="004C23F4" w14:paraId="582ABAF6" w14:textId="77777777" w:rsidTr="00EA6243">
        <w:trPr>
          <w:cantSplit/>
          <w:tblHeader/>
        </w:trPr>
        <w:tc>
          <w:tcPr>
            <w:tcW w:w="4077" w:type="dxa"/>
            <w:vAlign w:val="center"/>
          </w:tcPr>
          <w:p w14:paraId="6F570E26"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79C6BC17" w14:textId="0EDF647E" w:rsidR="00A31D99" w:rsidRDefault="00A0643F" w:rsidP="00A174CC">
            <w:pPr>
              <w:pStyle w:val="Tablefont"/>
            </w:pPr>
            <w:r>
              <w:t xml:space="preserve">1 ppm = </w:t>
            </w:r>
            <w:sdt>
              <w:sdtPr>
                <w:id w:val="-371151491"/>
                <w:placeholder>
                  <w:docPart w:val="A7231FB73EFF4B2B92EB3BD21C0CEA01"/>
                </w:placeholder>
              </w:sdtPr>
              <w:sdtEndPr/>
              <w:sdtContent>
                <w:r w:rsidR="00B94EA8">
                  <w:t>5.24</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B94EA8">
                  <w:t>0.191</w:t>
                </w:r>
              </w:sdtContent>
            </w:sdt>
            <w:r w:rsidRPr="00B94EA8">
              <w:t xml:space="preserve"> </w:t>
            </w:r>
            <w:r>
              <w:t>ppm</w:t>
            </w:r>
          </w:p>
        </w:tc>
      </w:tr>
      <w:tr w:rsidR="00687890" w:rsidRPr="004C23F4" w14:paraId="07B70CB4" w14:textId="77777777" w:rsidTr="00EA6243">
        <w:trPr>
          <w:cantSplit/>
          <w:tblHeader/>
        </w:trPr>
        <w:tc>
          <w:tcPr>
            <w:tcW w:w="4077" w:type="dxa"/>
            <w:vAlign w:val="center"/>
          </w:tcPr>
          <w:p w14:paraId="7A534BE7"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6893C345"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3239B01C" w14:textId="77777777" w:rsidTr="00EA6243">
        <w:trPr>
          <w:cantSplit/>
        </w:trPr>
        <w:tc>
          <w:tcPr>
            <w:tcW w:w="4077" w:type="dxa"/>
            <w:vAlign w:val="center"/>
          </w:tcPr>
          <w:p w14:paraId="146F18AE"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05128309"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63D757C9" w14:textId="77777777" w:rsidTr="00EA6243">
        <w:trPr>
          <w:cantSplit/>
        </w:trPr>
        <w:tc>
          <w:tcPr>
            <w:tcW w:w="4077" w:type="dxa"/>
            <w:vAlign w:val="center"/>
          </w:tcPr>
          <w:p w14:paraId="6A25F2B8"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4CDD60CC"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31A0F63" w14:textId="77777777" w:rsidTr="00EA6243">
        <w:trPr>
          <w:cantSplit/>
        </w:trPr>
        <w:tc>
          <w:tcPr>
            <w:tcW w:w="4077" w:type="dxa"/>
            <w:vAlign w:val="center"/>
          </w:tcPr>
          <w:p w14:paraId="574FA684" w14:textId="77777777" w:rsidR="00E06F40" w:rsidRPr="00263255" w:rsidRDefault="00E06F40" w:rsidP="00084513">
            <w:pPr>
              <w:pStyle w:val="Tablefont"/>
            </w:pPr>
            <w:r w:rsidRPr="00263255">
              <w:lastRenderedPageBreak/>
              <w:t xml:space="preserve">A biological exposure index has been recommended by </w:t>
            </w:r>
            <w:r w:rsidR="00084513">
              <w:t>these agencies</w:t>
            </w:r>
            <w:r w:rsidRPr="00263255">
              <w:t>:</w:t>
            </w:r>
          </w:p>
        </w:tc>
        <w:tc>
          <w:tcPr>
            <w:tcW w:w="5165" w:type="dxa"/>
            <w:vAlign w:val="center"/>
          </w:tcPr>
          <w:p w14:paraId="25B3F065" w14:textId="77777777" w:rsidR="00E06F40" w:rsidRPr="00A006A0" w:rsidRDefault="0070304F"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19CD0163"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36A8977D" w14:textId="77777777" w:rsidTr="00F053FA">
        <w:trPr>
          <w:tblHeader/>
        </w:trPr>
        <w:tc>
          <w:tcPr>
            <w:tcW w:w="4077" w:type="dxa"/>
            <w:shd w:val="clear" w:color="auto" w:fill="BFBFBF" w:themeFill="background1" w:themeFillShade="BF"/>
            <w:vAlign w:val="center"/>
          </w:tcPr>
          <w:p w14:paraId="68BB0430"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699C9262" w14:textId="77777777" w:rsidR="00224EE2" w:rsidRPr="004C23F4" w:rsidRDefault="00224EE2" w:rsidP="00EB3D1B">
            <w:pPr>
              <w:pStyle w:val="Tableheader"/>
              <w:keepNext/>
              <w:keepLines/>
            </w:pPr>
            <w:r>
              <w:t>Standard</w:t>
            </w:r>
          </w:p>
        </w:tc>
      </w:tr>
      <w:tr w:rsidR="007F1005" w:rsidRPr="004C23F4" w14:paraId="1EE44FD5" w14:textId="77777777" w:rsidTr="00F053FA">
        <w:trPr>
          <w:tblHeader/>
        </w:trPr>
        <w:sdt>
          <w:sdtPr>
            <w:id w:val="-25557549"/>
            <w:placeholder>
              <w:docPart w:val="2BF891C0AB704CDAB9BC6E80D556473F"/>
            </w:placeholder>
            <w:showingPlcHdr/>
            <w:text/>
          </w:sdtPr>
          <w:sdtEndPr/>
          <w:sdtContent>
            <w:tc>
              <w:tcPr>
                <w:tcW w:w="4077" w:type="dxa"/>
                <w:vAlign w:val="center"/>
              </w:tcPr>
              <w:p w14:paraId="7CC860BC"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E3413B2" w14:textId="77777777" w:rsidR="007F1005" w:rsidRPr="004C23F4" w:rsidRDefault="007F1005" w:rsidP="00EB3D1B">
            <w:pPr>
              <w:pStyle w:val="Tablefont"/>
              <w:keepLines/>
            </w:pPr>
          </w:p>
        </w:tc>
      </w:tr>
    </w:tbl>
    <w:bookmarkEnd w:id="4"/>
    <w:p w14:paraId="37D772C0" w14:textId="77777777" w:rsidR="00F87D92" w:rsidRDefault="00F87D92" w:rsidP="00EF7F78">
      <w:pPr>
        <w:pStyle w:val="Heading2"/>
        <w:tabs>
          <w:tab w:val="right" w:pos="8505"/>
        </w:tabs>
      </w:pPr>
      <w:r>
        <w:t>References</w:t>
      </w:r>
      <w:r w:rsidR="00EF7F78">
        <w:tab/>
      </w:r>
    </w:p>
    <w:p w14:paraId="5F59F774" w14:textId="1147D835"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0C3E1DB5" w14:textId="7F77BA1C" w:rsidR="00B94EA8" w:rsidRDefault="00B94EA8" w:rsidP="00084859">
      <w:r w:rsidRPr="002022B6">
        <w:t xml:space="preserve">Deutsche </w:t>
      </w:r>
      <w:proofErr w:type="spellStart"/>
      <w:r w:rsidRPr="002022B6">
        <w:t>Forschungsgemeinschaft</w:t>
      </w:r>
      <w:proofErr w:type="spellEnd"/>
      <w:r w:rsidRPr="002022B6">
        <w:t xml:space="preserve"> (DFG)</w:t>
      </w:r>
      <w:r>
        <w:t xml:space="preserve"> (</w:t>
      </w:r>
      <w:r w:rsidR="00370FDC">
        <w:t>200</w:t>
      </w:r>
      <w:r w:rsidR="00A27BBD">
        <w:t>1</w:t>
      </w:r>
      <w:r>
        <w:t xml:space="preserve">) </w:t>
      </w:r>
      <w:r w:rsidR="00370FDC">
        <w:t>5-methylheptan-3-on</w:t>
      </w:r>
      <w:r>
        <w:t xml:space="preserve"> – MAK value documentation.</w:t>
      </w:r>
    </w:p>
    <w:p w14:paraId="5A1280E0" w14:textId="4EFFAD91" w:rsidR="00B94EA8" w:rsidRDefault="00B94EA8" w:rsidP="00084859">
      <w:r w:rsidRPr="002022B6">
        <w:t>EU Scientific Committee on Occupational Exposure Limits (SCOEL)</w:t>
      </w:r>
      <w:r>
        <w:t xml:space="preserve"> (</w:t>
      </w:r>
      <w:r w:rsidR="00370FDC">
        <w:t>1991</w:t>
      </w:r>
      <w:r>
        <w:t xml:space="preserve">) Recommendation from the Scientific Committee on Occupational Exposure Limits for </w:t>
      </w:r>
      <w:r w:rsidR="00370FDC" w:rsidRPr="00370FDC">
        <w:t>5-methylheptan-3-on</w:t>
      </w:r>
      <w:r w:rsidR="00370FDC">
        <w:t>e</w:t>
      </w:r>
      <w:r>
        <w:t>. SCOEL/</w:t>
      </w:r>
      <w:r w:rsidR="00370FDC">
        <w:t>SUM/9</w:t>
      </w:r>
      <w:r>
        <w:t>.</w:t>
      </w:r>
    </w:p>
    <w:p w14:paraId="3378A66C" w14:textId="458BABDC" w:rsidR="00370FDC" w:rsidRPr="00351FE0" w:rsidRDefault="00370FDC" w:rsidP="00084859">
      <w:r w:rsidRPr="00D86E03">
        <w:t>US National Institute for Occupational Safety and Health (NIOSH)</w:t>
      </w:r>
      <w:r>
        <w:t xml:space="preserve"> (</w:t>
      </w:r>
      <w:r w:rsidRPr="00370FDC">
        <w:t>1994</w:t>
      </w:r>
      <w:r>
        <w:t xml:space="preserve">) Immediately dangerous to life or health concentrations – </w:t>
      </w:r>
      <w:r w:rsidRPr="00370FDC">
        <w:t>5-Methyl-3-heptanone</w:t>
      </w:r>
      <w:r>
        <w:t>.</w:t>
      </w:r>
    </w:p>
    <w:sectPr w:rsidR="00370FDC" w:rsidRPr="00351FE0"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4973B" w14:textId="77777777" w:rsidR="003D3622" w:rsidRDefault="003D3622" w:rsidP="00F43AD5">
      <w:pPr>
        <w:spacing w:after="0" w:line="240" w:lineRule="auto"/>
      </w:pPr>
      <w:r>
        <w:separator/>
      </w:r>
    </w:p>
  </w:endnote>
  <w:endnote w:type="continuationSeparator" w:id="0">
    <w:p w14:paraId="57FED742" w14:textId="77777777" w:rsidR="003D3622" w:rsidRDefault="003D3622"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66626" w14:textId="77777777" w:rsidR="001C7957" w:rsidRDefault="001C79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4E8B4782" w14:textId="77777777" w:rsidR="00DB45C9" w:rsidRPr="00DB45C9" w:rsidRDefault="00DB45C9" w:rsidP="00DB45C9">
        <w:pPr>
          <w:pStyle w:val="Footer"/>
          <w:rPr>
            <w:b/>
            <w:sz w:val="18"/>
            <w:szCs w:val="18"/>
          </w:rPr>
        </w:pPr>
      </w:p>
      <w:p w14:paraId="450E94F6" w14:textId="75007EA9" w:rsidR="008A36CF" w:rsidRDefault="00DB45C9" w:rsidP="00DB45C9">
        <w:pPr>
          <w:pStyle w:val="Footer"/>
          <w:rPr>
            <w:sz w:val="18"/>
            <w:szCs w:val="18"/>
          </w:rPr>
        </w:pPr>
        <w:r w:rsidRPr="00DB45C9">
          <w:rPr>
            <w:b/>
            <w:sz w:val="18"/>
            <w:szCs w:val="18"/>
          </w:rPr>
          <w:t>5-Methylheptan-3-one</w:t>
        </w:r>
        <w:r w:rsidR="008A36CF">
          <w:rPr>
            <w:b/>
            <w:sz w:val="18"/>
            <w:szCs w:val="18"/>
          </w:rPr>
          <w:t xml:space="preserve"> (</w:t>
        </w:r>
        <w:r w:rsidRPr="00DB45C9">
          <w:rPr>
            <w:b/>
            <w:sz w:val="18"/>
            <w:szCs w:val="18"/>
          </w:rPr>
          <w:t>541-85-5</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5B758DC9" w14:textId="7461487F"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382DBA">
          <w:rPr>
            <w:noProof/>
            <w:sz w:val="18"/>
            <w:szCs w:val="18"/>
          </w:rPr>
          <w:t>6</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2F0BF" w14:textId="77777777" w:rsidR="001C7957" w:rsidRDefault="001C79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41AA0" w14:textId="77777777" w:rsidR="003D3622" w:rsidRDefault="003D3622" w:rsidP="00F43AD5">
      <w:pPr>
        <w:spacing w:after="0" w:line="240" w:lineRule="auto"/>
      </w:pPr>
      <w:r>
        <w:separator/>
      </w:r>
    </w:p>
  </w:footnote>
  <w:footnote w:type="continuationSeparator" w:id="0">
    <w:p w14:paraId="2534FB44" w14:textId="77777777" w:rsidR="003D3622" w:rsidRDefault="003D3622"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847C5" w14:textId="77777777" w:rsidR="001C7957" w:rsidRDefault="001C79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24306" w14:textId="3C0D4B50" w:rsidR="004D48B9" w:rsidRDefault="004D48B9" w:rsidP="004D48B9">
    <w:pPr>
      <w:pStyle w:val="Header"/>
      <w:jc w:val="right"/>
    </w:pPr>
    <w:r>
      <w:rPr>
        <w:noProof/>
        <w:lang w:eastAsia="en-AU"/>
      </w:rPr>
      <w:drawing>
        <wp:inline distT="0" distB="0" distL="0" distR="0" wp14:anchorId="306EA73B" wp14:editId="34764A7F">
          <wp:extent cx="2943225" cy="590550"/>
          <wp:effectExtent l="0" t="0" r="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320EB09B" w14:textId="481B88F9" w:rsidR="008A36CF" w:rsidRDefault="008A36CF" w:rsidP="00F43AD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6D6FD" w14:textId="77777777" w:rsidR="001C7957" w:rsidRDefault="001C795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34685" w14:textId="40B5BCD0" w:rsidR="004D48B9" w:rsidRDefault="004D48B9" w:rsidP="004D48B9">
    <w:pPr>
      <w:pStyle w:val="Header"/>
      <w:jc w:val="right"/>
    </w:pPr>
    <w:r>
      <w:rPr>
        <w:noProof/>
        <w:lang w:eastAsia="en-AU"/>
      </w:rPr>
      <w:drawing>
        <wp:inline distT="0" distB="0" distL="0" distR="0" wp14:anchorId="61230508" wp14:editId="1A88C225">
          <wp:extent cx="2943225" cy="590550"/>
          <wp:effectExtent l="0" t="0" r="0" b="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08B375E5"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C68088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7A5AE7"/>
    <w:multiLevelType w:val="hybridMultilevel"/>
    <w:tmpl w:val="525C1D9C"/>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6C125C1"/>
    <w:multiLevelType w:val="hybridMultilevel"/>
    <w:tmpl w:val="0610CC78"/>
    <w:lvl w:ilvl="0" w:tplc="9970E168">
      <w:start w:val="5"/>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B1168DA"/>
    <w:multiLevelType w:val="hybridMultilevel"/>
    <w:tmpl w:val="9104DDE8"/>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4AA97D19"/>
    <w:multiLevelType w:val="hybridMultilevel"/>
    <w:tmpl w:val="D1AA280A"/>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60211E67"/>
    <w:multiLevelType w:val="hybridMultilevel"/>
    <w:tmpl w:val="FA88C084"/>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60A44657"/>
    <w:multiLevelType w:val="hybridMultilevel"/>
    <w:tmpl w:val="55BC86C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16cid:durableId="292255205">
    <w:abstractNumId w:val="0"/>
  </w:num>
  <w:num w:numId="2" w16cid:durableId="1526669731">
    <w:abstractNumId w:val="0"/>
  </w:num>
  <w:num w:numId="3" w16cid:durableId="1474561003">
    <w:abstractNumId w:val="0"/>
  </w:num>
  <w:num w:numId="4" w16cid:durableId="1306933135">
    <w:abstractNumId w:val="0"/>
  </w:num>
  <w:num w:numId="5" w16cid:durableId="1959725027">
    <w:abstractNumId w:val="0"/>
  </w:num>
  <w:num w:numId="6" w16cid:durableId="1945919814">
    <w:abstractNumId w:val="0"/>
  </w:num>
  <w:num w:numId="7" w16cid:durableId="426004899">
    <w:abstractNumId w:val="0"/>
  </w:num>
  <w:num w:numId="8" w16cid:durableId="728186338">
    <w:abstractNumId w:val="3"/>
  </w:num>
  <w:num w:numId="9" w16cid:durableId="2027900416">
    <w:abstractNumId w:val="6"/>
  </w:num>
  <w:num w:numId="10" w16cid:durableId="956375811">
    <w:abstractNumId w:val="5"/>
  </w:num>
  <w:num w:numId="11" w16cid:durableId="889658126">
    <w:abstractNumId w:val="2"/>
  </w:num>
  <w:num w:numId="12" w16cid:durableId="975984655">
    <w:abstractNumId w:val="4"/>
  </w:num>
  <w:num w:numId="13" w16cid:durableId="1837571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46DF5"/>
    <w:rsid w:val="00052060"/>
    <w:rsid w:val="0005574A"/>
    <w:rsid w:val="00055FE1"/>
    <w:rsid w:val="00056EC2"/>
    <w:rsid w:val="00060B48"/>
    <w:rsid w:val="00067F32"/>
    <w:rsid w:val="00071807"/>
    <w:rsid w:val="000803E1"/>
    <w:rsid w:val="00084513"/>
    <w:rsid w:val="00084859"/>
    <w:rsid w:val="00092D94"/>
    <w:rsid w:val="000A69D6"/>
    <w:rsid w:val="000A79BA"/>
    <w:rsid w:val="000B0868"/>
    <w:rsid w:val="000B3E12"/>
    <w:rsid w:val="000B3E78"/>
    <w:rsid w:val="000B7478"/>
    <w:rsid w:val="000B7B48"/>
    <w:rsid w:val="000C096D"/>
    <w:rsid w:val="000C139A"/>
    <w:rsid w:val="000C2053"/>
    <w:rsid w:val="000C248C"/>
    <w:rsid w:val="000D291C"/>
    <w:rsid w:val="000E554F"/>
    <w:rsid w:val="000E5A54"/>
    <w:rsid w:val="000E63D3"/>
    <w:rsid w:val="000E67CF"/>
    <w:rsid w:val="0010461E"/>
    <w:rsid w:val="00106FAA"/>
    <w:rsid w:val="00113443"/>
    <w:rsid w:val="001269A7"/>
    <w:rsid w:val="00131092"/>
    <w:rsid w:val="00140E6A"/>
    <w:rsid w:val="00143160"/>
    <w:rsid w:val="00144C2F"/>
    <w:rsid w:val="00146545"/>
    <w:rsid w:val="00146B75"/>
    <w:rsid w:val="0015266D"/>
    <w:rsid w:val="0015288A"/>
    <w:rsid w:val="00160F47"/>
    <w:rsid w:val="00177CA1"/>
    <w:rsid w:val="00183823"/>
    <w:rsid w:val="00183942"/>
    <w:rsid w:val="001A009E"/>
    <w:rsid w:val="001A1287"/>
    <w:rsid w:val="001A3859"/>
    <w:rsid w:val="001A3C9D"/>
    <w:rsid w:val="001A43F8"/>
    <w:rsid w:val="001B79E5"/>
    <w:rsid w:val="001C7957"/>
    <w:rsid w:val="001D56F0"/>
    <w:rsid w:val="001D663B"/>
    <w:rsid w:val="001D7B41"/>
    <w:rsid w:val="001E46DA"/>
    <w:rsid w:val="001E7D80"/>
    <w:rsid w:val="001F4B6C"/>
    <w:rsid w:val="001F62CB"/>
    <w:rsid w:val="001F6ED0"/>
    <w:rsid w:val="001F72E6"/>
    <w:rsid w:val="001F73C5"/>
    <w:rsid w:val="002046A6"/>
    <w:rsid w:val="00204956"/>
    <w:rsid w:val="00213640"/>
    <w:rsid w:val="00221547"/>
    <w:rsid w:val="002216FC"/>
    <w:rsid w:val="00222533"/>
    <w:rsid w:val="00222F30"/>
    <w:rsid w:val="00223790"/>
    <w:rsid w:val="00224EE2"/>
    <w:rsid w:val="0022655A"/>
    <w:rsid w:val="00227EC7"/>
    <w:rsid w:val="00235972"/>
    <w:rsid w:val="00240C01"/>
    <w:rsid w:val="00244AD1"/>
    <w:rsid w:val="002463BC"/>
    <w:rsid w:val="002465CE"/>
    <w:rsid w:val="0025734A"/>
    <w:rsid w:val="00263255"/>
    <w:rsid w:val="00263A55"/>
    <w:rsid w:val="00276494"/>
    <w:rsid w:val="00277B0C"/>
    <w:rsid w:val="002A65AA"/>
    <w:rsid w:val="002B1A2C"/>
    <w:rsid w:val="002B1F21"/>
    <w:rsid w:val="002B3744"/>
    <w:rsid w:val="002C34F2"/>
    <w:rsid w:val="002C58FF"/>
    <w:rsid w:val="002C7AFE"/>
    <w:rsid w:val="002D05D2"/>
    <w:rsid w:val="002D7814"/>
    <w:rsid w:val="002E0D61"/>
    <w:rsid w:val="002E4C7B"/>
    <w:rsid w:val="0030740C"/>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2895"/>
    <w:rsid w:val="00370DBF"/>
    <w:rsid w:val="00370FDC"/>
    <w:rsid w:val="0037319C"/>
    <w:rsid w:val="00382DBA"/>
    <w:rsid w:val="00384F2F"/>
    <w:rsid w:val="00386093"/>
    <w:rsid w:val="003904A4"/>
    <w:rsid w:val="00391841"/>
    <w:rsid w:val="00391B6D"/>
    <w:rsid w:val="00394922"/>
    <w:rsid w:val="003A0E32"/>
    <w:rsid w:val="003A2B94"/>
    <w:rsid w:val="003B387D"/>
    <w:rsid w:val="003C0D58"/>
    <w:rsid w:val="003D1EFA"/>
    <w:rsid w:val="003D3622"/>
    <w:rsid w:val="003D4FA3"/>
    <w:rsid w:val="003E0807"/>
    <w:rsid w:val="003E51FB"/>
    <w:rsid w:val="003E6B39"/>
    <w:rsid w:val="003F07E1"/>
    <w:rsid w:val="004030BC"/>
    <w:rsid w:val="00403F7D"/>
    <w:rsid w:val="00406785"/>
    <w:rsid w:val="004079B4"/>
    <w:rsid w:val="00417A56"/>
    <w:rsid w:val="00420957"/>
    <w:rsid w:val="00422A10"/>
    <w:rsid w:val="004250A5"/>
    <w:rsid w:val="00427061"/>
    <w:rsid w:val="00430179"/>
    <w:rsid w:val="004414B5"/>
    <w:rsid w:val="00444482"/>
    <w:rsid w:val="00444B42"/>
    <w:rsid w:val="00445E44"/>
    <w:rsid w:val="0045040E"/>
    <w:rsid w:val="004509E2"/>
    <w:rsid w:val="004515EE"/>
    <w:rsid w:val="004529F0"/>
    <w:rsid w:val="00460A03"/>
    <w:rsid w:val="00472A11"/>
    <w:rsid w:val="00472AAD"/>
    <w:rsid w:val="00474E33"/>
    <w:rsid w:val="00476803"/>
    <w:rsid w:val="00477795"/>
    <w:rsid w:val="00485BFD"/>
    <w:rsid w:val="004867A2"/>
    <w:rsid w:val="004873F2"/>
    <w:rsid w:val="00490D4C"/>
    <w:rsid w:val="00493A35"/>
    <w:rsid w:val="0049527A"/>
    <w:rsid w:val="004966BF"/>
    <w:rsid w:val="00497984"/>
    <w:rsid w:val="004A5088"/>
    <w:rsid w:val="004C1E3F"/>
    <w:rsid w:val="004C23F4"/>
    <w:rsid w:val="004C3475"/>
    <w:rsid w:val="004C58B6"/>
    <w:rsid w:val="004D16A3"/>
    <w:rsid w:val="004D252A"/>
    <w:rsid w:val="004D48B9"/>
    <w:rsid w:val="004D4AA1"/>
    <w:rsid w:val="004D6D68"/>
    <w:rsid w:val="004E5EDD"/>
    <w:rsid w:val="004F448A"/>
    <w:rsid w:val="004F493D"/>
    <w:rsid w:val="004F65E8"/>
    <w:rsid w:val="0050005E"/>
    <w:rsid w:val="00502B88"/>
    <w:rsid w:val="005142C4"/>
    <w:rsid w:val="0051509C"/>
    <w:rsid w:val="005272E2"/>
    <w:rsid w:val="0053108F"/>
    <w:rsid w:val="00532B56"/>
    <w:rsid w:val="00534B10"/>
    <w:rsid w:val="005446A2"/>
    <w:rsid w:val="00544D2F"/>
    <w:rsid w:val="00551BD8"/>
    <w:rsid w:val="00581055"/>
    <w:rsid w:val="00591E38"/>
    <w:rsid w:val="005A19C5"/>
    <w:rsid w:val="005A3034"/>
    <w:rsid w:val="005A462D"/>
    <w:rsid w:val="005B253B"/>
    <w:rsid w:val="005B771D"/>
    <w:rsid w:val="005C5D16"/>
    <w:rsid w:val="005D3193"/>
    <w:rsid w:val="005D4A6E"/>
    <w:rsid w:val="005E6979"/>
    <w:rsid w:val="005E75CB"/>
    <w:rsid w:val="006013C1"/>
    <w:rsid w:val="0060669E"/>
    <w:rsid w:val="00610F2E"/>
    <w:rsid w:val="00611399"/>
    <w:rsid w:val="00624C4E"/>
    <w:rsid w:val="00625200"/>
    <w:rsid w:val="006363A8"/>
    <w:rsid w:val="00636DB7"/>
    <w:rsid w:val="00650905"/>
    <w:rsid w:val="006532ED"/>
    <w:rsid w:val="006549F2"/>
    <w:rsid w:val="006567B7"/>
    <w:rsid w:val="00657BFB"/>
    <w:rsid w:val="0066333C"/>
    <w:rsid w:val="006639B4"/>
    <w:rsid w:val="006650FE"/>
    <w:rsid w:val="0067305D"/>
    <w:rsid w:val="00676D9E"/>
    <w:rsid w:val="00677D9B"/>
    <w:rsid w:val="006867F3"/>
    <w:rsid w:val="00687890"/>
    <w:rsid w:val="006901A2"/>
    <w:rsid w:val="00690368"/>
    <w:rsid w:val="0069079C"/>
    <w:rsid w:val="00690B53"/>
    <w:rsid w:val="00695B72"/>
    <w:rsid w:val="006A6BC7"/>
    <w:rsid w:val="006B160A"/>
    <w:rsid w:val="006B4E6C"/>
    <w:rsid w:val="006B50B6"/>
    <w:rsid w:val="006D79EA"/>
    <w:rsid w:val="006E0A33"/>
    <w:rsid w:val="006E5D05"/>
    <w:rsid w:val="006F06BC"/>
    <w:rsid w:val="00701053"/>
    <w:rsid w:val="00701507"/>
    <w:rsid w:val="0070304F"/>
    <w:rsid w:val="00714021"/>
    <w:rsid w:val="00716A0F"/>
    <w:rsid w:val="00717D45"/>
    <w:rsid w:val="007208F7"/>
    <w:rsid w:val="00720B50"/>
    <w:rsid w:val="007218AF"/>
    <w:rsid w:val="007365D1"/>
    <w:rsid w:val="00740E0E"/>
    <w:rsid w:val="0075012E"/>
    <w:rsid w:val="00750212"/>
    <w:rsid w:val="00754779"/>
    <w:rsid w:val="0075716D"/>
    <w:rsid w:val="00765F14"/>
    <w:rsid w:val="00770E31"/>
    <w:rsid w:val="007770F1"/>
    <w:rsid w:val="00783FB1"/>
    <w:rsid w:val="00785CDD"/>
    <w:rsid w:val="00791847"/>
    <w:rsid w:val="007925F0"/>
    <w:rsid w:val="007939B3"/>
    <w:rsid w:val="0079509C"/>
    <w:rsid w:val="00796708"/>
    <w:rsid w:val="007B1B42"/>
    <w:rsid w:val="007C30EB"/>
    <w:rsid w:val="007C5F82"/>
    <w:rsid w:val="007C7535"/>
    <w:rsid w:val="007E063C"/>
    <w:rsid w:val="007E2A4B"/>
    <w:rsid w:val="007E307D"/>
    <w:rsid w:val="007E6A4E"/>
    <w:rsid w:val="007E6C94"/>
    <w:rsid w:val="007F1005"/>
    <w:rsid w:val="007F25E0"/>
    <w:rsid w:val="007F5328"/>
    <w:rsid w:val="00804F5A"/>
    <w:rsid w:val="00810C6D"/>
    <w:rsid w:val="00812887"/>
    <w:rsid w:val="00826F21"/>
    <w:rsid w:val="008334F0"/>
    <w:rsid w:val="00834CC8"/>
    <w:rsid w:val="00835E00"/>
    <w:rsid w:val="008360C9"/>
    <w:rsid w:val="00837113"/>
    <w:rsid w:val="008414E4"/>
    <w:rsid w:val="00843E21"/>
    <w:rsid w:val="0084508E"/>
    <w:rsid w:val="00846511"/>
    <w:rsid w:val="008579DB"/>
    <w:rsid w:val="00857A8A"/>
    <w:rsid w:val="008630EE"/>
    <w:rsid w:val="00864D13"/>
    <w:rsid w:val="00871CD5"/>
    <w:rsid w:val="008745A2"/>
    <w:rsid w:val="008768A8"/>
    <w:rsid w:val="0088798F"/>
    <w:rsid w:val="00887E4B"/>
    <w:rsid w:val="008915C8"/>
    <w:rsid w:val="008A36CF"/>
    <w:rsid w:val="008A3BC4"/>
    <w:rsid w:val="008B403C"/>
    <w:rsid w:val="008B7983"/>
    <w:rsid w:val="008C2511"/>
    <w:rsid w:val="008C3369"/>
    <w:rsid w:val="008D026D"/>
    <w:rsid w:val="008D23AB"/>
    <w:rsid w:val="008D306F"/>
    <w:rsid w:val="008D4B8B"/>
    <w:rsid w:val="008D5A78"/>
    <w:rsid w:val="008E7B64"/>
    <w:rsid w:val="008F5DCD"/>
    <w:rsid w:val="00900951"/>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651F1"/>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D3B5A"/>
    <w:rsid w:val="009D5C98"/>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5506"/>
    <w:rsid w:val="00A26154"/>
    <w:rsid w:val="00A27BBD"/>
    <w:rsid w:val="00A27E2D"/>
    <w:rsid w:val="00A31D99"/>
    <w:rsid w:val="00A357BA"/>
    <w:rsid w:val="00A35ADC"/>
    <w:rsid w:val="00A402A3"/>
    <w:rsid w:val="00A53681"/>
    <w:rsid w:val="00A633D4"/>
    <w:rsid w:val="00A6461A"/>
    <w:rsid w:val="00A84504"/>
    <w:rsid w:val="00A8672F"/>
    <w:rsid w:val="00A93057"/>
    <w:rsid w:val="00A968B0"/>
    <w:rsid w:val="00AB2672"/>
    <w:rsid w:val="00AB2817"/>
    <w:rsid w:val="00AB43C4"/>
    <w:rsid w:val="00AC32E7"/>
    <w:rsid w:val="00AC3A9F"/>
    <w:rsid w:val="00AC6D2F"/>
    <w:rsid w:val="00AE2745"/>
    <w:rsid w:val="00AE2F64"/>
    <w:rsid w:val="00AF42CB"/>
    <w:rsid w:val="00AF483F"/>
    <w:rsid w:val="00AF5E07"/>
    <w:rsid w:val="00AF5F06"/>
    <w:rsid w:val="00B00A25"/>
    <w:rsid w:val="00B1404B"/>
    <w:rsid w:val="00B1422A"/>
    <w:rsid w:val="00B1765C"/>
    <w:rsid w:val="00B213C4"/>
    <w:rsid w:val="00B40C60"/>
    <w:rsid w:val="00B479A9"/>
    <w:rsid w:val="00B52EDF"/>
    <w:rsid w:val="00B57240"/>
    <w:rsid w:val="00B64283"/>
    <w:rsid w:val="00B64F9A"/>
    <w:rsid w:val="00B71188"/>
    <w:rsid w:val="00B76A41"/>
    <w:rsid w:val="00B87D4C"/>
    <w:rsid w:val="00B93646"/>
    <w:rsid w:val="00B94EA8"/>
    <w:rsid w:val="00B95097"/>
    <w:rsid w:val="00BA0B38"/>
    <w:rsid w:val="00BA1DBB"/>
    <w:rsid w:val="00BA43B3"/>
    <w:rsid w:val="00BA4510"/>
    <w:rsid w:val="00BA529A"/>
    <w:rsid w:val="00BB612A"/>
    <w:rsid w:val="00BD499F"/>
    <w:rsid w:val="00BD56DE"/>
    <w:rsid w:val="00BF2406"/>
    <w:rsid w:val="00C016D4"/>
    <w:rsid w:val="00C06E43"/>
    <w:rsid w:val="00C157A7"/>
    <w:rsid w:val="00C16315"/>
    <w:rsid w:val="00C3091E"/>
    <w:rsid w:val="00C40FF1"/>
    <w:rsid w:val="00C419E2"/>
    <w:rsid w:val="00C5020E"/>
    <w:rsid w:val="00C57452"/>
    <w:rsid w:val="00C61EDF"/>
    <w:rsid w:val="00C6239D"/>
    <w:rsid w:val="00C6316B"/>
    <w:rsid w:val="00C6594B"/>
    <w:rsid w:val="00C67FFB"/>
    <w:rsid w:val="00C7155E"/>
    <w:rsid w:val="00C71D1E"/>
    <w:rsid w:val="00C71D7D"/>
    <w:rsid w:val="00C74833"/>
    <w:rsid w:val="00C850A0"/>
    <w:rsid w:val="00C85A86"/>
    <w:rsid w:val="00C9598E"/>
    <w:rsid w:val="00C978F0"/>
    <w:rsid w:val="00CA58FE"/>
    <w:rsid w:val="00CB1CB1"/>
    <w:rsid w:val="00CB6BC1"/>
    <w:rsid w:val="00CB6CB8"/>
    <w:rsid w:val="00CC1A68"/>
    <w:rsid w:val="00CC2123"/>
    <w:rsid w:val="00CD2BFD"/>
    <w:rsid w:val="00CE4DBE"/>
    <w:rsid w:val="00CE4E32"/>
    <w:rsid w:val="00CE5AD6"/>
    <w:rsid w:val="00CE617F"/>
    <w:rsid w:val="00CE78EF"/>
    <w:rsid w:val="00D030F6"/>
    <w:rsid w:val="00D048F7"/>
    <w:rsid w:val="00D0517E"/>
    <w:rsid w:val="00D140FC"/>
    <w:rsid w:val="00D21D8C"/>
    <w:rsid w:val="00D31357"/>
    <w:rsid w:val="00D33220"/>
    <w:rsid w:val="00D334D1"/>
    <w:rsid w:val="00D44C89"/>
    <w:rsid w:val="00D516CD"/>
    <w:rsid w:val="00D668E6"/>
    <w:rsid w:val="00D70670"/>
    <w:rsid w:val="00D74D80"/>
    <w:rsid w:val="00D76624"/>
    <w:rsid w:val="00D87570"/>
    <w:rsid w:val="00D91CB9"/>
    <w:rsid w:val="00D965C1"/>
    <w:rsid w:val="00D97989"/>
    <w:rsid w:val="00D97D8D"/>
    <w:rsid w:val="00DA352E"/>
    <w:rsid w:val="00DA3EDD"/>
    <w:rsid w:val="00DA419B"/>
    <w:rsid w:val="00DB45C9"/>
    <w:rsid w:val="00DC7694"/>
    <w:rsid w:val="00DD1BF6"/>
    <w:rsid w:val="00DD2F9B"/>
    <w:rsid w:val="00DE00CE"/>
    <w:rsid w:val="00DE2513"/>
    <w:rsid w:val="00DE26E8"/>
    <w:rsid w:val="00DF6F36"/>
    <w:rsid w:val="00E0084C"/>
    <w:rsid w:val="00E025AB"/>
    <w:rsid w:val="00E02B23"/>
    <w:rsid w:val="00E0354A"/>
    <w:rsid w:val="00E06F40"/>
    <w:rsid w:val="00E07CE8"/>
    <w:rsid w:val="00E26A07"/>
    <w:rsid w:val="00E32595"/>
    <w:rsid w:val="00E37CFD"/>
    <w:rsid w:val="00E41A26"/>
    <w:rsid w:val="00E46BCB"/>
    <w:rsid w:val="00E51CAF"/>
    <w:rsid w:val="00E60D29"/>
    <w:rsid w:val="00E60F04"/>
    <w:rsid w:val="00E62AAC"/>
    <w:rsid w:val="00E65615"/>
    <w:rsid w:val="00E67C2F"/>
    <w:rsid w:val="00E67EF5"/>
    <w:rsid w:val="00E804EA"/>
    <w:rsid w:val="00E80A71"/>
    <w:rsid w:val="00E82337"/>
    <w:rsid w:val="00E92499"/>
    <w:rsid w:val="00E949AF"/>
    <w:rsid w:val="00E9532C"/>
    <w:rsid w:val="00E96077"/>
    <w:rsid w:val="00EA0A06"/>
    <w:rsid w:val="00EA6243"/>
    <w:rsid w:val="00EA74AB"/>
    <w:rsid w:val="00EB3D1B"/>
    <w:rsid w:val="00ED1D89"/>
    <w:rsid w:val="00ED66BC"/>
    <w:rsid w:val="00EF233A"/>
    <w:rsid w:val="00EF28DD"/>
    <w:rsid w:val="00EF303E"/>
    <w:rsid w:val="00EF3A40"/>
    <w:rsid w:val="00EF7F78"/>
    <w:rsid w:val="00F01B08"/>
    <w:rsid w:val="00F01C4D"/>
    <w:rsid w:val="00F047A8"/>
    <w:rsid w:val="00F053FA"/>
    <w:rsid w:val="00F10C97"/>
    <w:rsid w:val="00F11C71"/>
    <w:rsid w:val="00F16019"/>
    <w:rsid w:val="00F20E68"/>
    <w:rsid w:val="00F22093"/>
    <w:rsid w:val="00F236DF"/>
    <w:rsid w:val="00F2732A"/>
    <w:rsid w:val="00F43AD5"/>
    <w:rsid w:val="00F4402E"/>
    <w:rsid w:val="00F56DD0"/>
    <w:rsid w:val="00F6491C"/>
    <w:rsid w:val="00F6537A"/>
    <w:rsid w:val="00F67BBB"/>
    <w:rsid w:val="00F87D92"/>
    <w:rsid w:val="00F90AA7"/>
    <w:rsid w:val="00F92498"/>
    <w:rsid w:val="00F9496B"/>
    <w:rsid w:val="00F970C9"/>
    <w:rsid w:val="00FA06A8"/>
    <w:rsid w:val="00FA3DF5"/>
    <w:rsid w:val="00FA741F"/>
    <w:rsid w:val="00FB4E07"/>
    <w:rsid w:val="00FB6D19"/>
    <w:rsid w:val="00FB755A"/>
    <w:rsid w:val="00FC3B16"/>
    <w:rsid w:val="00FC46B8"/>
    <w:rsid w:val="00FC60A2"/>
    <w:rsid w:val="00FD1871"/>
    <w:rsid w:val="00FD3110"/>
    <w:rsid w:val="00FF5C3D"/>
    <w:rsid w:val="00FF7E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090C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B64F9A"/>
    <w:pPr>
      <w:numPr>
        <w:numId w:val="1"/>
      </w:numPr>
      <w:contextualSpacing/>
    </w:pPr>
  </w:style>
  <w:style w:type="character" w:styleId="CommentReference">
    <w:name w:val="annotation reference"/>
    <w:basedOn w:val="DefaultParagraphFont"/>
    <w:uiPriority w:val="99"/>
    <w:semiHidden/>
    <w:unhideWhenUsed/>
    <w:rsid w:val="00E9532C"/>
    <w:rPr>
      <w:sz w:val="16"/>
      <w:szCs w:val="16"/>
    </w:rPr>
  </w:style>
  <w:style w:type="paragraph" w:styleId="CommentText">
    <w:name w:val="annotation text"/>
    <w:basedOn w:val="Normal"/>
    <w:link w:val="CommentTextChar"/>
    <w:uiPriority w:val="99"/>
    <w:unhideWhenUsed/>
    <w:rsid w:val="00E9532C"/>
    <w:pPr>
      <w:spacing w:line="240" w:lineRule="auto"/>
    </w:pPr>
    <w:rPr>
      <w:szCs w:val="20"/>
    </w:rPr>
  </w:style>
  <w:style w:type="character" w:customStyle="1" w:styleId="CommentTextChar">
    <w:name w:val="Comment Text Char"/>
    <w:basedOn w:val="DefaultParagraphFont"/>
    <w:link w:val="CommentText"/>
    <w:uiPriority w:val="99"/>
    <w:rsid w:val="00E9532C"/>
    <w:rPr>
      <w:szCs w:val="20"/>
    </w:rPr>
  </w:style>
  <w:style w:type="paragraph" w:styleId="CommentSubject">
    <w:name w:val="annotation subject"/>
    <w:basedOn w:val="CommentText"/>
    <w:next w:val="CommentText"/>
    <w:link w:val="CommentSubjectChar"/>
    <w:uiPriority w:val="99"/>
    <w:semiHidden/>
    <w:unhideWhenUsed/>
    <w:rsid w:val="00E9532C"/>
    <w:rPr>
      <w:b/>
      <w:bCs/>
    </w:rPr>
  </w:style>
  <w:style w:type="character" w:customStyle="1" w:styleId="CommentSubjectChar">
    <w:name w:val="Comment Subject Char"/>
    <w:basedOn w:val="CommentTextChar"/>
    <w:link w:val="CommentSubject"/>
    <w:uiPriority w:val="99"/>
    <w:semiHidden/>
    <w:rsid w:val="00E9532C"/>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630606">
      <w:bodyDiv w:val="1"/>
      <w:marLeft w:val="0"/>
      <w:marRight w:val="0"/>
      <w:marTop w:val="0"/>
      <w:marBottom w:val="0"/>
      <w:divBdr>
        <w:top w:val="none" w:sz="0" w:space="0" w:color="auto"/>
        <w:left w:val="none" w:sz="0" w:space="0" w:color="auto"/>
        <w:bottom w:val="none" w:sz="0" w:space="0" w:color="auto"/>
        <w:right w:val="none" w:sz="0" w:space="0" w:color="auto"/>
      </w:divBdr>
    </w:div>
    <w:div w:id="165899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395F61CADC7E49F8B133799FF3C433BC"/>
        <w:category>
          <w:name w:val="General"/>
          <w:gallery w:val="placeholder"/>
        </w:category>
        <w:types>
          <w:type w:val="bbPlcHdr"/>
        </w:types>
        <w:behaviors>
          <w:behavior w:val="content"/>
        </w:behaviors>
        <w:guid w:val="{BFF70AE4-B783-44D5-AB15-7EA38F408B7E}"/>
      </w:docPartPr>
      <w:docPartBody>
        <w:p w:rsidR="00562ED9" w:rsidRDefault="003F492C" w:rsidP="003F492C">
          <w:pPr>
            <w:pStyle w:val="395F61CADC7E49F8B133799FF3C433BC"/>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67050"/>
    <w:rsid w:val="000B7478"/>
    <w:rsid w:val="003F492C"/>
    <w:rsid w:val="00562ED9"/>
    <w:rsid w:val="0075012E"/>
    <w:rsid w:val="00947AE8"/>
    <w:rsid w:val="00D21A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492C"/>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395F61CADC7E49F8B133799FF3C433BC">
    <w:name w:val="395F61CADC7E49F8B133799FF3C433BC"/>
    <w:rsid w:val="003F49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E0DC9B-6362-4EC9-BDDE-0EAB049DA2C8}">
  <ds:schemaRefs>
    <ds:schemaRef ds:uri="http://schemas.microsoft.com/sharepoint/v3/contenttype/forms"/>
  </ds:schemaRefs>
</ds:datastoreItem>
</file>

<file path=customXml/itemProps2.xml><?xml version="1.0" encoding="utf-8"?>
<ds:datastoreItem xmlns:ds="http://schemas.openxmlformats.org/officeDocument/2006/customXml" ds:itemID="{98C10D59-ED0E-4116-B558-2D54881E7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3C8779-AC99-4B36-89CB-AC63107D96E6}">
  <ds:schemaRefs>
    <ds:schemaRef ds:uri="http://schemas.openxmlformats.org/officeDocument/2006/bibliography"/>
  </ds:schemaRefs>
</ds:datastoreItem>
</file>

<file path=customXml/itemProps4.xml><?xml version="1.0" encoding="utf-8"?>
<ds:datastoreItem xmlns:ds="http://schemas.openxmlformats.org/officeDocument/2006/customXml" ds:itemID="{ABD0A47D-0FB2-45FD-87DD-D419581C850B}">
  <ds:schemaRefs>
    <ds:schemaRef ds:uri="http://schemas.microsoft.com/office/2006/documentManagement/types"/>
    <ds:schemaRef ds:uri="http://schemas.microsoft.com/office/2006/metadata/properties"/>
    <ds:schemaRef ds:uri="a0509f21-ed56-4150-9955-96be669e5f2d"/>
    <ds:schemaRef ds:uri="http://purl.org/dc/dcmitype/"/>
    <ds:schemaRef ds:uri="http://schemas.microsoft.com/office/infopath/2007/PartnerControls"/>
    <ds:schemaRef ds:uri="http://www.w3.org/XML/1998/namespace"/>
    <ds:schemaRef ds:uri="http://schemas.openxmlformats.org/package/2006/metadata/core-properties"/>
    <ds:schemaRef ds:uri="1c567317-0c4d-4a62-8516-c22afd1b5354"/>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1327</Words>
  <Characters>7566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2020-01-22T00:28:00Z</dcterms:created>
  <dcterms:modified xsi:type="dcterms:W3CDTF">2026-01-08T23:44:00Z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2026-01-02T03:16:02Z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6c497d5c-9d93-45b1-89ee-fefd6cca14d7</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