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7EAA69B" w14:textId="01655A55" w:rsidR="00BD499F" w:rsidRPr="004C23F4" w:rsidRDefault="005B59E7" w:rsidP="00B40C60">
          <w:pPr>
            <w:pStyle w:val="Heading1"/>
            <w:jc w:val="center"/>
            <w:rPr>
              <w:rFonts w:ascii="Arial" w:hAnsi="Arial" w:cs="Arial"/>
            </w:rPr>
          </w:pPr>
          <w:r w:rsidRPr="005B59E7">
            <w:rPr>
              <w:rFonts w:ascii="Arial" w:hAnsi="Arial" w:cs="Arial"/>
            </w:rPr>
            <w:t>4,4'-Methylene dianili</w:t>
          </w:r>
          <w:r w:rsidR="009E3C1D">
            <w:rPr>
              <w:rFonts w:ascii="Arial" w:hAnsi="Arial" w:cs="Arial"/>
            </w:rPr>
            <w:t>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6"/>
        <w:gridCol w:w="5060"/>
      </w:tblGrid>
      <w:tr w:rsidR="00F43AD5" w:rsidRPr="004C23F4" w14:paraId="6052846B" w14:textId="77777777" w:rsidTr="00B76A41">
        <w:trPr>
          <w:cantSplit/>
          <w:tblHeader/>
        </w:trPr>
        <w:tc>
          <w:tcPr>
            <w:tcW w:w="4077" w:type="dxa"/>
          </w:tcPr>
          <w:p w14:paraId="7006576E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550FF8" w14:textId="36F15217" w:rsidR="00F43AD5" w:rsidRPr="00717D45" w:rsidRDefault="005B59E7" w:rsidP="00B76A41">
            <w:pPr>
              <w:pStyle w:val="Tablefont"/>
            </w:pPr>
            <w:r w:rsidRPr="005B59E7">
              <w:t>101-77-9</w:t>
            </w:r>
          </w:p>
        </w:tc>
      </w:tr>
      <w:tr w:rsidR="00F43AD5" w:rsidRPr="004C23F4" w14:paraId="3159AAC4" w14:textId="77777777" w:rsidTr="00B76A41">
        <w:trPr>
          <w:cantSplit/>
        </w:trPr>
        <w:tc>
          <w:tcPr>
            <w:tcW w:w="4077" w:type="dxa"/>
          </w:tcPr>
          <w:p w14:paraId="58AEE93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935D5D8" w14:textId="22B23352" w:rsidR="00F43AD5" w:rsidRPr="00717D45" w:rsidRDefault="00BD0185" w:rsidP="00B76A41">
            <w:pPr>
              <w:pStyle w:val="Tablefont"/>
            </w:pPr>
            <w:r w:rsidRPr="00BD0185">
              <w:t>DADPM</w:t>
            </w:r>
            <w:r>
              <w:t xml:space="preserve">, </w:t>
            </w:r>
            <w:r w:rsidRPr="00BD0185">
              <w:t>DDM</w:t>
            </w:r>
            <w:r>
              <w:t xml:space="preserve">, </w:t>
            </w:r>
            <w:r w:rsidRPr="00BD0185">
              <w:t>p,p'-Diaminodiphenylmethane</w:t>
            </w:r>
            <w:r>
              <w:t xml:space="preserve">, </w:t>
            </w:r>
            <w:r w:rsidRPr="00BD0185">
              <w:t>MDA</w:t>
            </w:r>
          </w:p>
        </w:tc>
      </w:tr>
      <w:tr w:rsidR="00F43AD5" w:rsidRPr="004C23F4" w14:paraId="5D44F163" w14:textId="77777777" w:rsidTr="00B76A41">
        <w:trPr>
          <w:cantSplit/>
        </w:trPr>
        <w:tc>
          <w:tcPr>
            <w:tcW w:w="4077" w:type="dxa"/>
          </w:tcPr>
          <w:p w14:paraId="57F8FF3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6649F6E" w14:textId="396A6B46" w:rsidR="00F43AD5" w:rsidRPr="00717D45" w:rsidRDefault="00BD0185" w:rsidP="00B76A41">
            <w:pPr>
              <w:pStyle w:val="Tablefont"/>
            </w:pPr>
            <w:r>
              <w:t>C</w:t>
            </w:r>
            <w:r w:rsidRPr="00BD0185">
              <w:rPr>
                <w:vertAlign w:val="subscript"/>
              </w:rPr>
              <w:t>13</w:t>
            </w:r>
            <w:r>
              <w:t>H</w:t>
            </w:r>
            <w:r w:rsidRPr="00BD0185">
              <w:rPr>
                <w:vertAlign w:val="subscript"/>
              </w:rPr>
              <w:t>14</w:t>
            </w:r>
            <w:r>
              <w:t>N</w:t>
            </w:r>
            <w:r w:rsidRPr="00BD0185">
              <w:rPr>
                <w:vertAlign w:val="subscript"/>
              </w:rPr>
              <w:t>2</w:t>
            </w:r>
          </w:p>
        </w:tc>
      </w:tr>
      <w:tr w:rsidR="00F43AD5" w:rsidRPr="004C23F4" w14:paraId="6A1114F2" w14:textId="77777777" w:rsidTr="00B76A41">
        <w:trPr>
          <w:cantSplit/>
        </w:trPr>
        <w:tc>
          <w:tcPr>
            <w:tcW w:w="4077" w:type="dxa"/>
          </w:tcPr>
          <w:p w14:paraId="38ED462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1A9CC59" w14:textId="363BF25C" w:rsidR="00F43AD5" w:rsidRPr="00B40C60" w:rsidRDefault="00BD0185" w:rsidP="00B76A41">
            <w:pPr>
              <w:pStyle w:val="Tablerowheading"/>
              <w:rPr>
                <w:b w:val="0"/>
              </w:rPr>
            </w:pPr>
            <w:r w:rsidRPr="00BD0185">
              <w:rPr>
                <w:b w:val="0"/>
              </w:rPr>
              <w:t>—</w:t>
            </w:r>
          </w:p>
        </w:tc>
      </w:tr>
    </w:tbl>
    <w:p w14:paraId="2C5D84F9" w14:textId="7957C71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50A98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CA274F1" w14:textId="77777777" w:rsidTr="00305CAE">
        <w:trPr>
          <w:cantSplit/>
          <w:tblHeader/>
        </w:trPr>
        <w:tc>
          <w:tcPr>
            <w:tcW w:w="4010" w:type="dxa"/>
            <w:vAlign w:val="center"/>
          </w:tcPr>
          <w:p w14:paraId="1AC30978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74EFF3C" w14:textId="1F67B243" w:rsidR="002C7AFE" w:rsidRPr="0093764F" w:rsidRDefault="0093764F" w:rsidP="00017C82">
            <w:pPr>
              <w:pStyle w:val="Tablefont"/>
              <w:rPr>
                <w:b/>
              </w:rPr>
            </w:pPr>
            <w:r w:rsidRPr="0093764F">
              <w:rPr>
                <w:b/>
              </w:rPr>
              <w:t>0.1 ppm (0.81 mg/m</w:t>
            </w:r>
            <w:r w:rsidRPr="0093764F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32DA2960" w14:textId="77777777" w:rsidTr="00305CAE">
        <w:trPr>
          <w:cantSplit/>
        </w:trPr>
        <w:tc>
          <w:tcPr>
            <w:tcW w:w="4010" w:type="dxa"/>
            <w:vAlign w:val="center"/>
          </w:tcPr>
          <w:p w14:paraId="3F6D1AB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6" w:type="dxa"/>
          </w:tcPr>
          <w:p w14:paraId="57A6BE2A" w14:textId="0171BFAA" w:rsidR="002C7AFE" w:rsidRPr="005B1681" w:rsidRDefault="0093764F" w:rsidP="00017C82">
            <w:pPr>
              <w:pStyle w:val="Tablefont"/>
              <w:rPr>
                <w:b/>
              </w:rPr>
            </w:pPr>
            <w:r w:rsidRPr="005B1681">
              <w:rPr>
                <w:b/>
              </w:rPr>
              <w:t>—</w:t>
            </w:r>
          </w:p>
        </w:tc>
      </w:tr>
      <w:tr w:rsidR="002C7AFE" w:rsidRPr="004C23F4" w14:paraId="2BDB6694" w14:textId="77777777" w:rsidTr="00305CAE">
        <w:trPr>
          <w:cantSplit/>
        </w:trPr>
        <w:tc>
          <w:tcPr>
            <w:tcW w:w="4010" w:type="dxa"/>
            <w:vAlign w:val="center"/>
          </w:tcPr>
          <w:p w14:paraId="767212B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11455505" w14:textId="67983F1C" w:rsidR="002C7AFE" w:rsidRPr="005B1681" w:rsidRDefault="0093764F" w:rsidP="00017C82">
            <w:pPr>
              <w:pStyle w:val="Tablefont"/>
              <w:rPr>
                <w:b/>
              </w:rPr>
            </w:pPr>
            <w:r w:rsidRPr="005B1681">
              <w:rPr>
                <w:b/>
              </w:rPr>
              <w:t>—</w:t>
            </w:r>
          </w:p>
        </w:tc>
      </w:tr>
      <w:tr w:rsidR="002C7AFE" w:rsidRPr="004C23F4" w14:paraId="2DDDEA8B" w14:textId="77777777" w:rsidTr="00305CAE">
        <w:trPr>
          <w:cantSplit/>
        </w:trPr>
        <w:tc>
          <w:tcPr>
            <w:tcW w:w="4010" w:type="dxa"/>
          </w:tcPr>
          <w:p w14:paraId="1AFAF35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6" w:type="dxa"/>
          </w:tcPr>
          <w:p w14:paraId="28570816" w14:textId="79F57C39" w:rsidR="002C7AFE" w:rsidRPr="00EB3D1B" w:rsidRDefault="003E2BE0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Carc. 1B, Sk.</w:t>
            </w:r>
            <w:r w:rsidR="00F41DAE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4C6B5F">
              <w:rPr>
                <w:b/>
              </w:rPr>
              <w:t>DSEN</w:t>
            </w:r>
          </w:p>
        </w:tc>
      </w:tr>
      <w:tr w:rsidR="002C7AFE" w:rsidRPr="004C23F4" w14:paraId="07795943" w14:textId="77777777" w:rsidTr="00305CAE">
        <w:trPr>
          <w:cantSplit/>
        </w:trPr>
        <w:tc>
          <w:tcPr>
            <w:tcW w:w="4010" w:type="dxa"/>
            <w:vAlign w:val="center"/>
          </w:tcPr>
          <w:p w14:paraId="357B92F7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60C1D79C" w14:textId="1C404019" w:rsidR="002C7AFE" w:rsidRPr="005B1681" w:rsidRDefault="00BD0185" w:rsidP="00017C82">
            <w:pPr>
              <w:pStyle w:val="Tablefont"/>
              <w:rPr>
                <w:b/>
              </w:rPr>
            </w:pPr>
            <w:r w:rsidRPr="003E4142">
              <w:rPr>
                <w:b/>
              </w:rPr>
              <w:t>—</w:t>
            </w:r>
          </w:p>
        </w:tc>
      </w:tr>
      <w:tr w:rsidR="00305CAE" w:rsidRPr="004C23F4" w14:paraId="0A3AE94D" w14:textId="77777777" w:rsidTr="008E5794">
        <w:trPr>
          <w:cantSplit/>
        </w:trPr>
        <w:tc>
          <w:tcPr>
            <w:tcW w:w="9026" w:type="dxa"/>
            <w:gridSpan w:val="2"/>
            <w:vAlign w:val="center"/>
          </w:tcPr>
          <w:p w14:paraId="2DB81644" w14:textId="520373FC" w:rsidR="00305CAE" w:rsidRPr="00305CAE" w:rsidRDefault="00305CAE" w:rsidP="00017C82">
            <w:pPr>
              <w:pStyle w:val="Tablefont"/>
              <w:rPr>
                <w:b/>
              </w:rPr>
            </w:pPr>
            <w:r w:rsidRPr="00305CAE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7411917521474A8CB50DE2300AF699DA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3E4142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114E41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97F649A" w14:textId="75C42DCC" w:rsidR="006639B4" w:rsidRDefault="0093764F" w:rsidP="000C139A">
      <w:r w:rsidRPr="0093764F">
        <w:rPr>
          <w:rFonts w:cs="Arial"/>
        </w:rPr>
        <w:t xml:space="preserve">A TWA of </w:t>
      </w:r>
      <w:r>
        <w:rPr>
          <w:rFonts w:cs="Arial"/>
        </w:rPr>
        <w:t>0.1</w:t>
      </w:r>
      <w:r w:rsidRPr="0093764F">
        <w:rPr>
          <w:rFonts w:cs="Arial"/>
        </w:rPr>
        <w:t xml:space="preserve"> ppm (</w:t>
      </w:r>
      <w:r>
        <w:rPr>
          <w:rFonts w:cs="Arial"/>
        </w:rPr>
        <w:t>0.81</w:t>
      </w:r>
      <w:r w:rsidRPr="0093764F">
        <w:rPr>
          <w:rFonts w:cs="Arial"/>
        </w:rPr>
        <w:t xml:space="preserve"> mg/m</w:t>
      </w:r>
      <w:r w:rsidRPr="0093764F">
        <w:rPr>
          <w:rFonts w:cs="Arial"/>
          <w:vertAlign w:val="superscript"/>
        </w:rPr>
        <w:t>3</w:t>
      </w:r>
      <w:r w:rsidRPr="0093764F">
        <w:rPr>
          <w:rFonts w:cs="Arial"/>
        </w:rPr>
        <w:t>) is recommended</w:t>
      </w:r>
      <w:r>
        <w:rPr>
          <w:rFonts w:cs="Arial"/>
        </w:rPr>
        <w:t xml:space="preserve"> to protect for hepatic effects </w:t>
      </w:r>
      <w:r>
        <w:t xml:space="preserve">including jaundice, hepatitis </w:t>
      </w:r>
      <w:r w:rsidR="00263242">
        <w:t xml:space="preserve">and </w:t>
      </w:r>
      <w:r>
        <w:t>cirrhosis in exposed workers.</w:t>
      </w:r>
    </w:p>
    <w:p w14:paraId="574359C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396C4E8" w14:textId="77777777" w:rsidR="00F41DAE" w:rsidRDefault="0093764F" w:rsidP="006639B4">
      <w:r>
        <w:t>4,4-Methylenedianiline (MDA) has primarily been used in closed system preparation of isocyanates and polyisocyanates.</w:t>
      </w:r>
      <w:r w:rsidR="003C41B0">
        <w:t xml:space="preserve"> </w:t>
      </w:r>
    </w:p>
    <w:p w14:paraId="18F91AE1" w14:textId="4A599BF3" w:rsidR="00F94CDD" w:rsidRDefault="003C41B0" w:rsidP="006639B4">
      <w:r>
        <w:t xml:space="preserve">Critical effects </w:t>
      </w:r>
      <w:r w:rsidR="00F41DAE">
        <w:t xml:space="preserve">of exposure </w:t>
      </w:r>
      <w:r>
        <w:t xml:space="preserve">include jaundice, hepatitis, cirrhosis, myocardial and renal damage. </w:t>
      </w:r>
      <w:r w:rsidR="004B3729">
        <w:t>Twelve workers whose hands were in contact with MDA containing epoxy resin for several hours a day experienced acute febrile illness associated with jaundic</w:t>
      </w:r>
      <w:r w:rsidR="003E4142">
        <w:t xml:space="preserve">e. </w:t>
      </w:r>
      <w:r w:rsidR="00D40804">
        <w:t>In this study a</w:t>
      </w:r>
      <w:r w:rsidR="00714344">
        <w:t>ir c</w:t>
      </w:r>
      <w:r w:rsidR="003E4142">
        <w:t>oncentrations of 0.1 </w:t>
      </w:r>
      <w:r w:rsidR="004B3729">
        <w:t>ppm were reported</w:t>
      </w:r>
      <w:r w:rsidR="001A044A">
        <w:t>. H</w:t>
      </w:r>
      <w:r w:rsidR="004B3729">
        <w:t>owever</w:t>
      </w:r>
      <w:r w:rsidR="003745C1">
        <w:t>,</w:t>
      </w:r>
      <w:r w:rsidR="004B3729">
        <w:t xml:space="preserve"> workers nearby who did not directly handle the resin were not affected.</w:t>
      </w:r>
      <w:r w:rsidR="00CD3313">
        <w:t xml:space="preserve"> Dermal contact with MDA and subsequent percutaneous absorption is main route of occupational exposure</w:t>
      </w:r>
      <w:r w:rsidR="008C6B54">
        <w:t xml:space="preserve">, with several cases of hepatic effects </w:t>
      </w:r>
      <w:r w:rsidR="00714344">
        <w:t xml:space="preserve">reported </w:t>
      </w:r>
      <w:r w:rsidR="008C6B54">
        <w:t>following contact with skin</w:t>
      </w:r>
      <w:r w:rsidR="00CD3313">
        <w:t xml:space="preserve">. There were no reports of increased mortality or morbidity among employees of a chemical company with </w:t>
      </w:r>
      <w:r w:rsidR="00AD6239">
        <w:t xml:space="preserve">TWA </w:t>
      </w:r>
      <w:r w:rsidR="00CD3313">
        <w:t xml:space="preserve">exposures </w:t>
      </w:r>
      <w:r w:rsidR="00A44C02">
        <w:t>a</w:t>
      </w:r>
      <w:r w:rsidR="00714344">
        <w:t>t</w:t>
      </w:r>
      <w:r w:rsidR="00A44C02">
        <w:t xml:space="preserve"> </w:t>
      </w:r>
      <w:r w:rsidR="00CD3313">
        <w:t>0.03</w:t>
      </w:r>
      <w:r w:rsidR="00714344">
        <w:t xml:space="preserve"> to </w:t>
      </w:r>
      <w:r w:rsidR="00F41DAE">
        <w:t>0</w:t>
      </w:r>
      <w:r w:rsidR="003E4142">
        <w:t>.4 </w:t>
      </w:r>
      <w:r w:rsidR="00CD3313">
        <w:t>ppm (ACGIH, 20</w:t>
      </w:r>
      <w:r w:rsidR="003E623F">
        <w:t>0</w:t>
      </w:r>
      <w:r w:rsidR="00506B32">
        <w:t>1</w:t>
      </w:r>
      <w:r w:rsidR="00CD3313">
        <w:t xml:space="preserve">). </w:t>
      </w:r>
      <w:r w:rsidR="008C6B54">
        <w:t>As such, the ACGIH recommended a TLV-TWA of 0.1</w:t>
      </w:r>
      <w:r w:rsidR="005B1681">
        <w:t> </w:t>
      </w:r>
      <w:r w:rsidR="008C6B54">
        <w:t>ppm for occupational exposure.</w:t>
      </w:r>
      <w:r w:rsidR="008867F9">
        <w:t xml:space="preserve"> </w:t>
      </w:r>
    </w:p>
    <w:p w14:paraId="4DD7644E" w14:textId="124114BF" w:rsidR="006639B4" w:rsidRDefault="008867F9" w:rsidP="006639B4">
      <w:r>
        <w:t xml:space="preserve">Evidence in animals suggest carcinogenicity. </w:t>
      </w:r>
      <w:r w:rsidR="00F94CDD">
        <w:t>H</w:t>
      </w:r>
      <w:r>
        <w:t xml:space="preserve">owever, the cancers reported in animals are not </w:t>
      </w:r>
      <w:r w:rsidR="00DD2CAF">
        <w:t xml:space="preserve">considered </w:t>
      </w:r>
      <w:r>
        <w:t xml:space="preserve">relevant for humans and there </w:t>
      </w:r>
      <w:r w:rsidR="001A044A">
        <w:t>are</w:t>
      </w:r>
      <w:r>
        <w:t xml:space="preserve"> </w:t>
      </w:r>
      <w:r w:rsidR="003E623F">
        <w:t>inadequate</w:t>
      </w:r>
      <w:r>
        <w:t xml:space="preserve"> data available to </w:t>
      </w:r>
      <w:r w:rsidR="003E623F">
        <w:t>support carcinogenicity</w:t>
      </w:r>
      <w:r>
        <w:t xml:space="preserve"> in humans.</w:t>
      </w:r>
      <w:r w:rsidR="00F94CDD">
        <w:t xml:space="preserve"> </w:t>
      </w:r>
      <w:r>
        <w:t xml:space="preserve"> </w:t>
      </w:r>
    </w:p>
    <w:p w14:paraId="34070A87" w14:textId="17831C02" w:rsidR="008C6B54" w:rsidRPr="004C23F4" w:rsidRDefault="001A044A" w:rsidP="006639B4">
      <w:pPr>
        <w:rPr>
          <w:rFonts w:cs="Arial"/>
        </w:rPr>
      </w:pPr>
      <w:r>
        <w:t>A</w:t>
      </w:r>
      <w:r w:rsidR="008C6B54" w:rsidRPr="00176B16">
        <w:t xml:space="preserve"> TWA</w:t>
      </w:r>
      <w:r w:rsidR="008C6B54">
        <w:t xml:space="preserve"> </w:t>
      </w:r>
      <w:r w:rsidR="00263242">
        <w:t xml:space="preserve">of 0.1 ppm </w:t>
      </w:r>
      <w:r w:rsidR="008C6B54">
        <w:t xml:space="preserve">is </w:t>
      </w:r>
      <w:r w:rsidR="008C6B54" w:rsidRPr="00176B16">
        <w:t>recommended</w:t>
      </w:r>
      <w:r w:rsidR="00C06D4B">
        <w:t xml:space="preserve"> </w:t>
      </w:r>
      <w:r w:rsidR="008C6B54">
        <w:t xml:space="preserve">to </w:t>
      </w:r>
      <w:r w:rsidR="00695334">
        <w:t xml:space="preserve">protect for </w:t>
      </w:r>
      <w:r w:rsidR="008C6B54">
        <w:t>hepatic effects</w:t>
      </w:r>
      <w:r w:rsidR="008C6B54" w:rsidRPr="00176B16">
        <w:t xml:space="preserve"> based on the </w:t>
      </w:r>
      <w:r w:rsidR="008C6B54">
        <w:t>information provided</w:t>
      </w:r>
      <w:r w:rsidR="008C6B54" w:rsidRPr="00176B16">
        <w:t xml:space="preserve"> by ACGIH (20</w:t>
      </w:r>
      <w:r w:rsidR="003E623F">
        <w:t>0</w:t>
      </w:r>
      <w:r w:rsidR="00C06D4B">
        <w:t>1</w:t>
      </w:r>
      <w:r w:rsidR="008C6B54" w:rsidRPr="00176B16">
        <w:t>)</w:t>
      </w:r>
      <w:r w:rsidR="008C6B54">
        <w:t xml:space="preserve"> and</w:t>
      </w:r>
      <w:r w:rsidR="008C6B54" w:rsidRPr="00176B16">
        <w:t xml:space="preserve"> supported by </w:t>
      </w:r>
      <w:r w:rsidR="008C6B54">
        <w:rPr>
          <w:rFonts w:cs="Arial"/>
        </w:rPr>
        <w:t xml:space="preserve">evidence from </w:t>
      </w:r>
      <w:r w:rsidR="008C6B54">
        <w:t>ECHA (2006).</w:t>
      </w:r>
      <w:r w:rsidR="008867F9" w:rsidRPr="008867F9">
        <w:t xml:space="preserve"> </w:t>
      </w:r>
    </w:p>
    <w:p w14:paraId="5B2FF5B3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8AB35DF" w14:textId="2FA461E5" w:rsidR="00BD0185" w:rsidRDefault="003E2BE0" w:rsidP="00BD0185">
      <w:pPr>
        <w:rPr>
          <w:rFonts w:cs="Arial"/>
        </w:rPr>
      </w:pPr>
      <w:r>
        <w:rPr>
          <w:rFonts w:cs="Arial"/>
        </w:rPr>
        <w:t>C</w:t>
      </w:r>
      <w:r w:rsidRPr="0017329C">
        <w:rPr>
          <w:rFonts w:cs="Arial"/>
        </w:rPr>
        <w:t>lassified</w:t>
      </w:r>
      <w:r w:rsidRPr="00CE64B9">
        <w:rPr>
          <w:rFonts w:cs="Arial"/>
        </w:rPr>
        <w:t xml:space="preserve"> as a </w:t>
      </w:r>
      <w:r>
        <w:rPr>
          <w:rFonts w:cs="Arial"/>
        </w:rPr>
        <w:t xml:space="preserve">category 1B </w:t>
      </w:r>
      <w:r w:rsidRPr="00CE64B9">
        <w:rPr>
          <w:rFonts w:cs="Arial"/>
        </w:rPr>
        <w:t>carcinogen</w:t>
      </w:r>
      <w:r w:rsidR="00BD0185">
        <w:rPr>
          <w:rFonts w:cs="Arial"/>
        </w:rPr>
        <w:t xml:space="preserve"> according to the Globally Harmonized System of Classification and Labelling o</w:t>
      </w:r>
      <w:r w:rsidR="00305CAE">
        <w:rPr>
          <w:rFonts w:cs="Arial"/>
        </w:rPr>
        <w:t>f</w:t>
      </w:r>
      <w:r w:rsidR="00BD0185">
        <w:rPr>
          <w:rFonts w:cs="Arial"/>
        </w:rPr>
        <w:t xml:space="preserve"> Chemicals (GHS). </w:t>
      </w:r>
    </w:p>
    <w:p w14:paraId="4B3E8207" w14:textId="48C45BF2" w:rsidR="00BD0185" w:rsidRDefault="003E2BE0" w:rsidP="00BD0185">
      <w:pPr>
        <w:rPr>
          <w:rFonts w:cs="Arial"/>
        </w:rPr>
      </w:pPr>
      <w:r w:rsidRPr="003E2BE0">
        <w:rPr>
          <w:rFonts w:cs="Arial"/>
        </w:rPr>
        <w:t xml:space="preserve">Classified as a skin sensitiser </w:t>
      </w:r>
      <w:r w:rsidR="00F41DAE">
        <w:rPr>
          <w:rFonts w:cs="Arial"/>
        </w:rPr>
        <w:t>and</w:t>
      </w:r>
      <w:r w:rsidR="00F41DAE" w:rsidRPr="003E2BE0">
        <w:rPr>
          <w:rFonts w:cs="Arial"/>
        </w:rPr>
        <w:t xml:space="preserve"> </w:t>
      </w:r>
      <w:r w:rsidRPr="003E2BE0">
        <w:rPr>
          <w:rFonts w:cs="Arial"/>
        </w:rPr>
        <w:t xml:space="preserve">not a respiratory sensitiser </w:t>
      </w:r>
      <w:r w:rsidR="003E4142">
        <w:rPr>
          <w:rFonts w:cs="Arial"/>
        </w:rPr>
        <w:t>according to the GHS.</w:t>
      </w:r>
    </w:p>
    <w:p w14:paraId="3D32533E" w14:textId="2ECBD885" w:rsidR="005E6979" w:rsidRPr="004C23F4" w:rsidRDefault="003C41B0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A</w:t>
      </w:r>
      <w:r w:rsidR="00BD0185">
        <w:rPr>
          <w:rFonts w:cs="Arial"/>
        </w:rPr>
        <w:t xml:space="preserve"> skin notation</w:t>
      </w:r>
      <w:r>
        <w:rPr>
          <w:rFonts w:cs="Arial"/>
        </w:rPr>
        <w:t xml:space="preserve"> is warranted based on </w:t>
      </w:r>
      <w:r w:rsidRPr="003C41B0">
        <w:rPr>
          <w:rFonts w:cs="Arial"/>
        </w:rPr>
        <w:t>systemic effects resulting from sk</w:t>
      </w:r>
      <w:r w:rsidR="003E4142">
        <w:rPr>
          <w:rFonts w:cs="Arial"/>
        </w:rPr>
        <w:t xml:space="preserve">in absorption in humans. </w:t>
      </w:r>
    </w:p>
    <w:p w14:paraId="4EB0560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DE02E1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87AD935" w14:textId="77777777" w:rsidTr="005D162E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C551E5D" w14:textId="77777777" w:rsidR="00C978F0" w:rsidRPr="00DA352E" w:rsidRDefault="00C978F0" w:rsidP="005B1681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CDEE28F" w14:textId="77777777" w:rsidTr="005D162E">
        <w:tc>
          <w:tcPr>
            <w:tcW w:w="5000" w:type="pct"/>
            <w:gridSpan w:val="2"/>
            <w:shd w:val="clear" w:color="auto" w:fill="F2F2F2" w:themeFill="background1" w:themeFillShade="F2"/>
          </w:tcPr>
          <w:p w14:paraId="4BEBB72C" w14:textId="541EF1F2" w:rsidR="00DE26E8" w:rsidRPr="003365A5" w:rsidRDefault="00DE26E8" w:rsidP="003E414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53FB3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53FB3">
                  <w:t>TWA: 0.1 ppm (0.81 mg/m</w:t>
                </w:r>
                <w:r w:rsidR="00153FB3" w:rsidRPr="00153FB3">
                  <w:rPr>
                    <w:vertAlign w:val="superscript"/>
                  </w:rPr>
                  <w:t>3</w:t>
                </w:r>
                <w:r w:rsidR="00153FB3">
                  <w:t>)</w:t>
                </w:r>
              </w:sdtContent>
            </w:sdt>
          </w:p>
        </w:tc>
      </w:tr>
      <w:tr w:rsidR="00C978F0" w:rsidRPr="00DA352E" w14:paraId="72729A85" w14:textId="77777777" w:rsidTr="005D162E">
        <w:trPr>
          <w:gridAfter w:val="1"/>
          <w:wAfter w:w="8" w:type="pct"/>
        </w:trPr>
        <w:tc>
          <w:tcPr>
            <w:tcW w:w="4992" w:type="pct"/>
          </w:tcPr>
          <w:p w14:paraId="7DA65E0A" w14:textId="77777777" w:rsidR="00C978F0" w:rsidRPr="00DA352E" w:rsidRDefault="00C978F0" w:rsidP="005B1681">
            <w:pPr>
              <w:pStyle w:val="Tabletextprimarysource"/>
            </w:pPr>
          </w:p>
        </w:tc>
      </w:tr>
      <w:tr w:rsidR="00C978F0" w:rsidRPr="00DA352E" w14:paraId="33694A7C" w14:textId="77777777" w:rsidTr="005D162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19EC7F2" w14:textId="6923317B" w:rsidR="00C978F0" w:rsidRPr="00DA352E" w:rsidRDefault="00DA352E" w:rsidP="003E414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53FB3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53FB3">
                  <w:t>TLV-TWA: 0.1 ppm (0.81 mg/m</w:t>
                </w:r>
                <w:r w:rsidR="00153FB3" w:rsidRPr="00153FB3">
                  <w:rPr>
                    <w:vertAlign w:val="superscript"/>
                  </w:rPr>
                  <w:t>3</w:t>
                </w:r>
                <w:r w:rsidR="00153FB3">
                  <w:t>)</w:t>
                </w:r>
              </w:sdtContent>
            </w:sdt>
          </w:p>
        </w:tc>
      </w:tr>
      <w:tr w:rsidR="00C978F0" w:rsidRPr="00DA352E" w14:paraId="6BCE2D94" w14:textId="77777777" w:rsidTr="005D162E">
        <w:trPr>
          <w:gridAfter w:val="1"/>
          <w:wAfter w:w="8" w:type="pct"/>
        </w:trPr>
        <w:tc>
          <w:tcPr>
            <w:tcW w:w="4992" w:type="pct"/>
          </w:tcPr>
          <w:p w14:paraId="26684BBE" w14:textId="236D5FBD" w:rsidR="00C978F0" w:rsidRDefault="00305CAE" w:rsidP="005B1681">
            <w:pPr>
              <w:pStyle w:val="Tabletextprimarysource"/>
            </w:pPr>
            <w:r>
              <w:t xml:space="preserve">TLV-TWA recommended to minimise the potential for adverse </w:t>
            </w:r>
            <w:r w:rsidR="00D10630">
              <w:t xml:space="preserve">liver effects including jaundice, hepatitis, cirrhosis and </w:t>
            </w:r>
            <w:r w:rsidR="004074B2">
              <w:t>tumourgenicity</w:t>
            </w:r>
            <w:r w:rsidR="00D10630">
              <w:t xml:space="preserve"> in exposed workers.</w:t>
            </w:r>
            <w:r w:rsidR="00616B73">
              <w:t xml:space="preserve"> TLV-TWA derived based on no adverse effects in workers exposed at 0.1 ppm</w:t>
            </w:r>
            <w:r w:rsidR="00A247A3">
              <w:t xml:space="preserve"> or chemical company employees exposed at 0.03</w:t>
            </w:r>
            <w:r w:rsidR="00263242">
              <w:t>–</w:t>
            </w:r>
            <w:r w:rsidR="00A247A3">
              <w:t>0.4 ppm</w:t>
            </w:r>
            <w:r w:rsidR="00616B73">
              <w:t>.</w:t>
            </w:r>
          </w:p>
          <w:p w14:paraId="0F816176" w14:textId="786DF58E" w:rsidR="00D10630" w:rsidRDefault="00D10630" w:rsidP="005B1681">
            <w:pPr>
              <w:pStyle w:val="Tabletextprimarysource"/>
            </w:pPr>
            <w:r>
              <w:t>Summary of data:</w:t>
            </w:r>
          </w:p>
          <w:p w14:paraId="415D6304" w14:textId="77777777" w:rsidR="00D10630" w:rsidRDefault="00D10630" w:rsidP="005B1681">
            <w:pPr>
              <w:pStyle w:val="Tabletextprimarysource"/>
            </w:pPr>
            <w:r>
              <w:t>Human data:</w:t>
            </w:r>
          </w:p>
          <w:p w14:paraId="5E665057" w14:textId="77777777" w:rsidR="00D10630" w:rsidRDefault="00D10630" w:rsidP="003E414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Accidental consumption of MDA from contaminated flour caused jaundice in 84 people</w:t>
            </w:r>
          </w:p>
          <w:p w14:paraId="06ACEFFB" w14:textId="506088F9" w:rsidR="00D10630" w:rsidRDefault="00D10630" w:rsidP="003E414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12</w:t>
            </w:r>
            <w:r w:rsidR="00506B32">
              <w:t>/</w:t>
            </w:r>
            <w:r>
              <w:t>100 workers whose hands were in contact with MDA containing epoxy resin several h/d</w:t>
            </w:r>
            <w:r w:rsidR="009C7EE9">
              <w:t xml:space="preserve"> experienced acute febrile illness associated with jaundice. Workers who did not directly handle MDA but worked nearby were not affected. Air concentrations of 0.1</w:t>
            </w:r>
            <w:r w:rsidR="005B1681">
              <w:t> </w:t>
            </w:r>
            <w:r w:rsidR="009C7EE9">
              <w:t>ppm recorded</w:t>
            </w:r>
          </w:p>
          <w:p w14:paraId="1174B1BB" w14:textId="22738B7B" w:rsidR="009C7EE9" w:rsidRDefault="001C5290" w:rsidP="003E414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Acute hepatitis reported in 6</w:t>
            </w:r>
            <w:r w:rsidR="007734B5">
              <w:t>/</w:t>
            </w:r>
            <w:r>
              <w:t>300 workers coating walls with MDA containing epoxy mixtures. No air concentrations provided but ample opportunity for skin absorption</w:t>
            </w:r>
          </w:p>
          <w:p w14:paraId="08454B86" w14:textId="77777777" w:rsidR="001C5290" w:rsidRDefault="001C5290" w:rsidP="003E414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of worker developing transient hepatic and myocardial damage following accidental exposure via inhalation and skin; concentrations not reported</w:t>
            </w:r>
          </w:p>
          <w:p w14:paraId="67DF4F61" w14:textId="45BAAB0D" w:rsidR="001C5290" w:rsidRDefault="001C5290" w:rsidP="003E414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Some reports of allergic sensitivity</w:t>
            </w:r>
            <w:r w:rsidR="0087427D">
              <w:t xml:space="preserve"> </w:t>
            </w:r>
            <w:r w:rsidR="00695334">
              <w:t xml:space="preserve">only in </w:t>
            </w:r>
            <w:r w:rsidR="0087427D">
              <w:t>exposure to mixtures, including isocyanates, confound causation</w:t>
            </w:r>
          </w:p>
          <w:p w14:paraId="16D801FE" w14:textId="32EE2079" w:rsidR="008F456F" w:rsidRDefault="008F456F" w:rsidP="003E414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Chemical company </w:t>
            </w:r>
            <w:r w:rsidR="008D0B5A">
              <w:t xml:space="preserve">over a period of 26 yr did not report increased mortality or morbidity among </w:t>
            </w:r>
            <w:r>
              <w:t xml:space="preserve">employees with </w:t>
            </w:r>
            <w:r w:rsidR="006845D3">
              <w:t xml:space="preserve">TWA </w:t>
            </w:r>
            <w:r>
              <w:t xml:space="preserve">exposures </w:t>
            </w:r>
            <w:r w:rsidR="00AD5E74">
              <w:t xml:space="preserve">at </w:t>
            </w:r>
            <w:r>
              <w:t>0.03</w:t>
            </w:r>
            <w:r w:rsidR="005B1681">
              <w:t>–</w:t>
            </w:r>
            <w:r>
              <w:t xml:space="preserve">0.4 ppm </w:t>
            </w:r>
          </w:p>
          <w:p w14:paraId="189CDC5F" w14:textId="2540E27F" w:rsidR="00EE394A" w:rsidRDefault="008F456F" w:rsidP="003E414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reports of cancer associated with accidental, intentional or occupational exposure in humans</w:t>
            </w:r>
          </w:p>
          <w:p w14:paraId="2A8E8237" w14:textId="29B7B8CF" w:rsidR="0087427D" w:rsidRDefault="00EE394A" w:rsidP="003E414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cytogenetic changes in human leukocytes </w:t>
            </w:r>
            <w:r>
              <w:rPr>
                <w:i/>
              </w:rPr>
              <w:t>in vitro</w:t>
            </w:r>
            <w:r w:rsidR="005B1681">
              <w:t>.</w:t>
            </w:r>
          </w:p>
          <w:p w14:paraId="373ED303" w14:textId="77777777" w:rsidR="008F456F" w:rsidRDefault="008F456F" w:rsidP="005B1681">
            <w:pPr>
              <w:pStyle w:val="Tabletextprimarysource"/>
            </w:pPr>
            <w:r>
              <w:t>Animal data:</w:t>
            </w:r>
          </w:p>
          <w:p w14:paraId="0AE6CF9B" w14:textId="0839A4AF" w:rsidR="008F456F" w:rsidRDefault="000E2028" w:rsidP="003E414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0E2028">
              <w:rPr>
                <w:vertAlign w:val="subscript"/>
              </w:rPr>
              <w:t>50</w:t>
            </w:r>
            <w:r>
              <w:t>: 597</w:t>
            </w:r>
            <w:r w:rsidR="005B1681">
              <w:t>–</w:t>
            </w:r>
            <w:r>
              <w:t>830 mg/kg (rat, oral)</w:t>
            </w:r>
          </w:p>
          <w:p w14:paraId="22EEEF1E" w14:textId="3C964219" w:rsidR="000E2028" w:rsidRDefault="000E2028" w:rsidP="003E414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Marked interspecies differences </w:t>
            </w:r>
            <w:r w:rsidR="00FA1EA1">
              <w:t>with respect to acute toxicity; symptoms included hepatic and renal damage and blindness</w:t>
            </w:r>
          </w:p>
          <w:p w14:paraId="5899D907" w14:textId="179D1999" w:rsidR="00FA1EA1" w:rsidRDefault="00FA1EA1" w:rsidP="003E414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Hepatic degeneration in rabbits following oral and dermal treatment suggesting absorption through skin; concentration not determined</w:t>
            </w:r>
          </w:p>
          <w:p w14:paraId="69CBB013" w14:textId="140055E2" w:rsidR="00A247A3" w:rsidRDefault="00A247A3" w:rsidP="003E414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NTP</w:t>
            </w:r>
            <w:r w:rsidR="009666CF">
              <w:t xml:space="preserve"> concluded MDA was carcinogenic to both sexes of F344/N</w:t>
            </w:r>
            <w:r w:rsidR="005B1681">
              <w:t> </w:t>
            </w:r>
            <w:r w:rsidR="009666CF">
              <w:t>rats and B6C3F1 mice</w:t>
            </w:r>
            <w:r>
              <w:t xml:space="preserve">: </w:t>
            </w:r>
          </w:p>
          <w:p w14:paraId="45B3A59D" w14:textId="0EDAF988" w:rsidR="005D162E" w:rsidRDefault="009268E6" w:rsidP="005D162E">
            <w:pPr>
              <w:pStyle w:val="ListBullet2"/>
              <w:numPr>
                <w:ilvl w:val="0"/>
                <w:numId w:val="8"/>
              </w:numPr>
              <w:ind w:left="1014" w:hanging="283"/>
              <w:contextualSpacing w:val="0"/>
            </w:pPr>
            <w:r>
              <w:t xml:space="preserve">lifetime oral carcinogenicity bioassay </w:t>
            </w:r>
            <w:r w:rsidR="00896BB6">
              <w:t xml:space="preserve">of both species </w:t>
            </w:r>
            <w:r>
              <w:t xml:space="preserve">produced reduced survival </w:t>
            </w:r>
            <w:r w:rsidR="00896BB6">
              <w:t xml:space="preserve">in </w:t>
            </w:r>
            <w:r>
              <w:t xml:space="preserve">mice </w:t>
            </w:r>
            <w:r w:rsidR="00896BB6">
              <w:t xml:space="preserve">(dose of </w:t>
            </w:r>
            <w:r>
              <w:t xml:space="preserve">57 mg/kg/d), reduced body weight in all groups at 300 ppm, </w:t>
            </w:r>
            <w:r w:rsidR="00966418">
              <w:t xml:space="preserve">increased incidence of liver </w:t>
            </w:r>
            <w:r w:rsidR="00896BB6">
              <w:t xml:space="preserve">and thyroid </w:t>
            </w:r>
            <w:r w:rsidR="00966418">
              <w:t>adenomas</w:t>
            </w:r>
            <w:r w:rsidR="00896BB6">
              <w:t xml:space="preserve"> and carcinomas in rats and increased incidence of alveolar/bronchial adenomas and malignant lymphomas in mice</w:t>
            </w:r>
          </w:p>
          <w:p w14:paraId="15A60B85" w14:textId="0D0EF0F1" w:rsidR="00A247A3" w:rsidRDefault="00A247A3" w:rsidP="005D162E">
            <w:pPr>
              <w:pStyle w:val="ListBullet2"/>
              <w:numPr>
                <w:ilvl w:val="0"/>
                <w:numId w:val="8"/>
              </w:numPr>
              <w:ind w:left="1014" w:hanging="283"/>
              <w:contextualSpacing w:val="0"/>
            </w:pPr>
            <w:r>
              <w:t>dose required for carcinogenic response far greater than recommended TLV</w:t>
            </w:r>
          </w:p>
          <w:p w14:paraId="53FD1975" w14:textId="0BB4AA67" w:rsidR="00FA1EA1" w:rsidRDefault="009666CF" w:rsidP="003E414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Feed</w:t>
            </w:r>
            <w:r w:rsidR="00C709BA">
              <w:t>ing study in dogs, 70 mg 3</w:t>
            </w:r>
            <w:r w:rsidR="007734B5">
              <w:t xml:space="preserve"> times</w:t>
            </w:r>
            <w:r>
              <w:t>/wk for 7 y</w:t>
            </w:r>
            <w:r w:rsidR="007734B5">
              <w:t xml:space="preserve"> and</w:t>
            </w:r>
            <w:r>
              <w:t xml:space="preserve"> 2 mo produced liver damage but no cancer</w:t>
            </w:r>
          </w:p>
          <w:p w14:paraId="3637BE20" w14:textId="60C933C3" w:rsidR="00896BB6" w:rsidRDefault="00896BB6" w:rsidP="003E414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Mutagenic in </w:t>
            </w:r>
            <w:r w:rsidR="005D162E">
              <w:rPr>
                <w:i/>
              </w:rPr>
              <w:t xml:space="preserve">S. </w:t>
            </w:r>
            <w:r>
              <w:rPr>
                <w:i/>
              </w:rPr>
              <w:t>typhimurium</w:t>
            </w:r>
            <w:r>
              <w:t xml:space="preserve"> strains TA100 and TA98 only following metabolic activation</w:t>
            </w:r>
          </w:p>
          <w:p w14:paraId="4EA72EDD" w14:textId="1520B16B" w:rsidR="00896BB6" w:rsidRDefault="00896BB6" w:rsidP="003E414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Slight increase in sister-chromatid exchanges in bone marrow cells</w:t>
            </w:r>
            <w:r w:rsidR="00EE394A">
              <w:t xml:space="preserve"> of mice administered single intraperitoneal injection of 9 or 18 mg/kg.</w:t>
            </w:r>
          </w:p>
          <w:p w14:paraId="5BFBE3E2" w14:textId="77777777" w:rsidR="00714344" w:rsidRDefault="00714344" w:rsidP="005B1681">
            <w:pPr>
              <w:pStyle w:val="Tabletextprimarysource"/>
            </w:pPr>
          </w:p>
          <w:p w14:paraId="497D5956" w14:textId="7432CD53" w:rsidR="00EE394A" w:rsidRDefault="008D0B5A" w:rsidP="005B1681">
            <w:pPr>
              <w:pStyle w:val="Tabletextprimarysource"/>
            </w:pPr>
            <w:r>
              <w:lastRenderedPageBreak/>
              <w:t xml:space="preserve">Skin notation assigned due to systemic toxicity following dermal contact and subsequent percutaneous absorption. </w:t>
            </w:r>
            <w:r w:rsidR="00EE394A">
              <w:t>Insufficient data to recommend SEN notation or TLV-STEL.</w:t>
            </w:r>
          </w:p>
          <w:p w14:paraId="695B3A08" w14:textId="0A430E04" w:rsidR="00F41DAE" w:rsidRPr="00DA352E" w:rsidRDefault="00F41DAE" w:rsidP="005B1681">
            <w:pPr>
              <w:pStyle w:val="Tabletextprimarysource"/>
            </w:pPr>
          </w:p>
        </w:tc>
      </w:tr>
      <w:tr w:rsidR="00C978F0" w:rsidRPr="00DA352E" w14:paraId="1D549A31" w14:textId="77777777" w:rsidTr="005D162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FB77D73" w14:textId="6D6A82BF" w:rsidR="00C978F0" w:rsidRPr="00DA352E" w:rsidRDefault="00DA352E" w:rsidP="003E414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53FB3">
                  <w:t>1987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53FB3">
                  <w:t>Not assigned</w:t>
                </w:r>
              </w:sdtContent>
            </w:sdt>
          </w:p>
        </w:tc>
      </w:tr>
      <w:tr w:rsidR="00C978F0" w:rsidRPr="00DA352E" w14:paraId="51C0D4B1" w14:textId="77777777" w:rsidTr="005D162E">
        <w:trPr>
          <w:gridAfter w:val="1"/>
          <w:wAfter w:w="8" w:type="pct"/>
        </w:trPr>
        <w:tc>
          <w:tcPr>
            <w:tcW w:w="4992" w:type="pct"/>
          </w:tcPr>
          <w:p w14:paraId="3A2CF4A5" w14:textId="77777777" w:rsidR="00C978F0" w:rsidRDefault="005478B3" w:rsidP="005B1681">
            <w:pPr>
              <w:pStyle w:val="Tabletextprimarysource"/>
            </w:pPr>
            <w:r>
              <w:t>Summary of additional data:</w:t>
            </w:r>
          </w:p>
          <w:p w14:paraId="321D57AA" w14:textId="77777777" w:rsidR="005478B3" w:rsidRDefault="005478B3" w:rsidP="003E414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Can cause photosensitisation in humans</w:t>
            </w:r>
          </w:p>
          <w:p w14:paraId="25AFE2B8" w14:textId="3B8AC080" w:rsidR="005478B3" w:rsidRDefault="00CA5244" w:rsidP="003E414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effects in male albino rats administered 3.2 mg/kg</w:t>
            </w:r>
            <w:r w:rsidR="00391EA1">
              <w:t>/d</w:t>
            </w:r>
            <w:r>
              <w:t>, 5 d/wk for 16 wk</w:t>
            </w:r>
          </w:p>
          <w:p w14:paraId="77EB1816" w14:textId="77777777" w:rsidR="003E7B38" w:rsidRDefault="00CA5244" w:rsidP="003E414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Positive in mutagenic test </w:t>
            </w:r>
            <w:r>
              <w:rPr>
                <w:i/>
              </w:rPr>
              <w:t>in vivo</w:t>
            </w:r>
            <w:r>
              <w:t xml:space="preserve"> causing DNA strand breaks in rat liver.</w:t>
            </w:r>
          </w:p>
          <w:p w14:paraId="51AC157A" w14:textId="51B06A4E" w:rsidR="00F41DAE" w:rsidRPr="00DA352E" w:rsidRDefault="00F41DAE" w:rsidP="00714344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  <w:tr w:rsidR="00C978F0" w:rsidRPr="00DA352E" w14:paraId="0B36D77C" w14:textId="77777777" w:rsidTr="005D162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DAC6F4D" w14:textId="0D7E5EC5" w:rsidR="00C978F0" w:rsidRPr="00DA352E" w:rsidRDefault="00DA352E" w:rsidP="003E414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53FB3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53FB3">
                  <w:t>Not assigned</w:t>
                </w:r>
              </w:sdtContent>
            </w:sdt>
          </w:p>
        </w:tc>
      </w:tr>
      <w:tr w:rsidR="00C978F0" w:rsidRPr="00DA352E" w14:paraId="4DE0DE63" w14:textId="77777777" w:rsidTr="005D162E">
        <w:trPr>
          <w:gridAfter w:val="1"/>
          <w:wAfter w:w="8" w:type="pct"/>
        </w:trPr>
        <w:tc>
          <w:tcPr>
            <w:tcW w:w="4992" w:type="pct"/>
          </w:tcPr>
          <w:p w14:paraId="41278AAD" w14:textId="498954E5" w:rsidR="00102168" w:rsidRDefault="00283C68" w:rsidP="005B1681">
            <w:pPr>
              <w:pStyle w:val="Tabletextprimarysource"/>
            </w:pPr>
            <w:r>
              <w:t xml:space="preserve">Chemical is grouped as non-threshold genotoxic carcinogen </w:t>
            </w:r>
            <w:r w:rsidR="00616B73">
              <w:t xml:space="preserve">based on oral studies in rats, mice and dogs, </w:t>
            </w:r>
            <w:r>
              <w:t>and thus not possible to derive health-based OEL.</w:t>
            </w:r>
            <w:r w:rsidR="003E623F">
              <w:t xml:space="preserve"> Inadequate epidemiological data to support carcinogenicity in humans.</w:t>
            </w:r>
          </w:p>
          <w:p w14:paraId="51F562EC" w14:textId="0176AF16" w:rsidR="00F41DAE" w:rsidRPr="00DA352E" w:rsidRDefault="00F41DAE" w:rsidP="005B1681">
            <w:pPr>
              <w:pStyle w:val="Tabletextprimarysource"/>
            </w:pPr>
          </w:p>
        </w:tc>
      </w:tr>
      <w:tr w:rsidR="00DA352E" w:rsidRPr="00DA352E" w14:paraId="5AC85B98" w14:textId="77777777" w:rsidTr="005D162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6C04FF6" w14:textId="405CCD36" w:rsidR="00DA352E" w:rsidRPr="00DA352E" w:rsidRDefault="00DA352E" w:rsidP="003E414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53FB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153FB3">
                  <w:t>NA</w:t>
                </w:r>
              </w:sdtContent>
            </w:sdt>
          </w:p>
        </w:tc>
      </w:tr>
      <w:tr w:rsidR="00DA352E" w:rsidRPr="00DA352E" w14:paraId="5A8168CE" w14:textId="77777777" w:rsidTr="005D162E">
        <w:trPr>
          <w:gridAfter w:val="1"/>
          <w:wAfter w:w="8" w:type="pct"/>
        </w:trPr>
        <w:tc>
          <w:tcPr>
            <w:tcW w:w="4992" w:type="pct"/>
          </w:tcPr>
          <w:p w14:paraId="536EBE25" w14:textId="26D61610" w:rsidR="00DA352E" w:rsidRPr="00DA352E" w:rsidRDefault="00153FB3" w:rsidP="005B1681">
            <w:pPr>
              <w:pStyle w:val="Tabletextprimarysource"/>
            </w:pPr>
            <w:r>
              <w:t>No report</w:t>
            </w:r>
            <w:r w:rsidR="005B1681">
              <w:t>.</w:t>
            </w:r>
          </w:p>
        </w:tc>
      </w:tr>
      <w:tr w:rsidR="00DA352E" w:rsidRPr="00DA352E" w14:paraId="2D4A4A04" w14:textId="77777777" w:rsidTr="005D162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19E9F19" w14:textId="2C43EA83" w:rsidR="00DA352E" w:rsidRPr="00DA352E" w:rsidRDefault="00DA352E" w:rsidP="003E414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C18A4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C18A4">
                  <w:t>Not assigned</w:t>
                </w:r>
              </w:sdtContent>
            </w:sdt>
          </w:p>
        </w:tc>
      </w:tr>
      <w:tr w:rsidR="00DA352E" w:rsidRPr="00DA352E" w14:paraId="086B194E" w14:textId="77777777" w:rsidTr="005D162E">
        <w:trPr>
          <w:gridAfter w:val="1"/>
          <w:wAfter w:w="8" w:type="pct"/>
        </w:trPr>
        <w:tc>
          <w:tcPr>
            <w:tcW w:w="4992" w:type="pct"/>
          </w:tcPr>
          <w:p w14:paraId="0CB1EE21" w14:textId="77777777" w:rsidR="00AC7AB2" w:rsidRDefault="00AC7AB2" w:rsidP="005B1681">
            <w:pPr>
              <w:pStyle w:val="Tabletextprimarysource"/>
            </w:pPr>
            <w:r>
              <w:t>Summary of additional data:</w:t>
            </w:r>
          </w:p>
          <w:p w14:paraId="7E2F67FB" w14:textId="0B188B28" w:rsidR="00DA352E" w:rsidRPr="00391EA1" w:rsidRDefault="00AC7AB2" w:rsidP="0071434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Estimate</w:t>
            </w:r>
            <w:r w:rsidR="00723394">
              <w:t>d</w:t>
            </w:r>
            <w:r>
              <w:t xml:space="preserve"> additional lifetime cancer risk </w:t>
            </w:r>
            <w:r w:rsidR="00714344">
              <w:t>of 4x10</w:t>
            </w:r>
            <w:r w:rsidR="00714344" w:rsidRPr="00B0637C">
              <w:rPr>
                <w:vertAlign w:val="superscript"/>
              </w:rPr>
              <w:t>-3</w:t>
            </w:r>
            <w:r w:rsidR="00380302">
              <w:rPr>
                <w:vertAlign w:val="superscript"/>
              </w:rPr>
              <w:t xml:space="preserve"> </w:t>
            </w:r>
            <w:r>
              <w:t xml:space="preserve">in humans </w:t>
            </w:r>
            <w:r w:rsidR="007417FB">
              <w:t>for 40 y</w:t>
            </w:r>
            <w:r w:rsidR="005D162E">
              <w:t>r</w:t>
            </w:r>
            <w:r w:rsidR="007417FB">
              <w:t xml:space="preserve"> occupational exposure to 0.9 mg/m</w:t>
            </w:r>
            <w:r w:rsidR="007417FB" w:rsidRPr="00714344">
              <w:rPr>
                <w:vertAlign w:val="superscript"/>
              </w:rPr>
              <w:t>3</w:t>
            </w:r>
            <w:r w:rsidR="00723394">
              <w:t>.</w:t>
            </w:r>
          </w:p>
          <w:p w14:paraId="16063D51" w14:textId="251A54AE" w:rsidR="00F41DAE" w:rsidRPr="00DA352E" w:rsidRDefault="00F41DAE" w:rsidP="00714344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</w:tbl>
    <w:p w14:paraId="0FB686C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3"/>
        <w:gridCol w:w="661"/>
        <w:gridCol w:w="6445"/>
      </w:tblGrid>
      <w:tr w:rsidR="0083646F" w:rsidRPr="00263255" w14:paraId="71AF2A3D" w14:textId="77777777" w:rsidTr="0083646F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685C3D2D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5A3E7DA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C025D60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31C51B2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7D7BE57" w14:textId="77777777" w:rsidTr="0083646F">
        <w:trPr>
          <w:cantSplit/>
        </w:trPr>
        <w:tc>
          <w:tcPr>
            <w:tcW w:w="1497" w:type="dxa"/>
          </w:tcPr>
          <w:p w14:paraId="69802951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74BDF0DF" w14:textId="525C7D8E" w:rsidR="004966BF" w:rsidRPr="00CE617F" w:rsidRDefault="007D65E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1668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5CEA328" w14:textId="51BCC3D3" w:rsidR="004966BF" w:rsidRPr="004C23F4" w:rsidRDefault="0031668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5" w:type="dxa"/>
          </w:tcPr>
          <w:p w14:paraId="36B8420C" w14:textId="43B74DEA" w:rsidR="004966BF" w:rsidRDefault="00061AD1" w:rsidP="003E4142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061AD1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 xml:space="preserve">: </w:t>
            </w:r>
            <w:r w:rsidR="005D162E">
              <w:rPr>
                <w:rStyle w:val="checkbox"/>
                <w:rFonts w:ascii="Arial" w:hAnsi="Arial" w:cs="Arial"/>
              </w:rPr>
              <w:t xml:space="preserve">335 mg/kg; </w:t>
            </w:r>
            <w:r w:rsidRPr="003E4142">
              <w:t>lowest</w:t>
            </w:r>
            <w:r>
              <w:rPr>
                <w:rStyle w:val="checkbox"/>
                <w:rFonts w:ascii="Arial" w:hAnsi="Arial" w:cs="Arial"/>
              </w:rPr>
              <w:t xml:space="preserve"> reported in rats </w:t>
            </w:r>
          </w:p>
          <w:p w14:paraId="53561105" w14:textId="080C97A2" w:rsidR="00061AD1" w:rsidRPr="004C23F4" w:rsidRDefault="00061AD1" w:rsidP="003E4142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Evidence of skin </w:t>
            </w:r>
            <w:r w:rsidRPr="003E4142">
              <w:t>sensitisation</w:t>
            </w:r>
            <w:r>
              <w:rPr>
                <w:rStyle w:val="checkbox"/>
                <w:rFonts w:ascii="Arial" w:hAnsi="Arial" w:cs="Arial"/>
              </w:rPr>
              <w:t xml:space="preserve"> in humans.</w:t>
            </w:r>
          </w:p>
        </w:tc>
      </w:tr>
      <w:tr w:rsidR="004966BF" w:rsidRPr="004C23F4" w14:paraId="0A022484" w14:textId="77777777" w:rsidTr="0083646F">
        <w:trPr>
          <w:cantSplit/>
        </w:trPr>
        <w:tc>
          <w:tcPr>
            <w:tcW w:w="1497" w:type="dxa"/>
          </w:tcPr>
          <w:p w14:paraId="18969D83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65256DCC" w14:textId="7EE67143" w:rsidR="004966BF" w:rsidRPr="00CE617F" w:rsidRDefault="007D65E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3646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7F228B0" w14:textId="37ACA73C" w:rsidR="004966BF" w:rsidRPr="004C23F4" w:rsidRDefault="0083646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1986</w:t>
            </w:r>
          </w:p>
        </w:tc>
        <w:tc>
          <w:tcPr>
            <w:tcW w:w="6445" w:type="dxa"/>
          </w:tcPr>
          <w:p w14:paraId="500FD243" w14:textId="5E3487F3" w:rsidR="004966BF" w:rsidRPr="004C23F4" w:rsidRDefault="0083646F" w:rsidP="003E4142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 additional data</w:t>
            </w:r>
            <w:r w:rsidR="00061AD1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7593363" w14:textId="77777777" w:rsidTr="0083646F">
        <w:trPr>
          <w:cantSplit/>
        </w:trPr>
        <w:tc>
          <w:tcPr>
            <w:tcW w:w="1497" w:type="dxa"/>
          </w:tcPr>
          <w:p w14:paraId="335F9A0F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75A60B0F" w14:textId="17F7EEBF" w:rsidR="004966BF" w:rsidRPr="00CE617F" w:rsidRDefault="007D65E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842B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E0347F0" w14:textId="7722C442" w:rsidR="004966BF" w:rsidRPr="004C23F4" w:rsidRDefault="004842B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2006</w:t>
            </w:r>
          </w:p>
        </w:tc>
        <w:tc>
          <w:tcPr>
            <w:tcW w:w="6445" w:type="dxa"/>
          </w:tcPr>
          <w:p w14:paraId="2109D2FA" w14:textId="16AD32A4" w:rsidR="004842B3" w:rsidRDefault="004842B3" w:rsidP="003E4142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NOEL </w:t>
            </w:r>
            <w:r w:rsidR="00B223A3">
              <w:rPr>
                <w:rStyle w:val="checkbox"/>
                <w:rFonts w:ascii="Arial" w:hAnsi="Arial" w:cs="Arial"/>
              </w:rPr>
              <w:t xml:space="preserve">of 3 mg/kg/d </w:t>
            </w:r>
            <w:r>
              <w:rPr>
                <w:rStyle w:val="checkbox"/>
                <w:rFonts w:ascii="Arial" w:hAnsi="Arial" w:cs="Arial"/>
              </w:rPr>
              <w:t xml:space="preserve">for skin lesions </w:t>
            </w:r>
          </w:p>
          <w:p w14:paraId="5EEBCE60" w14:textId="0D7C6F8F" w:rsidR="004966BF" w:rsidRPr="004C23F4" w:rsidRDefault="004842B3" w:rsidP="00B223A3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NOEL </w:t>
            </w:r>
            <w:r w:rsidR="00B223A3">
              <w:rPr>
                <w:rStyle w:val="checkbox"/>
                <w:rFonts w:ascii="Arial" w:hAnsi="Arial" w:cs="Arial"/>
              </w:rPr>
              <w:t xml:space="preserve">of 90 mg/kg/d </w:t>
            </w:r>
            <w:r>
              <w:rPr>
                <w:rStyle w:val="checkbox"/>
                <w:rFonts w:ascii="Arial" w:hAnsi="Arial" w:cs="Arial"/>
              </w:rPr>
              <w:t xml:space="preserve">for systemic </w:t>
            </w:r>
            <w:r w:rsidRPr="003E4142">
              <w:t>toxicity</w:t>
            </w:r>
            <w:r w:rsidR="00061AD1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660F887B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33B54D18" w14:textId="77777777" w:rsidTr="0083646F">
        <w:trPr>
          <w:trHeight w:val="454"/>
          <w:tblHeader/>
        </w:trPr>
        <w:tc>
          <w:tcPr>
            <w:tcW w:w="6609" w:type="dxa"/>
            <w:vAlign w:val="center"/>
          </w:tcPr>
          <w:p w14:paraId="7CF3C9E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2F964A83" w14:textId="0570FDB6" w:rsidR="002E0D61" w:rsidRDefault="008867F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463B28B" w14:textId="77777777" w:rsidTr="0083646F">
        <w:trPr>
          <w:trHeight w:val="454"/>
        </w:trPr>
        <w:tc>
          <w:tcPr>
            <w:tcW w:w="6609" w:type="dxa"/>
            <w:vAlign w:val="center"/>
          </w:tcPr>
          <w:p w14:paraId="4D5B72D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4850F214" w14:textId="7BE99142" w:rsidR="008A36CF" w:rsidRDefault="008867F9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76ECE650" w14:textId="77777777" w:rsidTr="0083646F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5FC5710F" w14:textId="655A1B50" w:rsidR="008A36CF" w:rsidRPr="006901A2" w:rsidRDefault="008867F9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348F423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BB06DE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A6234E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A75333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D3AF8A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FED9375" w14:textId="77777777" w:rsidTr="00812887">
        <w:trPr>
          <w:cantSplit/>
        </w:trPr>
        <w:tc>
          <w:tcPr>
            <w:tcW w:w="3227" w:type="dxa"/>
          </w:tcPr>
          <w:p w14:paraId="74943CB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5EAE8B0" w14:textId="006D7D11" w:rsidR="00687890" w:rsidRPr="00DD2F9B" w:rsidRDefault="00153FB3" w:rsidP="00DD2F9B">
            <w:pPr>
              <w:pStyle w:val="Tablefont"/>
            </w:pPr>
            <w:r w:rsidRPr="00153FB3">
              <w:t>Carc. 1B</w:t>
            </w:r>
            <w:r>
              <w:t xml:space="preserve">, </w:t>
            </w:r>
            <w:r w:rsidRPr="00153FB3">
              <w:t>Skin</w:t>
            </w:r>
            <w:r w:rsidR="00AC18A4">
              <w:t>:</w:t>
            </w:r>
            <w:r w:rsidRPr="00153FB3">
              <w:t>Sen</w:t>
            </w:r>
          </w:p>
        </w:tc>
      </w:tr>
      <w:tr w:rsidR="007925F0" w:rsidRPr="004C23F4" w14:paraId="36D9963B" w14:textId="77777777" w:rsidTr="00812887">
        <w:trPr>
          <w:cantSplit/>
        </w:trPr>
        <w:tc>
          <w:tcPr>
            <w:tcW w:w="3227" w:type="dxa"/>
          </w:tcPr>
          <w:p w14:paraId="683EE28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F84DB30" w14:textId="327D554D" w:rsidR="007925F0" w:rsidRPr="00DD2F9B" w:rsidRDefault="00153FB3" w:rsidP="00DD2F9B">
            <w:pPr>
              <w:pStyle w:val="Tablefont"/>
            </w:pPr>
            <w:r w:rsidRPr="00153FB3">
              <w:t>Carcinogenicity – category 1B</w:t>
            </w:r>
            <w:r>
              <w:t xml:space="preserve">, </w:t>
            </w:r>
            <w:r w:rsidRPr="00153FB3">
              <w:t>Skin sensitisation – category 1</w:t>
            </w:r>
          </w:p>
        </w:tc>
      </w:tr>
      <w:tr w:rsidR="00AF483F" w:rsidRPr="004C23F4" w14:paraId="3360CC0A" w14:textId="77777777" w:rsidTr="00812887">
        <w:trPr>
          <w:cantSplit/>
        </w:trPr>
        <w:tc>
          <w:tcPr>
            <w:tcW w:w="3227" w:type="dxa"/>
          </w:tcPr>
          <w:p w14:paraId="54652E73" w14:textId="77777777" w:rsidR="00AF483F" w:rsidRPr="004C23F4" w:rsidRDefault="00AF483F" w:rsidP="00F4402E">
            <w:pPr>
              <w:pStyle w:val="Tablefont"/>
            </w:pPr>
            <w:r>
              <w:lastRenderedPageBreak/>
              <w:t>NICNAS</w:t>
            </w:r>
          </w:p>
        </w:tc>
        <w:tc>
          <w:tcPr>
            <w:tcW w:w="6015" w:type="dxa"/>
          </w:tcPr>
          <w:p w14:paraId="48B3C386" w14:textId="6C889A57" w:rsidR="00AF483F" w:rsidRPr="00DD2F9B" w:rsidRDefault="00153FB3" w:rsidP="00DD2F9B">
            <w:pPr>
              <w:pStyle w:val="Tablefont"/>
            </w:pPr>
            <w:r w:rsidRPr="00153FB3">
              <w:t>Carc. Cat 2</w:t>
            </w:r>
            <w:r>
              <w:t xml:space="preserve">, </w:t>
            </w:r>
            <w:r w:rsidRPr="00153FB3">
              <w:t>Skin sensitisation</w:t>
            </w:r>
            <w:r>
              <w:t xml:space="preserve">, </w:t>
            </w:r>
            <w:r w:rsidRPr="00153FB3">
              <w:t>Skin</w:t>
            </w:r>
          </w:p>
        </w:tc>
      </w:tr>
      <w:tr w:rsidR="00687890" w:rsidRPr="004C23F4" w14:paraId="18EF40D7" w14:textId="77777777" w:rsidTr="00812887">
        <w:trPr>
          <w:cantSplit/>
        </w:trPr>
        <w:tc>
          <w:tcPr>
            <w:tcW w:w="3227" w:type="dxa"/>
          </w:tcPr>
          <w:p w14:paraId="238065B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FCBCFCA" w14:textId="3D1E303D" w:rsidR="00687890" w:rsidRPr="00DD2F9B" w:rsidRDefault="00153FB3" w:rsidP="00DD2F9B">
            <w:pPr>
              <w:pStyle w:val="Tablefont"/>
            </w:pPr>
            <w:r w:rsidRPr="00153FB3">
              <w:t>Carcinogenicity – category 1B</w:t>
            </w:r>
            <w:r>
              <w:t xml:space="preserve">, </w:t>
            </w:r>
            <w:r w:rsidRPr="00153FB3">
              <w:t>Skin sensitisation – category 1</w:t>
            </w:r>
          </w:p>
        </w:tc>
      </w:tr>
      <w:tr w:rsidR="00E41A26" w:rsidRPr="004C23F4" w14:paraId="3EE8AFAC" w14:textId="77777777" w:rsidTr="00812887">
        <w:trPr>
          <w:cantSplit/>
        </w:trPr>
        <w:tc>
          <w:tcPr>
            <w:tcW w:w="3227" w:type="dxa"/>
          </w:tcPr>
          <w:p w14:paraId="2D97446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F2739FF" w14:textId="2DDA7A89" w:rsidR="00E41A26" w:rsidRPr="00DD2F9B" w:rsidRDefault="00FE0A5A" w:rsidP="00DD2F9B">
            <w:pPr>
              <w:pStyle w:val="Tablefont"/>
            </w:pPr>
            <w:r w:rsidRPr="00FE0A5A">
              <w:t>Carc. 1B</w:t>
            </w:r>
            <w:r>
              <w:t xml:space="preserve">, </w:t>
            </w:r>
            <w:r w:rsidR="00D63750" w:rsidRPr="00D63750">
              <w:t>Skin Sens. 1</w:t>
            </w:r>
          </w:p>
        </w:tc>
      </w:tr>
      <w:tr w:rsidR="002E0D61" w:rsidRPr="004C23F4" w14:paraId="26CF3C21" w14:textId="77777777" w:rsidTr="00812887">
        <w:trPr>
          <w:cantSplit/>
        </w:trPr>
        <w:tc>
          <w:tcPr>
            <w:tcW w:w="3227" w:type="dxa"/>
          </w:tcPr>
          <w:p w14:paraId="7FA8309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25E4D7A" w14:textId="104048C2" w:rsidR="002E0D61" w:rsidRPr="00DD2F9B" w:rsidRDefault="00D63750" w:rsidP="00DD2F9B">
            <w:pPr>
              <w:pStyle w:val="Tablefont"/>
            </w:pPr>
            <w:r w:rsidRPr="00D63750">
              <w:t>Carcinogenicity – A3</w:t>
            </w:r>
            <w:r>
              <w:t xml:space="preserve">, </w:t>
            </w:r>
            <w:r w:rsidRPr="00D63750">
              <w:t>Skin</w:t>
            </w:r>
          </w:p>
        </w:tc>
      </w:tr>
      <w:tr w:rsidR="002E0D61" w:rsidRPr="004C23F4" w14:paraId="4DAC0EA8" w14:textId="77777777" w:rsidTr="00812887">
        <w:trPr>
          <w:cantSplit/>
        </w:trPr>
        <w:tc>
          <w:tcPr>
            <w:tcW w:w="3227" w:type="dxa"/>
          </w:tcPr>
          <w:p w14:paraId="77428CB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F1E04D4" w14:textId="4FDCC2EF" w:rsidR="002E0D61" w:rsidRPr="00DD2F9B" w:rsidRDefault="00D63750" w:rsidP="00DD2F9B">
            <w:pPr>
              <w:pStyle w:val="Tablefont"/>
            </w:pPr>
            <w:r w:rsidRPr="00D63750">
              <w:t>Carcinogenicity – 2</w:t>
            </w:r>
            <w:r>
              <w:t xml:space="preserve">, </w:t>
            </w:r>
            <w:r w:rsidRPr="00D63750">
              <w:t>H (skin)</w:t>
            </w:r>
            <w:r>
              <w:t xml:space="preserve">, </w:t>
            </w:r>
            <w:r w:rsidRPr="00D63750">
              <w:t>Sh (dermal sensitiser)</w:t>
            </w:r>
          </w:p>
        </w:tc>
      </w:tr>
      <w:tr w:rsidR="002E0D61" w:rsidRPr="004C23F4" w14:paraId="5F142685" w14:textId="77777777" w:rsidTr="00812887">
        <w:trPr>
          <w:cantSplit/>
        </w:trPr>
        <w:tc>
          <w:tcPr>
            <w:tcW w:w="3227" w:type="dxa"/>
          </w:tcPr>
          <w:p w14:paraId="5CBB347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4D8DFF3" w14:textId="3F149CE9" w:rsidR="002E0D61" w:rsidRPr="00DD2F9B" w:rsidRDefault="00D63750" w:rsidP="00DD2F9B">
            <w:pPr>
              <w:pStyle w:val="Tablefont"/>
            </w:pPr>
            <w:r w:rsidRPr="00D63750">
              <w:t>Carcinogenicity – A</w:t>
            </w:r>
            <w:r>
              <w:t xml:space="preserve">, </w:t>
            </w:r>
            <w:r w:rsidRPr="00D63750">
              <w:t>Skin</w:t>
            </w:r>
          </w:p>
        </w:tc>
      </w:tr>
      <w:tr w:rsidR="002E0D61" w:rsidRPr="004C23F4" w14:paraId="742FC6FB" w14:textId="77777777" w:rsidTr="00812887">
        <w:trPr>
          <w:cantSplit/>
        </w:trPr>
        <w:tc>
          <w:tcPr>
            <w:tcW w:w="3227" w:type="dxa"/>
          </w:tcPr>
          <w:p w14:paraId="2316B3D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8FD9AFE" w14:textId="0F5D0A74" w:rsidR="002E0D61" w:rsidRPr="00DD2F9B" w:rsidRDefault="00D6375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4E9D6FD" w14:textId="77777777" w:rsidTr="00812887">
        <w:trPr>
          <w:cantSplit/>
        </w:trPr>
        <w:tc>
          <w:tcPr>
            <w:tcW w:w="3227" w:type="dxa"/>
          </w:tcPr>
          <w:p w14:paraId="67F17AA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5FC237A" w14:textId="28F7142E" w:rsidR="00386093" w:rsidRPr="00DD2F9B" w:rsidRDefault="00D63750" w:rsidP="00DD2F9B">
            <w:pPr>
              <w:pStyle w:val="Tablefont"/>
            </w:pPr>
            <w:r w:rsidRPr="00D63750">
              <w:t>Carcinogenicity – Group 2B</w:t>
            </w:r>
          </w:p>
        </w:tc>
      </w:tr>
      <w:tr w:rsidR="00386093" w:rsidRPr="004C23F4" w14:paraId="498C6B85" w14:textId="77777777" w:rsidTr="00812887">
        <w:trPr>
          <w:cantSplit/>
        </w:trPr>
        <w:tc>
          <w:tcPr>
            <w:tcW w:w="3227" w:type="dxa"/>
          </w:tcPr>
          <w:p w14:paraId="39E96F51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B60543C" w14:textId="6743BA2C" w:rsidR="00386093" w:rsidRPr="00DD2F9B" w:rsidRDefault="00D6375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B05B27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49C87AE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FDC0E0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40DC8C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1DA8BE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828"/>
              <w:gridCol w:w="1128"/>
              <w:gridCol w:w="1128"/>
              <w:gridCol w:w="2726"/>
            </w:tblGrid>
            <w:tr w:rsidR="0093764F" w:rsidRPr="0093764F" w14:paraId="3EA026AB" w14:textId="77777777" w:rsidTr="0093764F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02A2C5" w14:textId="77777777" w:rsidR="0093764F" w:rsidRPr="0093764F" w:rsidRDefault="0093764F" w:rsidP="0093764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C2B1477" w14:textId="77777777" w:rsidR="0093764F" w:rsidRPr="0093764F" w:rsidRDefault="0093764F" w:rsidP="0093764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BCFC35" w14:textId="77777777" w:rsidR="0093764F" w:rsidRPr="0093764F" w:rsidRDefault="0093764F" w:rsidP="0093764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247B70" w14:textId="77777777" w:rsidR="0093764F" w:rsidRPr="0093764F" w:rsidRDefault="0093764F" w:rsidP="0093764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3764F" w:rsidRPr="0093764F" w14:paraId="7FEB1493" w14:textId="77777777" w:rsidTr="0093764F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F843B1" w14:textId="77777777" w:rsidR="0093764F" w:rsidRPr="0093764F" w:rsidRDefault="0093764F" w:rsidP="0093764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49A168" w14:textId="77777777" w:rsidR="0093764F" w:rsidRPr="0093764F" w:rsidRDefault="0093764F" w:rsidP="0093764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C21740" w14:textId="77777777" w:rsidR="0093764F" w:rsidRPr="0093764F" w:rsidRDefault="0093764F" w:rsidP="0093764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02F7DA" w14:textId="77777777" w:rsidR="0093764F" w:rsidRPr="0093764F" w:rsidRDefault="0093764F" w:rsidP="0093764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3764F" w:rsidRPr="0093764F" w14:paraId="497A4DE6" w14:textId="77777777" w:rsidTr="0093764F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8135F2" w14:textId="77777777" w:rsidR="0093764F" w:rsidRPr="0093764F" w:rsidRDefault="0093764F" w:rsidP="0093764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FF9082" w14:textId="77777777" w:rsidR="0093764F" w:rsidRPr="0093764F" w:rsidRDefault="0093764F" w:rsidP="0093764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578DFD" w14:textId="77777777" w:rsidR="0093764F" w:rsidRPr="0093764F" w:rsidRDefault="0093764F" w:rsidP="0093764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EEF6AD" w14:textId="77777777" w:rsidR="0093764F" w:rsidRPr="0093764F" w:rsidRDefault="0093764F" w:rsidP="0093764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3764F" w:rsidRPr="0093764F" w14:paraId="4858A1B9" w14:textId="77777777" w:rsidTr="0093764F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0B3E8D" w14:textId="77777777" w:rsidR="0093764F" w:rsidRPr="0093764F" w:rsidRDefault="0093764F" w:rsidP="0093764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6BAACB" w14:textId="77777777" w:rsidR="0093764F" w:rsidRPr="0093764F" w:rsidRDefault="0093764F" w:rsidP="0093764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842C73" w14:textId="77777777" w:rsidR="0093764F" w:rsidRPr="0093764F" w:rsidRDefault="0093764F" w:rsidP="0093764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AA179C" w14:textId="77777777" w:rsidR="0093764F" w:rsidRPr="0093764F" w:rsidRDefault="0093764F" w:rsidP="0093764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3764F" w:rsidRPr="0093764F" w14:paraId="6D92DBC4" w14:textId="77777777" w:rsidTr="0093764F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411F56" w14:textId="77777777" w:rsidR="0093764F" w:rsidRPr="0093764F" w:rsidRDefault="0093764F" w:rsidP="0093764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5BD3A6" w14:textId="77777777" w:rsidR="0093764F" w:rsidRPr="0093764F" w:rsidRDefault="0093764F" w:rsidP="0093764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D363FE" w14:textId="77777777" w:rsidR="0093764F" w:rsidRPr="0093764F" w:rsidRDefault="0093764F" w:rsidP="0093764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AFD533" w14:textId="77777777" w:rsidR="0093764F" w:rsidRPr="0093764F" w:rsidRDefault="0093764F" w:rsidP="0093764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3764F" w:rsidRPr="0093764F" w14:paraId="4DADDBED" w14:textId="77777777" w:rsidTr="0093764F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05F107" w14:textId="77777777" w:rsidR="0093764F" w:rsidRPr="0093764F" w:rsidRDefault="0093764F" w:rsidP="0093764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FC7914" w14:textId="77777777" w:rsidR="0093764F" w:rsidRPr="0093764F" w:rsidRDefault="0093764F" w:rsidP="0093764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BDBE72" w14:textId="77777777" w:rsidR="0093764F" w:rsidRPr="0093764F" w:rsidRDefault="0093764F" w:rsidP="0093764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3FEE83" w14:textId="77777777" w:rsidR="0093764F" w:rsidRPr="0093764F" w:rsidRDefault="0093764F" w:rsidP="0093764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3764F" w:rsidRPr="0093764F" w14:paraId="60D03DB1" w14:textId="77777777" w:rsidTr="0093764F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DADFC0" w14:textId="77777777" w:rsidR="0093764F" w:rsidRPr="0093764F" w:rsidRDefault="0093764F" w:rsidP="0093764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C69B9E" w14:textId="77777777" w:rsidR="0093764F" w:rsidRPr="0093764F" w:rsidRDefault="0093764F" w:rsidP="0093764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4CF88E" w14:textId="77777777" w:rsidR="0093764F" w:rsidRPr="0093764F" w:rsidRDefault="0093764F" w:rsidP="0093764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E8389A" w14:textId="77777777" w:rsidR="0093764F" w:rsidRPr="0093764F" w:rsidRDefault="0093764F" w:rsidP="0093764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3764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2811E713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836327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67E4EF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23B3B1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556300E" w14:textId="12EB0AC8" w:rsidR="00EB3D1B" w:rsidRDefault="00D63750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6A9522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050A50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8C22B0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BF9FC4C" w14:textId="1AD577EB" w:rsidR="001B79E5" w:rsidRDefault="00D63750" w:rsidP="001B79E5">
                <w:pPr>
                  <w:pStyle w:val="Tablefont"/>
                </w:pPr>
                <w:r w:rsidRPr="00D63750">
                  <w:t>198.26</w:t>
                </w:r>
              </w:p>
            </w:tc>
          </w:sdtContent>
        </w:sdt>
      </w:tr>
      <w:tr w:rsidR="00A31D99" w:rsidRPr="004C23F4" w14:paraId="700BC04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0D8114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C1C984D" w14:textId="115CB68A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D63750">
                  <w:t>8.10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D63750">
                  <w:t>0.124</w:t>
                </w:r>
              </w:sdtContent>
            </w:sdt>
            <w:r w:rsidRPr="00D63750">
              <w:t xml:space="preserve"> </w:t>
            </w:r>
            <w:r>
              <w:t>ppm</w:t>
            </w:r>
          </w:p>
        </w:tc>
      </w:tr>
      <w:tr w:rsidR="00687890" w:rsidRPr="004C23F4" w14:paraId="611CEC7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DDD38C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AD8901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3C9B585" w14:textId="77777777" w:rsidTr="00EA6243">
        <w:trPr>
          <w:cantSplit/>
        </w:trPr>
        <w:tc>
          <w:tcPr>
            <w:tcW w:w="4077" w:type="dxa"/>
            <w:vAlign w:val="center"/>
          </w:tcPr>
          <w:p w14:paraId="2DA7917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084DAC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11D5470" w14:textId="77777777" w:rsidTr="00EA6243">
        <w:trPr>
          <w:cantSplit/>
        </w:trPr>
        <w:tc>
          <w:tcPr>
            <w:tcW w:w="4077" w:type="dxa"/>
            <w:vAlign w:val="center"/>
          </w:tcPr>
          <w:p w14:paraId="7C45961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49CDED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C0CD60D" w14:textId="77777777" w:rsidTr="00EA6243">
        <w:trPr>
          <w:cantSplit/>
        </w:trPr>
        <w:tc>
          <w:tcPr>
            <w:tcW w:w="4077" w:type="dxa"/>
            <w:vAlign w:val="center"/>
          </w:tcPr>
          <w:p w14:paraId="3D3D3C5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1405514" w14:textId="50F3C111" w:rsidR="00E06F40" w:rsidRPr="00A006A0" w:rsidRDefault="007D65E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63750">
                  <w:sym w:font="Wingdings" w:char="F0FC"/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37C9F3E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6D2E87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EF5E44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A43D1C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60D0B3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42C6FF9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7D0886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D74213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B2BD5FB" w14:textId="470B3A03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4BD4CE0" w14:textId="3B01F7A1" w:rsidR="00D63750" w:rsidRDefault="00D63750" w:rsidP="00D63750">
      <w:r w:rsidRPr="002022B6">
        <w:t>Deutsche Forschungsgemeinschaft (DFG)</w:t>
      </w:r>
      <w:r>
        <w:t xml:space="preserve"> (2013) 4,40 -Diaminodiphenylmethan – MAK value documentation.</w:t>
      </w:r>
    </w:p>
    <w:p w14:paraId="1B66E471" w14:textId="37265AC1" w:rsidR="00D63750" w:rsidRDefault="00D87FB1" w:rsidP="00084859">
      <w:r w:rsidRPr="00D87FB1">
        <w:t>European Chemicals Agency Regulation (ECHA) No 1907/2006 of the European Parliament and of the Council of 18 December 2006 concerning the Registration, Evaluation, Authorisation and Restriction of Chemicals (REACH).</w:t>
      </w:r>
      <w:r w:rsidR="00D63750">
        <w:t>.</w:t>
      </w:r>
    </w:p>
    <w:p w14:paraId="3454D9B8" w14:textId="77777777" w:rsidR="005B1681" w:rsidRDefault="005B1681" w:rsidP="005B1681">
      <w:r w:rsidRPr="002022B6">
        <w:t>EU Scientific Committee on Occupational Exposure Limits (SCOEL)</w:t>
      </w:r>
      <w:r>
        <w:t xml:space="preserve"> (</w:t>
      </w:r>
      <w:r w:rsidRPr="00D63750">
        <w:t>2012</w:t>
      </w:r>
      <w:r>
        <w:t xml:space="preserve">) Recommendation from the Scientific Committee on Occupational Exposure Limits for </w:t>
      </w:r>
      <w:r w:rsidRPr="00D63750">
        <w:t>4,4’-Diaminodiphenylmethane [MDA]</w:t>
      </w:r>
      <w:r>
        <w:t>. SCOEL/</w:t>
      </w:r>
      <w:r w:rsidRPr="00D63750">
        <w:t>SUM/107</w:t>
      </w:r>
      <w:r>
        <w:t>.</w:t>
      </w:r>
    </w:p>
    <w:p w14:paraId="0435C867" w14:textId="3284BB64" w:rsidR="00AC18A4" w:rsidRDefault="005B1681" w:rsidP="005B1681">
      <w:r w:rsidRPr="00190473">
        <w:t xml:space="preserve">International Agency for Research on Cancer (IARC) </w:t>
      </w:r>
      <w:r>
        <w:t>Some c</w:t>
      </w:r>
      <w:r w:rsidRPr="00190473">
        <w:t xml:space="preserve">hemicals </w:t>
      </w:r>
      <w:r>
        <w:t>u</w:t>
      </w:r>
      <w:r w:rsidRPr="00190473">
        <w:t xml:space="preserve">sed in </w:t>
      </w:r>
      <w:r>
        <w:t>plastics and e</w:t>
      </w:r>
      <w:r w:rsidRPr="00190473">
        <w:t>lastomers. IARC Monographs –</w:t>
      </w:r>
      <w:r>
        <w:t xml:space="preserve"> 39</w:t>
      </w:r>
      <w:r w:rsidRPr="00190473">
        <w:t>.</w:t>
      </w:r>
    </w:p>
    <w:p w14:paraId="207EDC73" w14:textId="213C58F7" w:rsidR="00AC18A4" w:rsidRDefault="00AC18A4" w:rsidP="005B1681">
      <w:r w:rsidRPr="00AC18A4">
        <w:t>Health Council of the Netherlands</w:t>
      </w:r>
      <w:r>
        <w:t xml:space="preserve"> (HCOTN) (2000)</w:t>
      </w:r>
      <w:r w:rsidRPr="00AC18A4">
        <w:t>: Dutch Expert Comm</w:t>
      </w:r>
      <w:r>
        <w:t xml:space="preserve">ittee on Occupational Standards: </w:t>
      </w:r>
      <w:r w:rsidRPr="00AC18A4">
        <w:t>4,4’-Methylene dianiline; Health-based calculated occupational cancer risk values. The Hague: Health Council of the Netherlands, 2000; publication no. 2000/11OSH.</w:t>
      </w:r>
    </w:p>
    <w:p w14:paraId="36312B35" w14:textId="612C86A1" w:rsidR="005B1681" w:rsidRDefault="005B1681" w:rsidP="005B1681">
      <w:pPr>
        <w:rPr>
          <w:b/>
        </w:rPr>
      </w:pPr>
      <w:r w:rsidRPr="002022B6">
        <w:t>National Industrial Chemicals Notification and Assessment Scheme (NICNAS)</w:t>
      </w:r>
      <w:r>
        <w:t xml:space="preserve"> (</w:t>
      </w:r>
      <w:r w:rsidRPr="00D63750">
        <w:t>2014</w:t>
      </w:r>
      <w:r>
        <w:t xml:space="preserve">) </w:t>
      </w:r>
      <w:r w:rsidRPr="00D63750">
        <w:t>Benzenamine, 4,4'-methylenebis</w:t>
      </w:r>
      <w:r w:rsidRPr="0071660C">
        <w:t xml:space="preserve">: Human health </w:t>
      </w:r>
      <w:r w:rsidRPr="00D63750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1601F8EC" w14:textId="77777777" w:rsidR="00D63750" w:rsidRDefault="00D63750" w:rsidP="00D63750"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02357628" w14:textId="77777777" w:rsidR="00D63750" w:rsidRPr="00351FE0" w:rsidRDefault="00D63750" w:rsidP="00084859"/>
    <w:sectPr w:rsidR="00D63750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A39E2" w14:textId="77777777" w:rsidR="00D56A88" w:rsidRDefault="00D56A88" w:rsidP="00F43AD5">
      <w:pPr>
        <w:spacing w:after="0" w:line="240" w:lineRule="auto"/>
      </w:pPr>
      <w:r>
        <w:separator/>
      </w:r>
    </w:p>
  </w:endnote>
  <w:endnote w:type="continuationSeparator" w:id="0">
    <w:p w14:paraId="0CDE8356" w14:textId="77777777" w:rsidR="00D56A88" w:rsidRDefault="00D56A8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1EB9E" w14:textId="77777777" w:rsidR="00C22374" w:rsidRDefault="00C223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8F68FBB" w14:textId="77777777" w:rsidR="00BD0185" w:rsidRPr="00BD0185" w:rsidRDefault="00BD0185" w:rsidP="00BD0185">
        <w:pPr>
          <w:pStyle w:val="Footer"/>
          <w:rPr>
            <w:b/>
            <w:sz w:val="18"/>
            <w:szCs w:val="18"/>
          </w:rPr>
        </w:pPr>
      </w:p>
      <w:p w14:paraId="38D8FB24" w14:textId="55F4D64B" w:rsidR="008A36CF" w:rsidRDefault="00BD0185" w:rsidP="00BD0185">
        <w:pPr>
          <w:pStyle w:val="Footer"/>
          <w:rPr>
            <w:sz w:val="18"/>
            <w:szCs w:val="18"/>
          </w:rPr>
        </w:pPr>
        <w:r w:rsidRPr="00BD0185">
          <w:rPr>
            <w:b/>
            <w:sz w:val="18"/>
            <w:szCs w:val="18"/>
          </w:rPr>
          <w:t>4,4'-Methylene dianiline</w:t>
        </w:r>
        <w:r w:rsidR="008A36CF">
          <w:rPr>
            <w:b/>
            <w:sz w:val="18"/>
            <w:szCs w:val="18"/>
          </w:rPr>
          <w:t xml:space="preserve"> (</w:t>
        </w:r>
        <w:r w:rsidRPr="00BD0185">
          <w:rPr>
            <w:b/>
            <w:sz w:val="18"/>
            <w:szCs w:val="18"/>
          </w:rPr>
          <w:t>101-77-9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72763F3" w14:textId="68FFE58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E3C1D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F6886" w14:textId="77777777" w:rsidR="00C22374" w:rsidRDefault="00C223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57B02" w14:textId="77777777" w:rsidR="00D56A88" w:rsidRDefault="00D56A88" w:rsidP="00F43AD5">
      <w:pPr>
        <w:spacing w:after="0" w:line="240" w:lineRule="auto"/>
      </w:pPr>
      <w:r>
        <w:separator/>
      </w:r>
    </w:p>
  </w:footnote>
  <w:footnote w:type="continuationSeparator" w:id="0">
    <w:p w14:paraId="2DCFF9B5" w14:textId="77777777" w:rsidR="00D56A88" w:rsidRDefault="00D56A8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273BB" w14:textId="02C6117C" w:rsidR="00C22374" w:rsidRDefault="00C223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4F64E" w14:textId="039971B2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F4191" w14:textId="08A37B83" w:rsidR="00C22374" w:rsidRDefault="00C2237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1F4B6" w14:textId="3C3FF26B" w:rsidR="00C22374" w:rsidRDefault="00C2237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E29D4" w14:textId="7C43CF2E" w:rsidR="008A36CF" w:rsidRDefault="00C22374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5E03A6DB" wp14:editId="4D250071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2B482" w14:textId="30AB71F8" w:rsidR="00C22374" w:rsidRDefault="00C223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AF89DE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769A89A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100170B"/>
    <w:multiLevelType w:val="hybridMultilevel"/>
    <w:tmpl w:val="7D66370A"/>
    <w:lvl w:ilvl="0" w:tplc="040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 w16cid:durableId="1577470202">
    <w:abstractNumId w:val="1"/>
  </w:num>
  <w:num w:numId="2" w16cid:durableId="70851583">
    <w:abstractNumId w:val="1"/>
  </w:num>
  <w:num w:numId="3" w16cid:durableId="628054975">
    <w:abstractNumId w:val="1"/>
  </w:num>
  <w:num w:numId="4" w16cid:durableId="877858337">
    <w:abstractNumId w:val="1"/>
  </w:num>
  <w:num w:numId="5" w16cid:durableId="421032105">
    <w:abstractNumId w:val="1"/>
  </w:num>
  <w:num w:numId="6" w16cid:durableId="714157182">
    <w:abstractNumId w:val="1"/>
  </w:num>
  <w:num w:numId="7" w16cid:durableId="1909877554">
    <w:abstractNumId w:val="0"/>
  </w:num>
  <w:num w:numId="8" w16cid:durableId="5119185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6340"/>
    <w:rsid w:val="00046DF5"/>
    <w:rsid w:val="00052060"/>
    <w:rsid w:val="0005574A"/>
    <w:rsid w:val="00055FE1"/>
    <w:rsid w:val="00056EC2"/>
    <w:rsid w:val="00060B48"/>
    <w:rsid w:val="00061AD1"/>
    <w:rsid w:val="00067F32"/>
    <w:rsid w:val="00071807"/>
    <w:rsid w:val="000803E1"/>
    <w:rsid w:val="00084513"/>
    <w:rsid w:val="00084859"/>
    <w:rsid w:val="00092D94"/>
    <w:rsid w:val="00096460"/>
    <w:rsid w:val="000B0868"/>
    <w:rsid w:val="000B2CFC"/>
    <w:rsid w:val="000B3E12"/>
    <w:rsid w:val="000B3E78"/>
    <w:rsid w:val="000B7B48"/>
    <w:rsid w:val="000B7F2C"/>
    <w:rsid w:val="000C096D"/>
    <w:rsid w:val="000C139A"/>
    <w:rsid w:val="000C2053"/>
    <w:rsid w:val="000C248C"/>
    <w:rsid w:val="000D291C"/>
    <w:rsid w:val="000E2028"/>
    <w:rsid w:val="000E4038"/>
    <w:rsid w:val="000E5A54"/>
    <w:rsid w:val="000E63D3"/>
    <w:rsid w:val="000E67CF"/>
    <w:rsid w:val="00102168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3FB3"/>
    <w:rsid w:val="00160F47"/>
    <w:rsid w:val="00177CA1"/>
    <w:rsid w:val="00183823"/>
    <w:rsid w:val="00183942"/>
    <w:rsid w:val="00190473"/>
    <w:rsid w:val="001A009E"/>
    <w:rsid w:val="001A044A"/>
    <w:rsid w:val="001A1287"/>
    <w:rsid w:val="001A33A8"/>
    <w:rsid w:val="001A3859"/>
    <w:rsid w:val="001A3C9D"/>
    <w:rsid w:val="001A43F8"/>
    <w:rsid w:val="001B79E5"/>
    <w:rsid w:val="001C5290"/>
    <w:rsid w:val="001D56F0"/>
    <w:rsid w:val="001D663B"/>
    <w:rsid w:val="001D7B41"/>
    <w:rsid w:val="001E46DA"/>
    <w:rsid w:val="001E4839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5D46"/>
    <w:rsid w:val="002463BC"/>
    <w:rsid w:val="002465CE"/>
    <w:rsid w:val="0025734A"/>
    <w:rsid w:val="00263242"/>
    <w:rsid w:val="00263255"/>
    <w:rsid w:val="00276494"/>
    <w:rsid w:val="00277B0C"/>
    <w:rsid w:val="00283C68"/>
    <w:rsid w:val="002B1A2C"/>
    <w:rsid w:val="002B5285"/>
    <w:rsid w:val="002C34F2"/>
    <w:rsid w:val="002C58FF"/>
    <w:rsid w:val="002C7AFE"/>
    <w:rsid w:val="002D05D2"/>
    <w:rsid w:val="002E0D61"/>
    <w:rsid w:val="002E4C7B"/>
    <w:rsid w:val="00305CAE"/>
    <w:rsid w:val="00306D32"/>
    <w:rsid w:val="0030740C"/>
    <w:rsid w:val="00315833"/>
    <w:rsid w:val="00316680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4EA1"/>
    <w:rsid w:val="003567A8"/>
    <w:rsid w:val="00362895"/>
    <w:rsid w:val="00370DBF"/>
    <w:rsid w:val="003745C1"/>
    <w:rsid w:val="00380302"/>
    <w:rsid w:val="00386093"/>
    <w:rsid w:val="003904A4"/>
    <w:rsid w:val="00391841"/>
    <w:rsid w:val="00391B6D"/>
    <w:rsid w:val="00391EA1"/>
    <w:rsid w:val="00394922"/>
    <w:rsid w:val="003A0E32"/>
    <w:rsid w:val="003A2B94"/>
    <w:rsid w:val="003B387D"/>
    <w:rsid w:val="003C0D58"/>
    <w:rsid w:val="003C41B0"/>
    <w:rsid w:val="003D4FA3"/>
    <w:rsid w:val="003E0807"/>
    <w:rsid w:val="003E2BE0"/>
    <w:rsid w:val="003E4142"/>
    <w:rsid w:val="003E51FB"/>
    <w:rsid w:val="003E623F"/>
    <w:rsid w:val="003E6B39"/>
    <w:rsid w:val="003E7B38"/>
    <w:rsid w:val="003E7FAC"/>
    <w:rsid w:val="003F07E1"/>
    <w:rsid w:val="004030BC"/>
    <w:rsid w:val="00403F7D"/>
    <w:rsid w:val="00406785"/>
    <w:rsid w:val="004074B2"/>
    <w:rsid w:val="004079B4"/>
    <w:rsid w:val="00417A56"/>
    <w:rsid w:val="00420957"/>
    <w:rsid w:val="00422A10"/>
    <w:rsid w:val="00430179"/>
    <w:rsid w:val="00433000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42B3"/>
    <w:rsid w:val="00485BFD"/>
    <w:rsid w:val="004867A2"/>
    <w:rsid w:val="004873F2"/>
    <w:rsid w:val="00490D4C"/>
    <w:rsid w:val="00493A35"/>
    <w:rsid w:val="00494B7E"/>
    <w:rsid w:val="0049527A"/>
    <w:rsid w:val="004966BF"/>
    <w:rsid w:val="00497984"/>
    <w:rsid w:val="004A5088"/>
    <w:rsid w:val="004B3729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6B32"/>
    <w:rsid w:val="00512B2A"/>
    <w:rsid w:val="005142C4"/>
    <w:rsid w:val="0051509C"/>
    <w:rsid w:val="005220BB"/>
    <w:rsid w:val="005272E2"/>
    <w:rsid w:val="0053108F"/>
    <w:rsid w:val="00532B56"/>
    <w:rsid w:val="00534B10"/>
    <w:rsid w:val="005446A2"/>
    <w:rsid w:val="00544D2F"/>
    <w:rsid w:val="005478B3"/>
    <w:rsid w:val="00551BD8"/>
    <w:rsid w:val="00581055"/>
    <w:rsid w:val="00591E38"/>
    <w:rsid w:val="005A19C5"/>
    <w:rsid w:val="005A3034"/>
    <w:rsid w:val="005A462D"/>
    <w:rsid w:val="005A6B95"/>
    <w:rsid w:val="005B1681"/>
    <w:rsid w:val="005B253B"/>
    <w:rsid w:val="005B59E7"/>
    <w:rsid w:val="005B771D"/>
    <w:rsid w:val="005C5D16"/>
    <w:rsid w:val="005D162E"/>
    <w:rsid w:val="005D3193"/>
    <w:rsid w:val="005D4A6E"/>
    <w:rsid w:val="005E6979"/>
    <w:rsid w:val="005E75CB"/>
    <w:rsid w:val="006013C1"/>
    <w:rsid w:val="0060669E"/>
    <w:rsid w:val="00610F2E"/>
    <w:rsid w:val="00611399"/>
    <w:rsid w:val="00616B73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4C61"/>
    <w:rsid w:val="006650FE"/>
    <w:rsid w:val="006725CA"/>
    <w:rsid w:val="0067305D"/>
    <w:rsid w:val="00677D9B"/>
    <w:rsid w:val="006845D3"/>
    <w:rsid w:val="006867F3"/>
    <w:rsid w:val="00687890"/>
    <w:rsid w:val="006901A2"/>
    <w:rsid w:val="00690368"/>
    <w:rsid w:val="0069079C"/>
    <w:rsid w:val="00690B53"/>
    <w:rsid w:val="00695334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4344"/>
    <w:rsid w:val="00716A0F"/>
    <w:rsid w:val="00717D45"/>
    <w:rsid w:val="007208F7"/>
    <w:rsid w:val="007218AF"/>
    <w:rsid w:val="00722154"/>
    <w:rsid w:val="00723394"/>
    <w:rsid w:val="00732E92"/>
    <w:rsid w:val="007365D1"/>
    <w:rsid w:val="00740E0E"/>
    <w:rsid w:val="007417FB"/>
    <w:rsid w:val="00750212"/>
    <w:rsid w:val="00750A98"/>
    <w:rsid w:val="00754779"/>
    <w:rsid w:val="0075716D"/>
    <w:rsid w:val="00765F14"/>
    <w:rsid w:val="00770E31"/>
    <w:rsid w:val="007734B5"/>
    <w:rsid w:val="007770F1"/>
    <w:rsid w:val="00782A55"/>
    <w:rsid w:val="00783FB1"/>
    <w:rsid w:val="00784355"/>
    <w:rsid w:val="00785CDD"/>
    <w:rsid w:val="00791847"/>
    <w:rsid w:val="007925F0"/>
    <w:rsid w:val="007939B3"/>
    <w:rsid w:val="0079509C"/>
    <w:rsid w:val="00796708"/>
    <w:rsid w:val="007B1B42"/>
    <w:rsid w:val="007C0DAC"/>
    <w:rsid w:val="007C30EB"/>
    <w:rsid w:val="007D65EF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45AD"/>
    <w:rsid w:val="00826F21"/>
    <w:rsid w:val="00834CC8"/>
    <w:rsid w:val="00835E00"/>
    <w:rsid w:val="0083646F"/>
    <w:rsid w:val="00837113"/>
    <w:rsid w:val="008414E4"/>
    <w:rsid w:val="00843E21"/>
    <w:rsid w:val="0084508E"/>
    <w:rsid w:val="00857A8A"/>
    <w:rsid w:val="008630EE"/>
    <w:rsid w:val="00864D13"/>
    <w:rsid w:val="00871CD5"/>
    <w:rsid w:val="00872A79"/>
    <w:rsid w:val="0087427D"/>
    <w:rsid w:val="008745A2"/>
    <w:rsid w:val="008768A8"/>
    <w:rsid w:val="008867F9"/>
    <w:rsid w:val="0088798F"/>
    <w:rsid w:val="00887E4B"/>
    <w:rsid w:val="008915C8"/>
    <w:rsid w:val="00891A04"/>
    <w:rsid w:val="00896BB6"/>
    <w:rsid w:val="008A36CF"/>
    <w:rsid w:val="008A3BC4"/>
    <w:rsid w:val="008B403C"/>
    <w:rsid w:val="008B7983"/>
    <w:rsid w:val="008C2511"/>
    <w:rsid w:val="008C6B54"/>
    <w:rsid w:val="008D026D"/>
    <w:rsid w:val="008D0B5A"/>
    <w:rsid w:val="008D23AB"/>
    <w:rsid w:val="008D4B8B"/>
    <w:rsid w:val="008D5A78"/>
    <w:rsid w:val="008E7B64"/>
    <w:rsid w:val="008F456F"/>
    <w:rsid w:val="008F5DCD"/>
    <w:rsid w:val="00900951"/>
    <w:rsid w:val="009118A6"/>
    <w:rsid w:val="00916784"/>
    <w:rsid w:val="00916909"/>
    <w:rsid w:val="00916EC0"/>
    <w:rsid w:val="00920467"/>
    <w:rsid w:val="00921DE7"/>
    <w:rsid w:val="009268E6"/>
    <w:rsid w:val="0093041A"/>
    <w:rsid w:val="00930714"/>
    <w:rsid w:val="00931B03"/>
    <w:rsid w:val="009323B9"/>
    <w:rsid w:val="00932DCE"/>
    <w:rsid w:val="0093327E"/>
    <w:rsid w:val="00934028"/>
    <w:rsid w:val="0093760E"/>
    <w:rsid w:val="0093764F"/>
    <w:rsid w:val="00946044"/>
    <w:rsid w:val="0094660B"/>
    <w:rsid w:val="00946A33"/>
    <w:rsid w:val="0095260E"/>
    <w:rsid w:val="009578DD"/>
    <w:rsid w:val="00961124"/>
    <w:rsid w:val="009621B6"/>
    <w:rsid w:val="00966418"/>
    <w:rsid w:val="009666CF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C7EE9"/>
    <w:rsid w:val="009D3B5A"/>
    <w:rsid w:val="009E0C05"/>
    <w:rsid w:val="009E0D1C"/>
    <w:rsid w:val="009E2214"/>
    <w:rsid w:val="009E355A"/>
    <w:rsid w:val="009E3C1D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17F52"/>
    <w:rsid w:val="00A2073D"/>
    <w:rsid w:val="00A20751"/>
    <w:rsid w:val="00A247A3"/>
    <w:rsid w:val="00A27E2D"/>
    <w:rsid w:val="00A31D99"/>
    <w:rsid w:val="00A357BA"/>
    <w:rsid w:val="00A35ADC"/>
    <w:rsid w:val="00A402A3"/>
    <w:rsid w:val="00A44C02"/>
    <w:rsid w:val="00A53681"/>
    <w:rsid w:val="00A633D4"/>
    <w:rsid w:val="00A6461A"/>
    <w:rsid w:val="00A84504"/>
    <w:rsid w:val="00A8672F"/>
    <w:rsid w:val="00A87087"/>
    <w:rsid w:val="00A90562"/>
    <w:rsid w:val="00A90F4B"/>
    <w:rsid w:val="00A93057"/>
    <w:rsid w:val="00A968B0"/>
    <w:rsid w:val="00AB2672"/>
    <w:rsid w:val="00AB2817"/>
    <w:rsid w:val="00AB43C4"/>
    <w:rsid w:val="00AC18A4"/>
    <w:rsid w:val="00AC32E7"/>
    <w:rsid w:val="00AC3A9F"/>
    <w:rsid w:val="00AC6D2F"/>
    <w:rsid w:val="00AC7AB2"/>
    <w:rsid w:val="00AD5E74"/>
    <w:rsid w:val="00AD6239"/>
    <w:rsid w:val="00AE2745"/>
    <w:rsid w:val="00AE2F64"/>
    <w:rsid w:val="00AF42CB"/>
    <w:rsid w:val="00AF483F"/>
    <w:rsid w:val="00AF5E07"/>
    <w:rsid w:val="00AF5F06"/>
    <w:rsid w:val="00B00A25"/>
    <w:rsid w:val="00B029AB"/>
    <w:rsid w:val="00B1422A"/>
    <w:rsid w:val="00B1765C"/>
    <w:rsid w:val="00B213C4"/>
    <w:rsid w:val="00B223A3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3631"/>
    <w:rsid w:val="00BD0185"/>
    <w:rsid w:val="00BD499F"/>
    <w:rsid w:val="00BD56DE"/>
    <w:rsid w:val="00BF2406"/>
    <w:rsid w:val="00C06D4B"/>
    <w:rsid w:val="00C06E43"/>
    <w:rsid w:val="00C16315"/>
    <w:rsid w:val="00C22374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09BA"/>
    <w:rsid w:val="00C7155E"/>
    <w:rsid w:val="00C71D1E"/>
    <w:rsid w:val="00C71D7D"/>
    <w:rsid w:val="00C74833"/>
    <w:rsid w:val="00C850A0"/>
    <w:rsid w:val="00C85A86"/>
    <w:rsid w:val="00C978F0"/>
    <w:rsid w:val="00CA5244"/>
    <w:rsid w:val="00CA58FE"/>
    <w:rsid w:val="00CB1CB1"/>
    <w:rsid w:val="00CB6BC1"/>
    <w:rsid w:val="00CB6CB8"/>
    <w:rsid w:val="00CC1A68"/>
    <w:rsid w:val="00CC2123"/>
    <w:rsid w:val="00CD2BFD"/>
    <w:rsid w:val="00CD3313"/>
    <w:rsid w:val="00CD76C8"/>
    <w:rsid w:val="00CE5AD6"/>
    <w:rsid w:val="00CE617F"/>
    <w:rsid w:val="00CE78EF"/>
    <w:rsid w:val="00D048F7"/>
    <w:rsid w:val="00D0517E"/>
    <w:rsid w:val="00D10630"/>
    <w:rsid w:val="00D140FC"/>
    <w:rsid w:val="00D21D8C"/>
    <w:rsid w:val="00D31357"/>
    <w:rsid w:val="00D33220"/>
    <w:rsid w:val="00D334D1"/>
    <w:rsid w:val="00D40804"/>
    <w:rsid w:val="00D44C89"/>
    <w:rsid w:val="00D516CD"/>
    <w:rsid w:val="00D56A88"/>
    <w:rsid w:val="00D63750"/>
    <w:rsid w:val="00D668E6"/>
    <w:rsid w:val="00D70670"/>
    <w:rsid w:val="00D74D80"/>
    <w:rsid w:val="00D76624"/>
    <w:rsid w:val="00D7776C"/>
    <w:rsid w:val="00D87570"/>
    <w:rsid w:val="00D87FB1"/>
    <w:rsid w:val="00D91CB9"/>
    <w:rsid w:val="00D97989"/>
    <w:rsid w:val="00D97D8D"/>
    <w:rsid w:val="00DA352E"/>
    <w:rsid w:val="00DC7694"/>
    <w:rsid w:val="00DD1BF6"/>
    <w:rsid w:val="00DD2CAF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46B9"/>
    <w:rsid w:val="00E26A07"/>
    <w:rsid w:val="00E32595"/>
    <w:rsid w:val="00E37CFD"/>
    <w:rsid w:val="00E41A26"/>
    <w:rsid w:val="00E46BCB"/>
    <w:rsid w:val="00E51CAF"/>
    <w:rsid w:val="00E54D31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3E0D"/>
    <w:rsid w:val="00ED1D89"/>
    <w:rsid w:val="00ED66BC"/>
    <w:rsid w:val="00ED6E1A"/>
    <w:rsid w:val="00EE394A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16A1A"/>
    <w:rsid w:val="00F20E68"/>
    <w:rsid w:val="00F22093"/>
    <w:rsid w:val="00F236DF"/>
    <w:rsid w:val="00F41DAE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4CDD"/>
    <w:rsid w:val="00F970C9"/>
    <w:rsid w:val="00FA06A8"/>
    <w:rsid w:val="00FA1EA1"/>
    <w:rsid w:val="00FA3DF5"/>
    <w:rsid w:val="00FA741F"/>
    <w:rsid w:val="00FB4E07"/>
    <w:rsid w:val="00FB755A"/>
    <w:rsid w:val="00FC60A2"/>
    <w:rsid w:val="00FD1871"/>
    <w:rsid w:val="00FD3110"/>
    <w:rsid w:val="00FD5911"/>
    <w:rsid w:val="00FE0A5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D63750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D1063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364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646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646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64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646F"/>
    <w:rPr>
      <w:b/>
      <w:bCs/>
      <w:szCs w:val="20"/>
    </w:rPr>
  </w:style>
  <w:style w:type="paragraph" w:styleId="Revision">
    <w:name w:val="Revision"/>
    <w:hidden/>
    <w:uiPriority w:val="99"/>
    <w:semiHidden/>
    <w:rsid w:val="00714344"/>
    <w:pPr>
      <w:spacing w:after="0" w:line="240" w:lineRule="auto"/>
    </w:pPr>
  </w:style>
  <w:style w:type="paragraph" w:styleId="ListBullet2">
    <w:name w:val="List Bullet 2"/>
    <w:basedOn w:val="Normal"/>
    <w:uiPriority w:val="99"/>
    <w:unhideWhenUsed/>
    <w:rsid w:val="00A247A3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0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411917521474A8CB50DE2300AF69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91560D-1028-463A-8E87-0C76452CC413}"/>
      </w:docPartPr>
      <w:docPartBody>
        <w:p w:rsidR="000C512D" w:rsidRDefault="00396B7F" w:rsidP="00396B7F">
          <w:pPr>
            <w:pStyle w:val="7411917521474A8CB50DE2300AF699DA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C512D"/>
    <w:rsid w:val="00396B7F"/>
    <w:rsid w:val="00433000"/>
    <w:rsid w:val="007A3B9E"/>
    <w:rsid w:val="00A32B80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96B7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411917521474A8CB50DE2300AF699DA">
    <w:name w:val="7411917521474A8CB50DE2300AF699DA"/>
    <w:rsid w:val="00396B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B07189-0041-4515-8403-79052C1DC7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8F76E3-54EB-4E0C-94BC-AB8F128569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E03532-004F-4BA8-8DF5-6BA33E9A76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EA17DA-F6FF-42E4-BADD-13B584FC6E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1430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2020-01-20T23:23:00Z</dcterms:created>
  <dcterms:modified xsi:type="dcterms:W3CDTF">2025-12-24T00:01:00Z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2025-12-24T00:01:05Z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67578319-00cb-4850-8e8e-d89d38cdae73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