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D865084" w14:textId="77777777" w:rsidR="00BD499F" w:rsidRPr="004C23F4" w:rsidRDefault="00CA3D5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p-nitrochlorobenzene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02592D06" w14:textId="77777777" w:rsidTr="00B76A41">
        <w:trPr>
          <w:cantSplit/>
          <w:tblHeader/>
        </w:trPr>
        <w:tc>
          <w:tcPr>
            <w:tcW w:w="4077" w:type="dxa"/>
          </w:tcPr>
          <w:p w14:paraId="14CBA7A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3EC7BE0" w14:textId="77777777" w:rsidR="00F43AD5" w:rsidRPr="00717D45" w:rsidRDefault="00CA3D50" w:rsidP="00B76A41">
            <w:pPr>
              <w:pStyle w:val="Tablefont"/>
            </w:pPr>
            <w:r w:rsidRPr="00CA3D50">
              <w:t>100-00-5</w:t>
            </w:r>
          </w:p>
        </w:tc>
      </w:tr>
      <w:tr w:rsidR="00F43AD5" w:rsidRPr="00DA700B" w14:paraId="698D7092" w14:textId="77777777" w:rsidTr="00B76A41">
        <w:trPr>
          <w:cantSplit/>
        </w:trPr>
        <w:tc>
          <w:tcPr>
            <w:tcW w:w="4077" w:type="dxa"/>
          </w:tcPr>
          <w:p w14:paraId="3221013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7378F9E" w14:textId="1BF71BF8" w:rsidR="00F43AD5" w:rsidRPr="00DA700B" w:rsidRDefault="00CA3D50" w:rsidP="00B76A41">
            <w:pPr>
              <w:pStyle w:val="Tablefont"/>
              <w:rPr>
                <w:lang w:val="it-IT"/>
              </w:rPr>
            </w:pPr>
            <w:r w:rsidRPr="00DA700B">
              <w:rPr>
                <w:lang w:val="it-IT"/>
              </w:rPr>
              <w:t>p-Chloronitrobenzene, PCNB, PNCB</w:t>
            </w:r>
            <w:r w:rsidR="00603570" w:rsidRPr="00DA700B">
              <w:rPr>
                <w:lang w:val="it-IT"/>
              </w:rPr>
              <w:t>, 4-chloronitrobenzene, 4-chloro-1-nitrobenzene</w:t>
            </w:r>
          </w:p>
        </w:tc>
      </w:tr>
      <w:tr w:rsidR="00F43AD5" w:rsidRPr="004C23F4" w14:paraId="6042DCA2" w14:textId="77777777" w:rsidTr="00B76A41">
        <w:trPr>
          <w:cantSplit/>
        </w:trPr>
        <w:tc>
          <w:tcPr>
            <w:tcW w:w="4077" w:type="dxa"/>
          </w:tcPr>
          <w:p w14:paraId="7224788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C3033DF" w14:textId="77777777" w:rsidR="00F43AD5" w:rsidRPr="00717D45" w:rsidRDefault="00DA5826" w:rsidP="00B76A41">
            <w:pPr>
              <w:pStyle w:val="Tablefont"/>
            </w:pPr>
            <w:r w:rsidRPr="00DA5826">
              <w:t>NO</w:t>
            </w:r>
            <w:r w:rsidRPr="00DA5826">
              <w:rPr>
                <w:vertAlign w:val="subscript"/>
              </w:rPr>
              <w:t>2</w:t>
            </w:r>
            <w:r w:rsidRPr="00DA5826">
              <w:t>C</w:t>
            </w:r>
            <w:r w:rsidRPr="00DA5826">
              <w:rPr>
                <w:vertAlign w:val="subscript"/>
              </w:rPr>
              <w:t>6</w:t>
            </w:r>
            <w:r w:rsidRPr="00DA5826">
              <w:t>H</w:t>
            </w:r>
            <w:r w:rsidRPr="00DA5826">
              <w:rPr>
                <w:vertAlign w:val="subscript"/>
              </w:rPr>
              <w:t>4</w:t>
            </w:r>
            <w:r w:rsidRPr="00DA5826">
              <w:t>Cl</w:t>
            </w:r>
          </w:p>
        </w:tc>
      </w:tr>
      <w:tr w:rsidR="00F43AD5" w:rsidRPr="004C23F4" w14:paraId="74781E2B" w14:textId="77777777" w:rsidTr="00B76A41">
        <w:trPr>
          <w:cantSplit/>
        </w:trPr>
        <w:tc>
          <w:tcPr>
            <w:tcW w:w="4077" w:type="dxa"/>
          </w:tcPr>
          <w:p w14:paraId="00171EF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20C146C" w14:textId="77777777" w:rsidR="00F43AD5" w:rsidRPr="00B40C60" w:rsidRDefault="00DA5826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F2A4230" w14:textId="2F1D346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8067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7E82398" w14:textId="77777777" w:rsidTr="00DA5826">
        <w:trPr>
          <w:cantSplit/>
          <w:tblHeader/>
        </w:trPr>
        <w:tc>
          <w:tcPr>
            <w:tcW w:w="4010" w:type="dxa"/>
            <w:vAlign w:val="center"/>
          </w:tcPr>
          <w:p w14:paraId="533A08B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46D8083" w14:textId="61AE538C" w:rsidR="002C7AFE" w:rsidRPr="00880679" w:rsidRDefault="0088067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(0.64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DA5826" w:rsidRPr="004C23F4" w14:paraId="13DB6B53" w14:textId="77777777" w:rsidTr="00DA5826">
        <w:trPr>
          <w:cantSplit/>
        </w:trPr>
        <w:tc>
          <w:tcPr>
            <w:tcW w:w="4010" w:type="dxa"/>
            <w:vAlign w:val="center"/>
          </w:tcPr>
          <w:p w14:paraId="0FAA3764" w14:textId="77777777" w:rsidR="00DA5826" w:rsidRPr="002C58FF" w:rsidRDefault="00DA5826" w:rsidP="00DA5826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101BC183" w14:textId="77777777" w:rsidR="00DA5826" w:rsidRPr="00EB3D1B" w:rsidRDefault="00DA5826" w:rsidP="00DA5826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DA5826" w:rsidRPr="004C23F4" w14:paraId="51C28BAF" w14:textId="77777777" w:rsidTr="00DA5826">
        <w:trPr>
          <w:cantSplit/>
        </w:trPr>
        <w:tc>
          <w:tcPr>
            <w:tcW w:w="4010" w:type="dxa"/>
            <w:vAlign w:val="center"/>
          </w:tcPr>
          <w:p w14:paraId="63B1137C" w14:textId="77777777" w:rsidR="00DA5826" w:rsidRPr="002C58FF" w:rsidRDefault="00DA5826" w:rsidP="00DA5826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B456F10" w14:textId="77777777" w:rsidR="00DA5826" w:rsidRPr="00EB3D1B" w:rsidRDefault="00DA5826" w:rsidP="00DA5826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DA5826" w:rsidRPr="004C23F4" w14:paraId="72786E00" w14:textId="77777777" w:rsidTr="00DA5826">
        <w:trPr>
          <w:cantSplit/>
        </w:trPr>
        <w:tc>
          <w:tcPr>
            <w:tcW w:w="4010" w:type="dxa"/>
          </w:tcPr>
          <w:p w14:paraId="2F758E5E" w14:textId="77777777" w:rsidR="00DA5826" w:rsidRPr="002C58FF" w:rsidRDefault="00DA5826" w:rsidP="00DA5826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4BE3852A" w14:textId="2097A531" w:rsidR="00DA5826" w:rsidRPr="00EB3D1B" w:rsidRDefault="00AB3252" w:rsidP="00DA5826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. 2, </w:t>
            </w:r>
            <w:r w:rsidR="004517DD">
              <w:rPr>
                <w:b/>
              </w:rPr>
              <w:t>Sk.</w:t>
            </w:r>
          </w:p>
        </w:tc>
      </w:tr>
      <w:tr w:rsidR="00DA5826" w:rsidRPr="004C23F4" w14:paraId="4D39FBEE" w14:textId="77777777" w:rsidTr="00DA5826">
        <w:trPr>
          <w:cantSplit/>
        </w:trPr>
        <w:tc>
          <w:tcPr>
            <w:tcW w:w="4010" w:type="dxa"/>
            <w:vAlign w:val="center"/>
          </w:tcPr>
          <w:p w14:paraId="1120FCB9" w14:textId="77777777" w:rsidR="00DA5826" w:rsidRPr="002C58FF" w:rsidRDefault="00DA5826" w:rsidP="00DA5826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98C0F76" w14:textId="51353A67" w:rsidR="00DA5826" w:rsidRPr="00EB3D1B" w:rsidRDefault="00DA313F" w:rsidP="00DA5826">
            <w:pPr>
              <w:pStyle w:val="Tablefont"/>
              <w:rPr>
                <w:b/>
              </w:rPr>
            </w:pPr>
            <w:r>
              <w:rPr>
                <w:b/>
              </w:rPr>
              <w:t>100 mg/m</w:t>
            </w:r>
            <w:r w:rsidRPr="00DA313F">
              <w:rPr>
                <w:b/>
                <w:vertAlign w:val="superscript"/>
              </w:rPr>
              <w:t>3</w:t>
            </w:r>
          </w:p>
        </w:tc>
      </w:tr>
      <w:tr w:rsidR="004517DD" w:rsidRPr="004C23F4" w14:paraId="21087EBF" w14:textId="77777777" w:rsidTr="008E4B23">
        <w:trPr>
          <w:cantSplit/>
        </w:trPr>
        <w:tc>
          <w:tcPr>
            <w:tcW w:w="9026" w:type="dxa"/>
            <w:gridSpan w:val="2"/>
            <w:vAlign w:val="center"/>
          </w:tcPr>
          <w:p w14:paraId="670E0CA8" w14:textId="7D6C5002" w:rsidR="004517DD" w:rsidRPr="00EB3D1B" w:rsidRDefault="004517DD" w:rsidP="00DA5826">
            <w:pPr>
              <w:pStyle w:val="Tablefont"/>
              <w:rPr>
                <w:b/>
              </w:rPr>
            </w:pPr>
            <w:r>
              <w:t>Sampling and analysis:</w:t>
            </w:r>
            <w:r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/>
                  <w:color w:val="auto"/>
                </w:rPr>
                <w:id w:val="-2105258949"/>
                <w:placeholder>
                  <w:docPart w:val="5444540BC99A4D18A4C8DF1B22E3A6D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D32BC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DF3269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41BB04A" w14:textId="3A35A17A" w:rsidR="006639B4" w:rsidRPr="004C23F4" w:rsidRDefault="00BB7030" w:rsidP="000C139A">
      <w:pPr>
        <w:rPr>
          <w:rFonts w:cs="Arial"/>
        </w:rPr>
      </w:pPr>
      <w:r>
        <w:rPr>
          <w:rFonts w:cs="Arial"/>
        </w:rPr>
        <w:t xml:space="preserve">A </w:t>
      </w:r>
      <w:r w:rsidRPr="003B06B8">
        <w:t xml:space="preserve">TWA of </w:t>
      </w:r>
      <w:r>
        <w:t>0.1</w:t>
      </w:r>
      <w:r w:rsidRPr="003B06B8">
        <w:t xml:space="preserve"> ppm </w:t>
      </w:r>
      <w:r>
        <w:t>(0.64 mg/m</w:t>
      </w:r>
      <w:r>
        <w:rPr>
          <w:vertAlign w:val="superscript"/>
        </w:rPr>
        <w:t>3</w:t>
      </w:r>
      <w:r>
        <w:t xml:space="preserve">) </w:t>
      </w:r>
      <w:r w:rsidRPr="003B06B8">
        <w:t xml:space="preserve">is recommended to </w:t>
      </w:r>
      <w:r>
        <w:t>protect for</w:t>
      </w:r>
      <w:r w:rsidRPr="003B06B8">
        <w:t xml:space="preserve"> </w:t>
      </w:r>
      <w:proofErr w:type="spellStart"/>
      <w:r w:rsidR="00DA700B">
        <w:t>methaemoglobinaemia</w:t>
      </w:r>
      <w:proofErr w:type="spellEnd"/>
      <w:r>
        <w:t xml:space="preserve"> in exposed workers.</w:t>
      </w:r>
    </w:p>
    <w:p w14:paraId="4546ED6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301532B" w14:textId="77777777" w:rsidR="00DA700B" w:rsidRPr="009361FD" w:rsidRDefault="004517DD" w:rsidP="006639B4">
      <w:pPr>
        <w:rPr>
          <w:rFonts w:cs="Arial"/>
        </w:rPr>
      </w:pPr>
      <w:r w:rsidRPr="004517DD">
        <w:rPr>
          <w:i/>
        </w:rPr>
        <w:t>p</w:t>
      </w:r>
      <w:r w:rsidRPr="009361FD">
        <w:t>-</w:t>
      </w:r>
      <w:proofErr w:type="spellStart"/>
      <w:r w:rsidRPr="009361FD">
        <w:t>N</w:t>
      </w:r>
      <w:r w:rsidR="00880679" w:rsidRPr="009361FD">
        <w:t>itrochlorobenzene</w:t>
      </w:r>
      <w:proofErr w:type="spellEnd"/>
      <w:r w:rsidR="00880679" w:rsidRPr="009361FD">
        <w:t xml:space="preserve"> (PNCB)</w:t>
      </w:r>
      <w:r w:rsidR="00880679" w:rsidRPr="009361FD">
        <w:rPr>
          <w:rFonts w:cs="Arial"/>
        </w:rPr>
        <w:t xml:space="preserve"> </w:t>
      </w:r>
      <w:r w:rsidR="00880679" w:rsidRPr="009361FD">
        <w:t>has been used as an intermediate in the manufacture of dyes, rubber and agricultural chemicals</w:t>
      </w:r>
      <w:r w:rsidR="00880679" w:rsidRPr="009361FD">
        <w:rPr>
          <w:rFonts w:cs="Arial"/>
        </w:rPr>
        <w:t>.</w:t>
      </w:r>
      <w:r w:rsidRPr="009361FD">
        <w:rPr>
          <w:rFonts w:cs="Arial"/>
        </w:rPr>
        <w:t xml:space="preserve"> </w:t>
      </w:r>
    </w:p>
    <w:p w14:paraId="4D0DB506" w14:textId="25E9B52D" w:rsidR="006639B4" w:rsidRPr="009361FD" w:rsidRDefault="00880679" w:rsidP="006639B4">
      <w:pPr>
        <w:rPr>
          <w:rFonts w:cs="Arial"/>
        </w:rPr>
      </w:pPr>
      <w:r w:rsidRPr="009361FD">
        <w:rPr>
          <w:rFonts w:cs="Arial"/>
        </w:rPr>
        <w:t xml:space="preserve">The critical </w:t>
      </w:r>
      <w:proofErr w:type="gramStart"/>
      <w:r w:rsidRPr="009361FD">
        <w:rPr>
          <w:rFonts w:cs="Arial"/>
        </w:rPr>
        <w:t>effects</w:t>
      </w:r>
      <w:proofErr w:type="gramEnd"/>
      <w:r w:rsidRPr="009361FD">
        <w:rPr>
          <w:rFonts w:cs="Arial"/>
        </w:rPr>
        <w:t xml:space="preserve"> from exposure is an</w:t>
      </w:r>
      <w:r w:rsidRPr="009361FD">
        <w:t xml:space="preserve"> increase of meth</w:t>
      </w:r>
      <w:r w:rsidR="004517DD" w:rsidRPr="009361FD">
        <w:t>a</w:t>
      </w:r>
      <w:r w:rsidRPr="009361FD">
        <w:t xml:space="preserve">emoglobin and resulting </w:t>
      </w:r>
      <w:proofErr w:type="spellStart"/>
      <w:r w:rsidR="00DA700B" w:rsidRPr="009361FD">
        <w:t>methaemoglobinaemia</w:t>
      </w:r>
      <w:proofErr w:type="spellEnd"/>
      <w:r w:rsidRPr="009361FD">
        <w:t>.</w:t>
      </w:r>
    </w:p>
    <w:p w14:paraId="737FF61D" w14:textId="3CE24D05" w:rsidR="00F30D0F" w:rsidRPr="009361FD" w:rsidRDefault="00EA54E5" w:rsidP="00F30D0F">
      <w:r w:rsidRPr="009361FD">
        <w:t>It is r</w:t>
      </w:r>
      <w:r w:rsidR="004517DD" w:rsidRPr="009361FD">
        <w:t>eported to be absorbed through the l</w:t>
      </w:r>
      <w:r w:rsidR="009A4207" w:rsidRPr="009361FD">
        <w:t xml:space="preserve">ungs and skin to contribute to </w:t>
      </w:r>
      <w:proofErr w:type="spellStart"/>
      <w:r w:rsidR="009A4207" w:rsidRPr="009361FD">
        <w:t>meth</w:t>
      </w:r>
      <w:r w:rsidR="00DA700B" w:rsidRPr="009361FD">
        <w:t>a</w:t>
      </w:r>
      <w:r w:rsidR="009A4207" w:rsidRPr="009361FD">
        <w:t>emoglobin</w:t>
      </w:r>
      <w:r w:rsidR="00DA700B" w:rsidRPr="009361FD">
        <w:t>a</w:t>
      </w:r>
      <w:r w:rsidR="009A4207" w:rsidRPr="009361FD">
        <w:t>emia</w:t>
      </w:r>
      <w:proofErr w:type="spellEnd"/>
      <w:r w:rsidR="009A4207" w:rsidRPr="009361FD">
        <w:t xml:space="preserve"> in humans and animals. </w:t>
      </w:r>
      <w:r w:rsidRPr="009361FD">
        <w:t>There are c</w:t>
      </w:r>
      <w:r w:rsidR="009A4207" w:rsidRPr="009361FD">
        <w:t xml:space="preserve">ase reports of dermal and inhalation exposure </w:t>
      </w:r>
      <w:r w:rsidRPr="009361FD">
        <w:t xml:space="preserve">in humans </w:t>
      </w:r>
      <w:r w:rsidR="009A4207" w:rsidRPr="009361FD">
        <w:t xml:space="preserve">resulting in headache and weakness accompanied </w:t>
      </w:r>
      <w:r w:rsidR="008D5914" w:rsidRPr="009361FD">
        <w:t>with</w:t>
      </w:r>
      <w:r w:rsidR="009A4207" w:rsidRPr="009361FD">
        <w:t xml:space="preserve"> cyanosis.</w:t>
      </w:r>
      <w:r w:rsidR="00F81140" w:rsidRPr="009361FD">
        <w:t xml:space="preserve"> </w:t>
      </w:r>
      <w:r w:rsidR="00DA700B" w:rsidRPr="009361FD">
        <w:t xml:space="preserve">No </w:t>
      </w:r>
      <w:r w:rsidR="00F81140" w:rsidRPr="009361FD">
        <w:t>chronic intoxication but increased meth</w:t>
      </w:r>
      <w:r w:rsidR="004517DD" w:rsidRPr="009361FD">
        <w:t>a</w:t>
      </w:r>
      <w:r w:rsidR="00F81140" w:rsidRPr="009361FD">
        <w:t xml:space="preserve">emoglobin, the appearance of Heinz bodies, headache, vertigo and cases of eczema </w:t>
      </w:r>
      <w:r w:rsidRPr="009361FD">
        <w:t xml:space="preserve">are reported in exposed workers </w:t>
      </w:r>
      <w:r w:rsidR="00F81140" w:rsidRPr="009361FD">
        <w:t>following exposure</w:t>
      </w:r>
      <w:r w:rsidR="008100CA" w:rsidRPr="009361FD">
        <w:t>s</w:t>
      </w:r>
      <w:r w:rsidR="00F81140" w:rsidRPr="009361FD">
        <w:t xml:space="preserve"> </w:t>
      </w:r>
      <w:r w:rsidR="00DA700B" w:rsidRPr="009361FD">
        <w:t xml:space="preserve">at </w:t>
      </w:r>
      <w:r w:rsidR="00F81140" w:rsidRPr="009361FD">
        <w:t>3.6 mg/m</w:t>
      </w:r>
      <w:r w:rsidR="00F81140" w:rsidRPr="009361FD">
        <w:rPr>
          <w:vertAlign w:val="superscript"/>
        </w:rPr>
        <w:t>3</w:t>
      </w:r>
      <w:r w:rsidR="008100CA" w:rsidRPr="009361FD">
        <w:t xml:space="preserve"> and greater</w:t>
      </w:r>
      <w:r w:rsidRPr="009361FD">
        <w:t xml:space="preserve"> concentrations</w:t>
      </w:r>
      <w:r w:rsidR="008100CA" w:rsidRPr="009361FD">
        <w:t>. No further details were provided.</w:t>
      </w:r>
      <w:r w:rsidR="004517DD" w:rsidRPr="009361FD">
        <w:t xml:space="preserve"> Data from a two-week, head only exposure</w:t>
      </w:r>
      <w:r w:rsidR="00F30D0F" w:rsidRPr="009361FD">
        <w:t xml:space="preserve"> study in rats was used to extrapolate a threshold concentration of 0.15 ppm (0.97 mg/m</w:t>
      </w:r>
      <w:r w:rsidR="00F30D0F" w:rsidRPr="009361FD">
        <w:rPr>
          <w:vertAlign w:val="superscript"/>
        </w:rPr>
        <w:t>3</w:t>
      </w:r>
      <w:r w:rsidR="00F30D0F" w:rsidRPr="009361FD">
        <w:t>) for no increase in meth</w:t>
      </w:r>
      <w:r w:rsidR="004517DD" w:rsidRPr="009361FD">
        <w:t>a</w:t>
      </w:r>
      <w:r w:rsidR="00F30D0F" w:rsidRPr="009361FD">
        <w:t xml:space="preserve">emoglobin (ACGIH, 2018). </w:t>
      </w:r>
      <w:r w:rsidR="00AB3252">
        <w:rPr>
          <w:rFonts w:cs="Arial"/>
        </w:rPr>
        <w:t>NICNAS (</w:t>
      </w:r>
      <w:r w:rsidR="00AB3252" w:rsidRPr="009361FD">
        <w:rPr>
          <w:rFonts w:cs="Arial"/>
        </w:rPr>
        <w:t>2016</w:t>
      </w:r>
      <w:r w:rsidR="00AB3252">
        <w:rPr>
          <w:rFonts w:cs="Arial"/>
        </w:rPr>
        <w:t>) reported a</w:t>
      </w:r>
      <w:r w:rsidR="00AB3252" w:rsidRPr="009361FD">
        <w:rPr>
          <w:rFonts w:cs="Arial"/>
        </w:rPr>
        <w:t xml:space="preserve"> </w:t>
      </w:r>
      <w:r w:rsidR="00AB3252" w:rsidRPr="009361FD">
        <w:rPr>
          <w:rStyle w:val="checkbox"/>
          <w:rFonts w:ascii="Arial" w:hAnsi="Arial" w:cs="Arial"/>
        </w:rPr>
        <w:t>LOAEC</w:t>
      </w:r>
      <w:r w:rsidR="00AB3252">
        <w:rPr>
          <w:rStyle w:val="checkbox"/>
          <w:rFonts w:ascii="Arial" w:hAnsi="Arial" w:cs="Arial"/>
        </w:rPr>
        <w:t xml:space="preserve"> of </w:t>
      </w:r>
      <w:r w:rsidR="00AB3252" w:rsidRPr="009361FD">
        <w:rPr>
          <w:rStyle w:val="checkbox"/>
          <w:rFonts w:ascii="Arial" w:hAnsi="Arial" w:cs="Arial"/>
        </w:rPr>
        <w:t>5 mg/m</w:t>
      </w:r>
      <w:r w:rsidR="00AB3252" w:rsidRPr="009361FD">
        <w:rPr>
          <w:rStyle w:val="checkbox"/>
          <w:rFonts w:ascii="Arial" w:hAnsi="Arial" w:cs="Arial"/>
          <w:vertAlign w:val="superscript"/>
        </w:rPr>
        <w:t>3</w:t>
      </w:r>
      <w:r w:rsidR="00AB3252">
        <w:rPr>
          <w:rStyle w:val="checkbox"/>
          <w:rFonts w:ascii="Arial" w:hAnsi="Arial" w:cs="Arial"/>
        </w:rPr>
        <w:t xml:space="preserve"> </w:t>
      </w:r>
      <w:r w:rsidR="00AB3252" w:rsidRPr="009361FD">
        <w:rPr>
          <w:rStyle w:val="checkbox"/>
          <w:rFonts w:ascii="Arial" w:hAnsi="Arial" w:cs="Arial"/>
        </w:rPr>
        <w:t>after four weeks</w:t>
      </w:r>
      <w:r w:rsidR="00AB3252">
        <w:rPr>
          <w:rStyle w:val="checkbox"/>
          <w:rFonts w:ascii="Arial" w:hAnsi="Arial" w:cs="Arial"/>
          <w:vertAlign w:val="superscript"/>
        </w:rPr>
        <w:t xml:space="preserve"> </w:t>
      </w:r>
      <w:r w:rsidR="00AB3252" w:rsidRPr="009361FD">
        <w:rPr>
          <w:rStyle w:val="checkbox"/>
          <w:rFonts w:ascii="Arial" w:hAnsi="Arial" w:cs="Arial"/>
        </w:rPr>
        <w:t>and 9.81 mg/m</w:t>
      </w:r>
      <w:r w:rsidR="00AB3252" w:rsidRPr="009361FD">
        <w:rPr>
          <w:rStyle w:val="checkbox"/>
          <w:rFonts w:ascii="Arial" w:hAnsi="Arial" w:cs="Arial"/>
          <w:vertAlign w:val="superscript"/>
        </w:rPr>
        <w:t>3</w:t>
      </w:r>
      <w:r w:rsidR="00AB3252">
        <w:rPr>
          <w:rStyle w:val="checkbox"/>
          <w:rFonts w:ascii="Arial" w:hAnsi="Arial" w:cs="Arial"/>
          <w:vertAlign w:val="superscript"/>
        </w:rPr>
        <w:t xml:space="preserve"> </w:t>
      </w:r>
      <w:r w:rsidR="00AB3252" w:rsidRPr="009361FD">
        <w:rPr>
          <w:rStyle w:val="checkbox"/>
          <w:rFonts w:ascii="Arial" w:hAnsi="Arial" w:cs="Arial"/>
        </w:rPr>
        <w:t xml:space="preserve">after thirteen weeks (based on </w:t>
      </w:r>
      <w:proofErr w:type="spellStart"/>
      <w:r w:rsidR="00AB3252" w:rsidRPr="009361FD">
        <w:rPr>
          <w:rFonts w:cs="Arial"/>
        </w:rPr>
        <w:t>methaemoglobinaemia</w:t>
      </w:r>
      <w:proofErr w:type="spellEnd"/>
      <w:r w:rsidR="00AB3252">
        <w:rPr>
          <w:rFonts w:cs="Arial"/>
        </w:rPr>
        <w:t xml:space="preserve">) </w:t>
      </w:r>
      <w:r w:rsidR="00AB3252">
        <w:t>from</w:t>
      </w:r>
      <w:r w:rsidR="003B06B8" w:rsidRPr="009361FD">
        <w:t xml:space="preserve"> a f</w:t>
      </w:r>
      <w:r w:rsidR="003B06B8" w:rsidRPr="009361FD">
        <w:rPr>
          <w:rFonts w:cs="Arial"/>
        </w:rPr>
        <w:t>our</w:t>
      </w:r>
      <w:r w:rsidR="004517DD" w:rsidRPr="009361FD">
        <w:rPr>
          <w:rFonts w:cs="Arial"/>
        </w:rPr>
        <w:t xml:space="preserve"> and thirteen</w:t>
      </w:r>
      <w:r w:rsidR="00F30D0F" w:rsidRPr="009361FD">
        <w:rPr>
          <w:rFonts w:cs="Arial"/>
        </w:rPr>
        <w:t xml:space="preserve"> week repeat dose inhalation toxicity study in</w:t>
      </w:r>
      <w:r w:rsidR="003B06B8" w:rsidRPr="009361FD">
        <w:rPr>
          <w:rFonts w:cs="Arial"/>
        </w:rPr>
        <w:t xml:space="preserve"> rats.</w:t>
      </w:r>
    </w:p>
    <w:p w14:paraId="7CAE53E4" w14:textId="05EE8875" w:rsidR="00F81140" w:rsidRPr="009361FD" w:rsidRDefault="003B06B8" w:rsidP="00F81140">
      <w:r w:rsidRPr="009361FD">
        <w:t xml:space="preserve">Given the available data, the </w:t>
      </w:r>
      <w:r w:rsidR="00DA700B" w:rsidRPr="009361FD">
        <w:t xml:space="preserve">SWA </w:t>
      </w:r>
      <w:r w:rsidRPr="009361FD">
        <w:t>TWA of 0.1 ppm (0.64 mg/m</w:t>
      </w:r>
      <w:r w:rsidRPr="009361FD">
        <w:rPr>
          <w:vertAlign w:val="superscript"/>
        </w:rPr>
        <w:t>3</w:t>
      </w:r>
      <w:r w:rsidRPr="009361FD">
        <w:t xml:space="preserve">) is recommended to be retained to </w:t>
      </w:r>
      <w:r w:rsidR="008D5914" w:rsidRPr="009361FD">
        <w:t>protect for</w:t>
      </w:r>
      <w:r w:rsidRPr="009361FD">
        <w:t xml:space="preserve"> </w:t>
      </w:r>
      <w:proofErr w:type="spellStart"/>
      <w:r w:rsidR="00DA700B" w:rsidRPr="009361FD">
        <w:t>methaemoglobinaemia</w:t>
      </w:r>
      <w:proofErr w:type="spellEnd"/>
      <w:r w:rsidRPr="009361FD">
        <w:t xml:space="preserve"> </w:t>
      </w:r>
      <w:r w:rsidR="008D5914" w:rsidRPr="009361FD">
        <w:t>in exposed workers</w:t>
      </w:r>
      <w:r w:rsidR="00B3796A">
        <w:t>,</w:t>
      </w:r>
      <w:r w:rsidR="008D5914" w:rsidRPr="009361FD">
        <w:t xml:space="preserve"> as </w:t>
      </w:r>
      <w:r w:rsidR="00B3796A">
        <w:t>assigned by</w:t>
      </w:r>
      <w:r w:rsidR="008D5914" w:rsidRPr="009361FD">
        <w:t xml:space="preserve"> </w:t>
      </w:r>
      <w:r w:rsidRPr="009361FD">
        <w:t>ACGIH (2018).</w:t>
      </w:r>
    </w:p>
    <w:p w14:paraId="21E67AA7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1FC197C" w14:textId="4F8088A4" w:rsidR="00DA5826" w:rsidRPr="000D1BA9" w:rsidRDefault="00EF5A2D" w:rsidP="00DA5826">
      <w:pPr>
        <w:rPr>
          <w:rFonts w:cs="Arial"/>
        </w:rPr>
      </w:pPr>
      <w:r w:rsidRPr="000D1BA9">
        <w:rPr>
          <w:rFonts w:cs="Arial"/>
        </w:rPr>
        <w:t>C</w:t>
      </w:r>
      <w:r w:rsidR="00DA5826" w:rsidRPr="000D1BA9">
        <w:rPr>
          <w:rFonts w:cs="Arial"/>
        </w:rPr>
        <w:t>lassified as a carcinogen</w:t>
      </w:r>
      <w:r w:rsidR="00880679" w:rsidRPr="000D1BA9">
        <w:rPr>
          <w:rFonts w:cs="Arial"/>
        </w:rPr>
        <w:t xml:space="preserve"> category 2</w:t>
      </w:r>
      <w:r w:rsidR="00DA5826" w:rsidRPr="000D1BA9">
        <w:rPr>
          <w:rFonts w:cs="Arial"/>
        </w:rPr>
        <w:t xml:space="preserve"> according to the Globally Harmonized System of</w:t>
      </w:r>
      <w:r w:rsidR="000D1BA9">
        <w:rPr>
          <w:rFonts w:cs="Arial"/>
        </w:rPr>
        <w:t xml:space="preserve"> Classification and Labelling of</w:t>
      </w:r>
      <w:r w:rsidR="00DA5826" w:rsidRPr="000D1BA9">
        <w:rPr>
          <w:rFonts w:cs="Arial"/>
        </w:rPr>
        <w:t xml:space="preserve"> Chemicals (GHS). </w:t>
      </w:r>
    </w:p>
    <w:p w14:paraId="5F6A6217" w14:textId="4C2BB465" w:rsidR="00DA5826" w:rsidRPr="000D1BA9" w:rsidRDefault="00DA5826" w:rsidP="00DA5826">
      <w:pPr>
        <w:rPr>
          <w:rFonts w:cs="Arial"/>
        </w:rPr>
      </w:pPr>
      <w:r w:rsidRPr="000D1BA9">
        <w:rPr>
          <w:rFonts w:cs="Arial"/>
        </w:rPr>
        <w:t>Not classified as a skin</w:t>
      </w:r>
      <w:r w:rsidR="000D1BA9">
        <w:rPr>
          <w:rFonts w:cs="Arial"/>
        </w:rPr>
        <w:t xml:space="preserve"> </w:t>
      </w:r>
      <w:r w:rsidR="000D1BA9" w:rsidRPr="000D1BA9">
        <w:rPr>
          <w:rFonts w:cs="Arial"/>
        </w:rPr>
        <w:t>sensitiser</w:t>
      </w:r>
      <w:r w:rsidRPr="000D1BA9">
        <w:rPr>
          <w:rFonts w:cs="Arial"/>
        </w:rPr>
        <w:t xml:space="preserve"> or respiratory sensitiser according to the GHS.</w:t>
      </w:r>
    </w:p>
    <w:p w14:paraId="0F420777" w14:textId="38C3EA76" w:rsidR="004529F0" w:rsidRPr="004C23F4" w:rsidRDefault="004517DD" w:rsidP="00DA5826">
      <w:pPr>
        <w:rPr>
          <w:rFonts w:cs="Arial"/>
        </w:rPr>
      </w:pPr>
      <w:r>
        <w:rPr>
          <w:rFonts w:cs="Arial"/>
        </w:rPr>
        <w:t>A s</w:t>
      </w:r>
      <w:r w:rsidR="000D1BA9" w:rsidRPr="000D1BA9">
        <w:rPr>
          <w:rFonts w:cs="Arial"/>
        </w:rPr>
        <w:t>kin notation</w:t>
      </w:r>
      <w:r>
        <w:rPr>
          <w:rFonts w:cs="Arial"/>
        </w:rPr>
        <w:t xml:space="preserve"> is</w:t>
      </w:r>
      <w:r w:rsidR="000D1BA9" w:rsidRPr="000D1BA9">
        <w:rPr>
          <w:rFonts w:cs="Arial"/>
        </w:rPr>
        <w:t xml:space="preserve"> recommended based on evidence of systemic effects following dermal exposure in humans.</w:t>
      </w:r>
    </w:p>
    <w:p w14:paraId="7325246A" w14:textId="77777777" w:rsidR="0025734A" w:rsidRPr="004C23F4" w:rsidRDefault="0025734A">
      <w:pPr>
        <w:rPr>
          <w:rFonts w:cs="Arial"/>
        </w:rPr>
      </w:pPr>
    </w:p>
    <w:p w14:paraId="72F2DB9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9DEE4A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6F7C34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DD521C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A0C1D8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63E626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47E8EF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8245A" w:rsidRPr="007D54B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8245A">
                  <w:t>TWA: 0.1 ppm (0.64 mg/m</w:t>
                </w:r>
                <w:r w:rsidR="0018245A" w:rsidRPr="0018245A">
                  <w:rPr>
                    <w:vertAlign w:val="superscript"/>
                  </w:rPr>
                  <w:t>3</w:t>
                </w:r>
                <w:r w:rsidR="0018245A">
                  <w:t>)</w:t>
                </w:r>
              </w:sdtContent>
            </w:sdt>
          </w:p>
        </w:tc>
      </w:tr>
      <w:tr w:rsidR="00C978F0" w:rsidRPr="00DA352E" w14:paraId="5B0EF72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51113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626138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2C4A2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8245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2090371925"/>
                    <w:placeholder>
                      <w:docPart w:val="8229217D7E124513B9A670EF1D61E16F"/>
                    </w:placeholder>
                  </w:sdtPr>
                  <w:sdtEndPr/>
                  <w:sdtContent>
                    <w:r w:rsidR="0018245A">
                      <w:t>TLV-TWA: 0.1 ppm (0.64 mg/m</w:t>
                    </w:r>
                    <w:r w:rsidR="0018245A" w:rsidRPr="0018245A">
                      <w:rPr>
                        <w:vertAlign w:val="superscript"/>
                      </w:rPr>
                      <w:t>3</w:t>
                    </w:r>
                    <w:r w:rsidR="0018245A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073D3E5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223E46" w14:textId="7CF38722" w:rsidR="00C978F0" w:rsidRDefault="00D47C39" w:rsidP="003365A5">
            <w:pPr>
              <w:pStyle w:val="Tabletextprimarysource"/>
            </w:pPr>
            <w:r>
              <w:t xml:space="preserve">TLV-TWA recommended to minimise the potential for </w:t>
            </w:r>
            <w:proofErr w:type="spellStart"/>
            <w:r w:rsidR="00DA700B">
              <w:t>methaemoglobinaemia</w:t>
            </w:r>
            <w:proofErr w:type="spellEnd"/>
            <w:r>
              <w:t xml:space="preserve"> and resulting anoxia and cyanosis.</w:t>
            </w:r>
          </w:p>
          <w:p w14:paraId="5F56C542" w14:textId="3832BB65" w:rsidR="00D47C39" w:rsidRDefault="00D47C39" w:rsidP="003365A5">
            <w:pPr>
              <w:pStyle w:val="Tabletextprimarysource"/>
            </w:pPr>
            <w:r>
              <w:t>Summary of data:</w:t>
            </w:r>
          </w:p>
          <w:p w14:paraId="0D4BF37A" w14:textId="08D3DB85" w:rsidR="00D47C39" w:rsidRDefault="00D47C39" w:rsidP="003365A5">
            <w:pPr>
              <w:pStyle w:val="Tabletextprimarysource"/>
            </w:pPr>
            <w:r>
              <w:t>No specific derivation provided; based on</w:t>
            </w:r>
            <w:r w:rsidR="00EF5A2D">
              <w:t xml:space="preserve"> threshold concentration for increase of meth</w:t>
            </w:r>
            <w:r w:rsidR="003A1CCF">
              <w:t>a</w:t>
            </w:r>
            <w:r w:rsidR="00EF5A2D">
              <w:t>emoglobin of 0.15 ppm in rats</w:t>
            </w:r>
            <w:r w:rsidR="003A1CCF">
              <w:t>.</w:t>
            </w:r>
          </w:p>
          <w:p w14:paraId="7B6506BA" w14:textId="55DBFB97" w:rsidR="00D47C39" w:rsidRDefault="00D47C39" w:rsidP="003365A5">
            <w:pPr>
              <w:pStyle w:val="Tabletextprimarysource"/>
            </w:pPr>
            <w:r>
              <w:t>Human data:</w:t>
            </w:r>
          </w:p>
          <w:p w14:paraId="734FA44C" w14:textId="44295945" w:rsidR="001B5846" w:rsidRDefault="001B5846" w:rsidP="003B29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Absorbed through lungs and skin to contribute to </w:t>
            </w:r>
            <w:proofErr w:type="spellStart"/>
            <w:r w:rsidR="00DA700B">
              <w:t>methaemoglobinaemia</w:t>
            </w:r>
            <w:proofErr w:type="spellEnd"/>
          </w:p>
          <w:p w14:paraId="78F94FC5" w14:textId="6FDEBBB7" w:rsidR="00D62383" w:rsidRDefault="00D62383" w:rsidP="003B29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reports of dermal and inhalation exposure resulting in headache and weakness accompanied the cyanosis</w:t>
            </w:r>
          </w:p>
          <w:p w14:paraId="4ED44414" w14:textId="56582C01" w:rsidR="00D62383" w:rsidRDefault="00A75B47" w:rsidP="003B29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Study in workers exposed at average of 8.6, 19.6, and 22.3 mg/m</w:t>
            </w:r>
            <w:r w:rsidRPr="00A75B47">
              <w:rPr>
                <w:vertAlign w:val="superscript"/>
              </w:rPr>
              <w:t>3</w:t>
            </w:r>
            <w:r>
              <w:t xml:space="preserve"> and mixed PCNB and </w:t>
            </w:r>
            <w:proofErr w:type="spellStart"/>
            <w:r>
              <w:t>nitrophenetole</w:t>
            </w:r>
            <w:proofErr w:type="spellEnd"/>
            <w:r>
              <w:t xml:space="preserve"> 3.6 mg/m</w:t>
            </w:r>
            <w:r>
              <w:rPr>
                <w:vertAlign w:val="superscript"/>
              </w:rPr>
              <w:t>3</w:t>
            </w:r>
            <w:r w:rsidR="0079760E">
              <w:t>:</w:t>
            </w:r>
          </w:p>
          <w:p w14:paraId="7F07163C" w14:textId="1096749A" w:rsidR="00A75B47" w:rsidRPr="00A75B47" w:rsidRDefault="00A75B47" w:rsidP="003B290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no chronic intoxication at 3.6 mg/m</w:t>
            </w:r>
            <w:r>
              <w:rPr>
                <w:vertAlign w:val="superscript"/>
              </w:rPr>
              <w:t xml:space="preserve">3 </w:t>
            </w:r>
            <w:r w:rsidRPr="00A75B47">
              <w:t>exposure</w:t>
            </w:r>
            <w:r>
              <w:t xml:space="preserve"> concentration; no further details</w:t>
            </w:r>
          </w:p>
          <w:p w14:paraId="679A6B1A" w14:textId="7F1E5CA1" w:rsidR="00A75B47" w:rsidRDefault="00A75B47" w:rsidP="003B290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increased meth</w:t>
            </w:r>
            <w:r w:rsidR="003A1CCF">
              <w:t>a</w:t>
            </w:r>
            <w:r>
              <w:t xml:space="preserve">emoglobin, the appearance of Heinz bodies, headache, vertigo, and cases of eczema </w:t>
            </w:r>
          </w:p>
          <w:p w14:paraId="777EACDD" w14:textId="7BC1E1A1" w:rsidR="00A75B47" w:rsidRDefault="00A75B47" w:rsidP="003B290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unable to determine if effects were due primarily to dermal or respiratory uptake</w:t>
            </w:r>
            <w:r w:rsidR="003A1CCF">
              <w:t>.</w:t>
            </w:r>
          </w:p>
          <w:p w14:paraId="2291ABD7" w14:textId="09F58AFE" w:rsidR="00A75B47" w:rsidRDefault="00A75B47" w:rsidP="00A75B47">
            <w:pPr>
              <w:pStyle w:val="Tabletextprimarysource"/>
            </w:pPr>
            <w:r>
              <w:t>Animal studies</w:t>
            </w:r>
          </w:p>
          <w:p w14:paraId="2BE1E740" w14:textId="14FCB51F" w:rsidR="00A75B47" w:rsidRDefault="00A75B47" w:rsidP="003B29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3A1CCF">
              <w:t xml:space="preserve">: </w:t>
            </w:r>
            <w:r>
              <w:t xml:space="preserve">3,040 mg/kg </w:t>
            </w:r>
            <w:r w:rsidR="003A1CCF">
              <w:t>(</w:t>
            </w:r>
            <w:r>
              <w:t>rabbits</w:t>
            </w:r>
            <w:r w:rsidR="003A1CCF">
              <w:t>, dermal)</w:t>
            </w:r>
          </w:p>
          <w:p w14:paraId="7316A75D" w14:textId="25DDDC44" w:rsidR="00A75B47" w:rsidRDefault="00A75B47" w:rsidP="003B29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Absorbed through the skin producing </w:t>
            </w:r>
            <w:proofErr w:type="spellStart"/>
            <w:r w:rsidR="00DA700B">
              <w:t>methaemoglobinaemia</w:t>
            </w:r>
            <w:proofErr w:type="spellEnd"/>
          </w:p>
          <w:p w14:paraId="7F5E1A44" w14:textId="7C439779" w:rsidR="00A75B47" w:rsidRDefault="00A75B47" w:rsidP="003B29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2-wk head-only inhalation study in rats; 6 h/d, 5 d/</w:t>
            </w:r>
            <w:proofErr w:type="spellStart"/>
            <w:r>
              <w:t>wk</w:t>
            </w:r>
            <w:proofErr w:type="spellEnd"/>
            <w:r w:rsidR="008C4706">
              <w:t xml:space="preserve"> at </w:t>
            </w:r>
            <w:r w:rsidR="00DA700B">
              <w:t xml:space="preserve">0, </w:t>
            </w:r>
            <w:r w:rsidR="008C4706">
              <w:t xml:space="preserve">8.2, 45 or 99 ppm; </w:t>
            </w:r>
            <w:proofErr w:type="spellStart"/>
            <w:r w:rsidR="00DA700B">
              <w:t>methaemoglobinaemia</w:t>
            </w:r>
            <w:proofErr w:type="spellEnd"/>
            <w:r w:rsidR="008C4706">
              <w:t xml:space="preserve"> and increased spleen weight observed at all concentrations</w:t>
            </w:r>
            <w:r w:rsidR="006B43FD">
              <w:t>:</w:t>
            </w:r>
          </w:p>
          <w:p w14:paraId="194E04EB" w14:textId="4BD530CA" w:rsidR="00273E20" w:rsidRDefault="00273E20" w:rsidP="003B290D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threshold concentration of 0.15 ppm (0.97 mg/m</w:t>
            </w:r>
            <w:r>
              <w:rPr>
                <w:vertAlign w:val="superscript"/>
              </w:rPr>
              <w:t>3</w:t>
            </w:r>
            <w:r>
              <w:t>) extrapolated for which no increase in meth</w:t>
            </w:r>
            <w:r w:rsidR="003A1CCF">
              <w:t>a</w:t>
            </w:r>
            <w:r>
              <w:t>emoglobin would be produced; no further information</w:t>
            </w:r>
          </w:p>
          <w:p w14:paraId="3F3420B8" w14:textId="2BEA268B" w:rsidR="007D54BB" w:rsidRDefault="00273E20" w:rsidP="003B29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</w:t>
            </w:r>
            <w:r w:rsidR="008C4706">
              <w:t xml:space="preserve">-wk </w:t>
            </w:r>
            <w:r>
              <w:t>whole-body</w:t>
            </w:r>
            <w:r w:rsidR="008C4706">
              <w:t xml:space="preserve"> inhalation study in rats; 6 h/d, 5 d/</w:t>
            </w:r>
            <w:proofErr w:type="spellStart"/>
            <w:r w:rsidR="008C4706">
              <w:t>wk</w:t>
            </w:r>
            <w:proofErr w:type="spellEnd"/>
            <w:r>
              <w:t xml:space="preserve"> at 0, 0.82, 2.5, or 7.5 </w:t>
            </w:r>
            <w:r w:rsidR="008C4706">
              <w:t xml:space="preserve">ppm; </w:t>
            </w:r>
            <w:r>
              <w:t xml:space="preserve">dose-related increases in blood methemoglobin levels and decreases in haemoglobin, haematocrit, and </w:t>
            </w:r>
            <w:r w:rsidR="003A1CCF">
              <w:t>RBC</w:t>
            </w:r>
            <w:r>
              <w:t xml:space="preserve"> count values; statistically significant in the mid- and high-e</w:t>
            </w:r>
            <w:r w:rsidR="003A1CCF">
              <w:t xml:space="preserve">xposure groups after 2 </w:t>
            </w:r>
            <w:proofErr w:type="spellStart"/>
            <w:r w:rsidR="003A1CCF">
              <w:t>wk</w:t>
            </w:r>
            <w:proofErr w:type="spellEnd"/>
            <w:r w:rsidR="003A1CCF">
              <w:t xml:space="preserve"> and 4 </w:t>
            </w:r>
            <w:proofErr w:type="spellStart"/>
            <w:r w:rsidR="003A1CCF">
              <w:t>wk</w:t>
            </w:r>
            <w:proofErr w:type="spellEnd"/>
          </w:p>
          <w:p w14:paraId="1531579B" w14:textId="13350F5A" w:rsidR="00D47C39" w:rsidRDefault="007D54BB" w:rsidP="003B29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Feeding study in rats and mice; male and female mice showed an increase in vascular tumours at highest dose of 5 mg/kg/d; an increase in liver tumours at the lowest dose of 0.1</w:t>
            </w:r>
            <w:r w:rsidR="005D5D59">
              <w:t> </w:t>
            </w:r>
            <w:r>
              <w:t>mg/kg/d</w:t>
            </w:r>
            <w:r w:rsidR="00DA700B">
              <w:t xml:space="preserve"> reported for male mice</w:t>
            </w:r>
            <w:r>
              <w:t>.</w:t>
            </w:r>
          </w:p>
          <w:p w14:paraId="26D156BB" w14:textId="77777777" w:rsidR="006B43FD" w:rsidRDefault="006B43FD" w:rsidP="007D54BB">
            <w:pPr>
              <w:pStyle w:val="Tabletextprimarysource"/>
            </w:pPr>
          </w:p>
          <w:p w14:paraId="64A686F5" w14:textId="4C6AA276" w:rsidR="007D54BB" w:rsidRDefault="007D54BB" w:rsidP="007D54BB">
            <w:pPr>
              <w:pStyle w:val="Tabletextprimarysource"/>
            </w:pPr>
            <w:r>
              <w:t>Insufficient data to recom</w:t>
            </w:r>
            <w:r w:rsidR="003A1CCF">
              <w:t xml:space="preserve">mend a sensitiser notation or </w:t>
            </w:r>
            <w:r>
              <w:t>TLV-STEL.</w:t>
            </w:r>
          </w:p>
          <w:p w14:paraId="7DC84648" w14:textId="44900898" w:rsidR="006B43FD" w:rsidRPr="00DA352E" w:rsidRDefault="006B43FD" w:rsidP="007D54BB">
            <w:pPr>
              <w:pStyle w:val="Tabletextprimarysource"/>
            </w:pPr>
          </w:p>
        </w:tc>
      </w:tr>
      <w:tr w:rsidR="00C978F0" w:rsidRPr="00DA352E" w14:paraId="0629B03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38DE8D2" w14:textId="568812B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8245A">
                  <w:t>1992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03570">
                  <w:t>Not assigned</w:t>
                </w:r>
              </w:sdtContent>
            </w:sdt>
          </w:p>
        </w:tc>
      </w:tr>
      <w:tr w:rsidR="00C978F0" w:rsidRPr="00DA352E" w14:paraId="1A0BF38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E0AF8A" w14:textId="5852F2AC" w:rsidR="00C978F0" w:rsidRDefault="0079760E" w:rsidP="003365A5">
            <w:pPr>
              <w:pStyle w:val="Tabletextprimarysource"/>
            </w:pPr>
            <w:r>
              <w:t>MAK not assigned due to carcinogenetic potential as demonstrated in animals.</w:t>
            </w:r>
          </w:p>
          <w:p w14:paraId="04BB1403" w14:textId="77777777" w:rsidR="0079760E" w:rsidRDefault="0079760E" w:rsidP="003365A5">
            <w:pPr>
              <w:pStyle w:val="Tabletextprimarysource"/>
            </w:pPr>
            <w:r>
              <w:t>No additional data</w:t>
            </w:r>
            <w:r w:rsidR="003A1CCF">
              <w:t>.</w:t>
            </w:r>
          </w:p>
          <w:p w14:paraId="085AAF83" w14:textId="3626ACAC" w:rsidR="00C675E8" w:rsidRPr="00DA352E" w:rsidRDefault="00C675E8" w:rsidP="003365A5">
            <w:pPr>
              <w:pStyle w:val="Tabletextprimarysource"/>
            </w:pPr>
          </w:p>
        </w:tc>
      </w:tr>
      <w:tr w:rsidR="00C978F0" w:rsidRPr="00DA352E" w14:paraId="7546987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78A720F" w14:textId="2FD0278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B467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B4670">
                  <w:t>NA</w:t>
                </w:r>
                <w:proofErr w:type="spellEnd"/>
              </w:sdtContent>
            </w:sdt>
          </w:p>
        </w:tc>
      </w:tr>
      <w:tr w:rsidR="00C978F0" w:rsidRPr="00DA352E" w14:paraId="472C531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54FAF5" w14:textId="053C4862" w:rsidR="00C978F0" w:rsidRPr="00DA352E" w:rsidRDefault="004B4670" w:rsidP="003365A5">
            <w:pPr>
              <w:pStyle w:val="Tabletextprimarysource"/>
            </w:pPr>
            <w:r>
              <w:t>No report</w:t>
            </w:r>
            <w:r w:rsidR="003A1CCF">
              <w:t>.</w:t>
            </w:r>
          </w:p>
        </w:tc>
      </w:tr>
      <w:tr w:rsidR="00DA352E" w:rsidRPr="00DA352E" w14:paraId="7E0CC36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A7D254D" w14:textId="67A3073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B467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B4670">
                  <w:t>NA</w:t>
                </w:r>
                <w:proofErr w:type="spellEnd"/>
              </w:sdtContent>
            </w:sdt>
          </w:p>
        </w:tc>
      </w:tr>
      <w:tr w:rsidR="00DA352E" w:rsidRPr="00DA352E" w14:paraId="2E653DB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B21F3D" w14:textId="08D98037" w:rsidR="00DA352E" w:rsidRPr="00DA352E" w:rsidRDefault="004B4670" w:rsidP="003365A5">
            <w:pPr>
              <w:pStyle w:val="Tabletextprimarysource"/>
            </w:pPr>
            <w:r>
              <w:t>No report</w:t>
            </w:r>
            <w:r w:rsidR="003A1CCF">
              <w:t>.</w:t>
            </w:r>
          </w:p>
        </w:tc>
      </w:tr>
      <w:tr w:rsidR="00DA352E" w:rsidRPr="00DA352E" w14:paraId="0F3762B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CFCF45C" w14:textId="12D38D7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B4670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B4670">
                  <w:t>Not assigned</w:t>
                </w:r>
              </w:sdtContent>
            </w:sdt>
          </w:p>
        </w:tc>
      </w:tr>
      <w:tr w:rsidR="00DA352E" w:rsidRPr="00DA352E" w14:paraId="3A833B5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F1398E" w14:textId="14068F54" w:rsidR="00DA352E" w:rsidRDefault="00AA6265" w:rsidP="003365A5">
            <w:pPr>
              <w:pStyle w:val="Tabletextprimarysource"/>
            </w:pPr>
            <w:r w:rsidRPr="00AA6265">
              <w:t>Evaluation of the carcinogenicity and genotoxicity</w:t>
            </w:r>
            <w:r>
              <w:t>.</w:t>
            </w:r>
          </w:p>
          <w:p w14:paraId="20BC403A" w14:textId="77777777" w:rsidR="00AA6265" w:rsidRDefault="00AA6265" w:rsidP="00AA6265">
            <w:pPr>
              <w:pStyle w:val="Tabletextprimarysource"/>
            </w:pPr>
            <w:r>
              <w:t>Insufficient information to classify as either carcinogen or genotoxic.</w:t>
            </w:r>
          </w:p>
          <w:p w14:paraId="5AD1B7C1" w14:textId="3753B10E" w:rsidR="00992DE1" w:rsidRPr="00DA352E" w:rsidRDefault="00992DE1" w:rsidP="00AA6265">
            <w:pPr>
              <w:pStyle w:val="Tabletextprimarysource"/>
            </w:pPr>
          </w:p>
        </w:tc>
      </w:tr>
    </w:tbl>
    <w:p w14:paraId="57880C0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3"/>
        <w:gridCol w:w="423"/>
        <w:gridCol w:w="661"/>
        <w:gridCol w:w="6459"/>
      </w:tblGrid>
      <w:tr w:rsidR="004966BF" w:rsidRPr="00263255" w14:paraId="271A547E" w14:textId="77777777" w:rsidTr="00EF5A2D">
        <w:trPr>
          <w:cantSplit/>
          <w:trHeight w:val="393"/>
          <w:tblHeader/>
        </w:trPr>
        <w:tc>
          <w:tcPr>
            <w:tcW w:w="1483" w:type="dxa"/>
            <w:shd w:val="clear" w:color="auto" w:fill="BFBFBF" w:themeFill="background1" w:themeFillShade="BF"/>
            <w:vAlign w:val="center"/>
          </w:tcPr>
          <w:p w14:paraId="1941AAA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73CA12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BFF693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9" w:type="dxa"/>
            <w:shd w:val="clear" w:color="auto" w:fill="BFBFBF" w:themeFill="background1" w:themeFillShade="BF"/>
            <w:vAlign w:val="center"/>
          </w:tcPr>
          <w:p w14:paraId="5074ACE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B215D26" w14:textId="77777777" w:rsidTr="00EF5A2D">
        <w:trPr>
          <w:cantSplit/>
        </w:trPr>
        <w:tc>
          <w:tcPr>
            <w:tcW w:w="1483" w:type="dxa"/>
          </w:tcPr>
          <w:p w14:paraId="746E5516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47C32F4B" w14:textId="41BB7223" w:rsidR="004966BF" w:rsidRPr="00CE617F" w:rsidRDefault="00A4327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24AF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5FA254B" w14:textId="7F62307D" w:rsidR="004966BF" w:rsidRPr="004C23F4" w:rsidRDefault="00E24AF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9" w:type="dxa"/>
          </w:tcPr>
          <w:p w14:paraId="043496F6" w14:textId="41132BC9" w:rsidR="004966BF" w:rsidRPr="009361FD" w:rsidRDefault="00E24AFF" w:rsidP="003B290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color w:val="000000" w:themeColor="text1"/>
                <w:lang w:eastAsia="en-AU"/>
              </w:rPr>
            </w:pPr>
            <w:r w:rsidRPr="009361FD">
              <w:rPr>
                <w:rStyle w:val="checkbox"/>
                <w:rFonts w:ascii="Arial" w:hAnsi="Arial" w:cs="Arial"/>
                <w:color w:val="000000" w:themeColor="text1"/>
              </w:rPr>
              <w:t xml:space="preserve">Positive respiratory reactions observed in a study where rats exposed at </w:t>
            </w:r>
            <w:r w:rsidR="00DA700B" w:rsidRPr="009361FD">
              <w:rPr>
                <w:rStyle w:val="checkbox"/>
                <w:rFonts w:ascii="Arial" w:hAnsi="Arial" w:cs="Arial"/>
                <w:color w:val="000000" w:themeColor="text1"/>
              </w:rPr>
              <w:t xml:space="preserve">a </w:t>
            </w:r>
            <w:r w:rsidRPr="009361FD">
              <w:rPr>
                <w:rStyle w:val="checkbox"/>
                <w:rFonts w:ascii="Arial" w:hAnsi="Arial" w:cs="Arial"/>
                <w:color w:val="000000" w:themeColor="text1"/>
              </w:rPr>
              <w:t xml:space="preserve">concentration </w:t>
            </w:r>
            <w:r w:rsidR="00DA700B" w:rsidRPr="009361FD">
              <w:rPr>
                <w:rStyle w:val="checkbox"/>
                <w:rFonts w:ascii="Arial" w:hAnsi="Arial" w:cs="Arial"/>
                <w:color w:val="000000" w:themeColor="text1"/>
              </w:rPr>
              <w:t xml:space="preserve">of </w:t>
            </w:r>
            <w:r w:rsidRPr="009361FD">
              <w:rPr>
                <w:rStyle w:val="checkbox"/>
                <w:rFonts w:ascii="Arial" w:hAnsi="Arial" w:cs="Arial"/>
                <w:color w:val="000000" w:themeColor="text1"/>
              </w:rPr>
              <w:t>0.008 mg/m</w:t>
            </w:r>
            <w:r w:rsidRPr="009361FD">
              <w:rPr>
                <w:rStyle w:val="checkbox"/>
                <w:rFonts w:ascii="Arial" w:hAnsi="Arial" w:cs="Arial"/>
                <w:color w:val="000000" w:themeColor="text1"/>
                <w:vertAlign w:val="superscript"/>
              </w:rPr>
              <w:t>3</w:t>
            </w:r>
            <w:r w:rsidRPr="009361FD">
              <w:rPr>
                <w:rStyle w:val="checkbox"/>
                <w:rFonts w:ascii="Arial" w:hAnsi="Arial" w:cs="Arial"/>
                <w:color w:val="000000" w:themeColor="text1"/>
              </w:rPr>
              <w:t xml:space="preserve"> for 5 </w:t>
            </w:r>
            <w:proofErr w:type="spellStart"/>
            <w:r w:rsidRPr="009361FD">
              <w:rPr>
                <w:rStyle w:val="checkbox"/>
                <w:rFonts w:ascii="Arial" w:hAnsi="Arial" w:cs="Arial"/>
                <w:color w:val="000000" w:themeColor="text1"/>
              </w:rPr>
              <w:t>mo</w:t>
            </w:r>
            <w:proofErr w:type="spellEnd"/>
          </w:p>
          <w:p w14:paraId="087567F2" w14:textId="7A41D83A" w:rsidR="00EF5A2D" w:rsidRPr="009A4207" w:rsidRDefault="00EF5A2D" w:rsidP="003B290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gramStart"/>
            <w:r w:rsidRPr="009361FD">
              <w:rPr>
                <w:rFonts w:cs="Arial"/>
                <w:color w:val="000000" w:themeColor="text1"/>
              </w:rPr>
              <w:t>4 and 13 week</w:t>
            </w:r>
            <w:proofErr w:type="gramEnd"/>
            <w:r w:rsidRPr="009361FD">
              <w:rPr>
                <w:rFonts w:cs="Arial"/>
                <w:color w:val="000000" w:themeColor="text1"/>
              </w:rPr>
              <w:t xml:space="preserve"> repeated dose inhalation toxicity study in</w:t>
            </w:r>
            <w:r w:rsidR="003B06B8" w:rsidRPr="009361FD">
              <w:rPr>
                <w:rFonts w:cs="Arial"/>
                <w:color w:val="000000" w:themeColor="text1"/>
              </w:rPr>
              <w:t xml:space="preserve"> rats;</w:t>
            </w:r>
            <w:r w:rsidRPr="009361FD">
              <w:rPr>
                <w:rFonts w:cs="Arial"/>
                <w:color w:val="000000" w:themeColor="text1"/>
              </w:rPr>
              <w:t xml:space="preserve"> </w:t>
            </w:r>
            <w:r w:rsidR="00E24AFF" w:rsidRPr="009361FD">
              <w:rPr>
                <w:rStyle w:val="checkbox"/>
                <w:rFonts w:ascii="Arial" w:hAnsi="Arial" w:cs="Arial"/>
                <w:color w:val="000000" w:themeColor="text1"/>
              </w:rPr>
              <w:t>LOAEC of 5 mg/m</w:t>
            </w:r>
            <w:r w:rsidR="00E24AFF" w:rsidRPr="009361FD">
              <w:rPr>
                <w:rStyle w:val="checkbox"/>
                <w:rFonts w:ascii="Arial" w:hAnsi="Arial" w:cs="Arial"/>
                <w:color w:val="000000" w:themeColor="text1"/>
                <w:vertAlign w:val="superscript"/>
              </w:rPr>
              <w:t>3</w:t>
            </w:r>
            <w:r w:rsidR="00E24AFF" w:rsidRPr="009361FD">
              <w:rPr>
                <w:rStyle w:val="checkbox"/>
                <w:rFonts w:ascii="Arial" w:hAnsi="Arial" w:cs="Arial"/>
                <w:color w:val="000000" w:themeColor="text1"/>
              </w:rPr>
              <w:t xml:space="preserve"> (</w:t>
            </w:r>
            <w:r w:rsidR="003A1CCF" w:rsidRPr="009361FD">
              <w:rPr>
                <w:rStyle w:val="checkbox"/>
                <w:rFonts w:ascii="Arial" w:hAnsi="Arial" w:cs="Arial"/>
                <w:color w:val="000000" w:themeColor="text1"/>
              </w:rPr>
              <w:t>~</w:t>
            </w:r>
            <w:r w:rsidR="00E24AFF" w:rsidRPr="009361FD">
              <w:rPr>
                <w:rStyle w:val="checkbox"/>
                <w:rFonts w:ascii="Arial" w:hAnsi="Arial" w:cs="Arial"/>
                <w:color w:val="000000" w:themeColor="text1"/>
              </w:rPr>
              <w:t>0.8 ppm)</w:t>
            </w:r>
            <w:r w:rsidRPr="009361FD">
              <w:rPr>
                <w:rStyle w:val="checkbox"/>
                <w:rFonts w:ascii="Arial" w:hAnsi="Arial" w:cs="Arial"/>
                <w:color w:val="000000" w:themeColor="text1"/>
              </w:rPr>
              <w:t xml:space="preserve"> 4-wk exposure; LOAEC of 9.81 mg/m</w:t>
            </w:r>
            <w:r w:rsidRPr="009361FD">
              <w:rPr>
                <w:rStyle w:val="checkbox"/>
                <w:rFonts w:ascii="Arial" w:hAnsi="Arial" w:cs="Arial"/>
                <w:color w:val="000000" w:themeColor="text1"/>
                <w:vertAlign w:val="superscript"/>
              </w:rPr>
              <w:t>3</w:t>
            </w:r>
            <w:r w:rsidRPr="009361FD">
              <w:rPr>
                <w:rStyle w:val="checkbox"/>
                <w:rFonts w:ascii="Arial" w:hAnsi="Arial" w:cs="Arial"/>
                <w:color w:val="000000" w:themeColor="text1"/>
              </w:rPr>
              <w:t xml:space="preserve"> (</w:t>
            </w:r>
            <w:r w:rsidR="003A1CCF" w:rsidRPr="009361FD">
              <w:rPr>
                <w:rStyle w:val="checkbox"/>
                <w:rFonts w:ascii="Arial" w:hAnsi="Arial" w:cs="Arial"/>
                <w:color w:val="000000" w:themeColor="text1"/>
              </w:rPr>
              <w:t>~</w:t>
            </w:r>
            <w:r w:rsidRPr="009361FD">
              <w:rPr>
                <w:rStyle w:val="checkbox"/>
                <w:rFonts w:ascii="Arial" w:hAnsi="Arial" w:cs="Arial"/>
                <w:color w:val="000000" w:themeColor="text1"/>
              </w:rPr>
              <w:t xml:space="preserve">1.5 ppm) based on </w:t>
            </w:r>
            <w:proofErr w:type="spellStart"/>
            <w:r w:rsidR="00DA700B" w:rsidRPr="009361FD">
              <w:rPr>
                <w:rFonts w:cs="Arial"/>
                <w:color w:val="000000" w:themeColor="text1"/>
              </w:rPr>
              <w:t>methaemoglobinaemia</w:t>
            </w:r>
            <w:proofErr w:type="spellEnd"/>
            <w:r w:rsidR="003A1CCF" w:rsidRPr="009361FD">
              <w:rPr>
                <w:rFonts w:cs="Arial"/>
                <w:color w:val="000000" w:themeColor="text1"/>
              </w:rPr>
              <w:t>.</w:t>
            </w:r>
          </w:p>
        </w:tc>
      </w:tr>
    </w:tbl>
    <w:p w14:paraId="312240C9" w14:textId="77777777" w:rsidR="007E2A4B" w:rsidRDefault="007E2A4B"/>
    <w:bookmarkEnd w:id="0"/>
    <w:p w14:paraId="0A1C1D3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17A9D15" w14:textId="77777777" w:rsidTr="00EF5A2D">
        <w:trPr>
          <w:trHeight w:val="454"/>
          <w:tblHeader/>
        </w:trPr>
        <w:tc>
          <w:tcPr>
            <w:tcW w:w="6603" w:type="dxa"/>
            <w:vAlign w:val="center"/>
          </w:tcPr>
          <w:p w14:paraId="7399715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09CFBF4" w14:textId="064BCE37" w:rsidR="002E0D61" w:rsidRDefault="00EF5A2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AE6EBB2" w14:textId="77777777" w:rsidTr="00EF5A2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DEC470A" w14:textId="6C2E4CF4" w:rsidR="008A36CF" w:rsidRPr="006901A2" w:rsidRDefault="00EF5A2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C6E34A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2E8205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E2AB29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E2EA11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DE6111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63EA4E5" w14:textId="77777777" w:rsidTr="00812887">
        <w:trPr>
          <w:cantSplit/>
        </w:trPr>
        <w:tc>
          <w:tcPr>
            <w:tcW w:w="3227" w:type="dxa"/>
          </w:tcPr>
          <w:p w14:paraId="071221C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DA67761" w14:textId="77777777" w:rsidR="00687890" w:rsidRPr="00DD2F9B" w:rsidRDefault="0018245A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7827471" w14:textId="77777777" w:rsidTr="00812887">
        <w:trPr>
          <w:cantSplit/>
        </w:trPr>
        <w:tc>
          <w:tcPr>
            <w:tcW w:w="3227" w:type="dxa"/>
          </w:tcPr>
          <w:p w14:paraId="3C48CB2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FA712A0" w14:textId="77777777" w:rsidR="007925F0" w:rsidRPr="00DD2F9B" w:rsidRDefault="0018245A" w:rsidP="00DD2F9B">
            <w:pPr>
              <w:pStyle w:val="Tablefont"/>
            </w:pPr>
            <w:r w:rsidRPr="0018245A">
              <w:t>Carcinogenicity – category 2</w:t>
            </w:r>
          </w:p>
        </w:tc>
      </w:tr>
      <w:tr w:rsidR="00AF483F" w:rsidRPr="004C23F4" w14:paraId="49250641" w14:textId="77777777" w:rsidTr="00812887">
        <w:trPr>
          <w:cantSplit/>
        </w:trPr>
        <w:tc>
          <w:tcPr>
            <w:tcW w:w="3227" w:type="dxa"/>
          </w:tcPr>
          <w:p w14:paraId="42B9F79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35CC601" w14:textId="78EBFFB1" w:rsidR="00AF483F" w:rsidRPr="00DD2F9B" w:rsidRDefault="0037296D" w:rsidP="00DD2F9B">
            <w:pPr>
              <w:pStyle w:val="Tablefont"/>
            </w:pPr>
            <w:proofErr w:type="spellStart"/>
            <w:r w:rsidRPr="0037296D">
              <w:t>Carc</w:t>
            </w:r>
            <w:proofErr w:type="spellEnd"/>
            <w:r w:rsidRPr="0037296D">
              <w:t>. Cat</w:t>
            </w:r>
            <w:r>
              <w:t>.</w:t>
            </w:r>
            <w:r w:rsidRPr="0037296D">
              <w:t xml:space="preserve"> 3</w:t>
            </w:r>
          </w:p>
        </w:tc>
      </w:tr>
      <w:tr w:rsidR="00687890" w:rsidRPr="004C23F4" w14:paraId="058B13B5" w14:textId="77777777" w:rsidTr="00812887">
        <w:trPr>
          <w:cantSplit/>
        </w:trPr>
        <w:tc>
          <w:tcPr>
            <w:tcW w:w="3227" w:type="dxa"/>
          </w:tcPr>
          <w:p w14:paraId="2C6DC90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AC6BE9C" w14:textId="6D5B079D" w:rsidR="00687890" w:rsidRPr="00DD2F9B" w:rsidRDefault="00DA313F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 xml:space="preserve"> 2</w:t>
            </w:r>
          </w:p>
        </w:tc>
      </w:tr>
      <w:tr w:rsidR="00E41A26" w:rsidRPr="004C23F4" w14:paraId="58017CE7" w14:textId="77777777" w:rsidTr="00812887">
        <w:trPr>
          <w:cantSplit/>
        </w:trPr>
        <w:tc>
          <w:tcPr>
            <w:tcW w:w="3227" w:type="dxa"/>
          </w:tcPr>
          <w:p w14:paraId="437FC09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70C901E" w14:textId="569D5220" w:rsidR="00E41A26" w:rsidRPr="00DD2F9B" w:rsidRDefault="00DA313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6CE8AC" w14:textId="77777777" w:rsidTr="00812887">
        <w:trPr>
          <w:cantSplit/>
        </w:trPr>
        <w:tc>
          <w:tcPr>
            <w:tcW w:w="3227" w:type="dxa"/>
          </w:tcPr>
          <w:p w14:paraId="4C2197F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FD0983B" w14:textId="77777777" w:rsidR="002E0D61" w:rsidRPr="00DD2F9B" w:rsidRDefault="0018245A" w:rsidP="00DD2F9B">
            <w:pPr>
              <w:pStyle w:val="Tablefont"/>
            </w:pPr>
            <w:r>
              <w:t>A3, Skin</w:t>
            </w:r>
          </w:p>
        </w:tc>
      </w:tr>
      <w:tr w:rsidR="002E0D61" w:rsidRPr="004C23F4" w14:paraId="20DBF859" w14:textId="77777777" w:rsidTr="00812887">
        <w:trPr>
          <w:cantSplit/>
        </w:trPr>
        <w:tc>
          <w:tcPr>
            <w:tcW w:w="3227" w:type="dxa"/>
          </w:tcPr>
          <w:p w14:paraId="2D26F52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A9713B6" w14:textId="46E0283E" w:rsidR="002E0D61" w:rsidRPr="00DD2F9B" w:rsidRDefault="00066063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14B6AED9" w14:textId="77777777" w:rsidTr="00812887">
        <w:trPr>
          <w:cantSplit/>
        </w:trPr>
        <w:tc>
          <w:tcPr>
            <w:tcW w:w="3227" w:type="dxa"/>
          </w:tcPr>
          <w:p w14:paraId="31D32FE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DE13B90" w14:textId="21DF8A02" w:rsidR="002E0D61" w:rsidRPr="00DD2F9B" w:rsidRDefault="004B467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F71680D" w14:textId="77777777" w:rsidTr="00812887">
        <w:trPr>
          <w:cantSplit/>
        </w:trPr>
        <w:tc>
          <w:tcPr>
            <w:tcW w:w="3227" w:type="dxa"/>
          </w:tcPr>
          <w:p w14:paraId="3F5E82C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7CB5B11" w14:textId="30D550F4" w:rsidR="002E0D61" w:rsidRPr="00DD2F9B" w:rsidRDefault="004B4670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1E89719A" w14:textId="77777777" w:rsidTr="00812887">
        <w:trPr>
          <w:cantSplit/>
        </w:trPr>
        <w:tc>
          <w:tcPr>
            <w:tcW w:w="3227" w:type="dxa"/>
          </w:tcPr>
          <w:p w14:paraId="7CB1A27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5B3D1EE" w14:textId="6D2BE3F2" w:rsidR="00386093" w:rsidRPr="00DD2F9B" w:rsidRDefault="00DA313F" w:rsidP="00DD2F9B">
            <w:pPr>
              <w:pStyle w:val="Tablefont"/>
            </w:pPr>
            <w:r>
              <w:t>2B</w:t>
            </w:r>
          </w:p>
        </w:tc>
      </w:tr>
      <w:tr w:rsidR="00386093" w:rsidRPr="004C23F4" w14:paraId="5B08DAEA" w14:textId="77777777" w:rsidTr="00812887">
        <w:trPr>
          <w:cantSplit/>
        </w:trPr>
        <w:tc>
          <w:tcPr>
            <w:tcW w:w="3227" w:type="dxa"/>
          </w:tcPr>
          <w:p w14:paraId="19D7E821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0AF102E6" w14:textId="340538D8" w:rsidR="00386093" w:rsidRPr="00DD2F9B" w:rsidRDefault="00DA313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DC3270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2BD70E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CF1AF2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8A1A98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59CF16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92" w:type="dxa"/>
              <w:tblLook w:val="04A0" w:firstRow="1" w:lastRow="0" w:firstColumn="1" w:lastColumn="0" w:noHBand="0" w:noVBand="1"/>
            </w:tblPr>
            <w:tblGrid>
              <w:gridCol w:w="3826"/>
              <w:gridCol w:w="1129"/>
              <w:gridCol w:w="1129"/>
              <w:gridCol w:w="2726"/>
            </w:tblGrid>
            <w:tr w:rsidR="00EF5A2D" w:rsidRPr="00EF5A2D" w14:paraId="47E767AE" w14:textId="77777777" w:rsidTr="00EF5A2D">
              <w:trPr>
                <w:trHeight w:val="317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CE6BBE" w14:textId="77777777" w:rsidR="00EF5A2D" w:rsidRPr="00EF5A2D" w:rsidRDefault="00EF5A2D" w:rsidP="00EF5A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D082426" w14:textId="77777777" w:rsidR="00EF5A2D" w:rsidRPr="00EF5A2D" w:rsidRDefault="00EF5A2D" w:rsidP="00EF5A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5FB4A0" w14:textId="77777777" w:rsidR="00EF5A2D" w:rsidRPr="00EF5A2D" w:rsidRDefault="00EF5A2D" w:rsidP="00EF5A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A12A7A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F5A2D" w:rsidRPr="00EF5A2D" w14:paraId="23C61391" w14:textId="77777777" w:rsidTr="00EF5A2D">
              <w:trPr>
                <w:trHeight w:val="317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81647E" w14:textId="77777777" w:rsidR="00EF5A2D" w:rsidRPr="00EF5A2D" w:rsidRDefault="00EF5A2D" w:rsidP="00EF5A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F8E6ED" w14:textId="77777777" w:rsidR="00EF5A2D" w:rsidRPr="00EF5A2D" w:rsidRDefault="00EF5A2D" w:rsidP="00EF5A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BFF1EF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B11D84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F5A2D" w:rsidRPr="00EF5A2D" w14:paraId="7A1CDE16" w14:textId="77777777" w:rsidTr="00EF5A2D">
              <w:trPr>
                <w:trHeight w:val="317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96783" w14:textId="77777777" w:rsidR="00EF5A2D" w:rsidRPr="00EF5A2D" w:rsidRDefault="00EF5A2D" w:rsidP="00EF5A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34CB28" w14:textId="77777777" w:rsidR="00EF5A2D" w:rsidRPr="00EF5A2D" w:rsidRDefault="00EF5A2D" w:rsidP="00EF5A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628AB6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702A8A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F5A2D" w:rsidRPr="00EF5A2D" w14:paraId="7A848D37" w14:textId="77777777" w:rsidTr="00EF5A2D">
              <w:trPr>
                <w:trHeight w:val="317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80F45E" w14:textId="77777777" w:rsidR="00EF5A2D" w:rsidRPr="00EF5A2D" w:rsidRDefault="00EF5A2D" w:rsidP="00EF5A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2B9616" w14:textId="77777777" w:rsidR="00EF5A2D" w:rsidRPr="00EF5A2D" w:rsidRDefault="00EF5A2D" w:rsidP="00EF5A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99EF6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C41C75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F5A2D" w:rsidRPr="00EF5A2D" w14:paraId="7FBAC113" w14:textId="77777777" w:rsidTr="00EF5A2D">
              <w:trPr>
                <w:trHeight w:val="317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2A7995" w14:textId="77777777" w:rsidR="00EF5A2D" w:rsidRPr="00EF5A2D" w:rsidRDefault="00EF5A2D" w:rsidP="00EF5A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8713AE" w14:textId="77777777" w:rsidR="00EF5A2D" w:rsidRPr="00EF5A2D" w:rsidRDefault="00EF5A2D" w:rsidP="00EF5A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0AF027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ABB7E6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F5A2D" w:rsidRPr="00EF5A2D" w14:paraId="2C0BF395" w14:textId="77777777" w:rsidTr="00EF5A2D">
              <w:trPr>
                <w:trHeight w:val="317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8E03E4" w14:textId="77777777" w:rsidR="00EF5A2D" w:rsidRPr="00EF5A2D" w:rsidRDefault="00EF5A2D" w:rsidP="00EF5A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3823C2" w14:textId="77777777" w:rsidR="00EF5A2D" w:rsidRPr="00EF5A2D" w:rsidRDefault="00EF5A2D" w:rsidP="00EF5A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C0B2D4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99317A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F5A2D" w:rsidRPr="00EF5A2D" w14:paraId="0E79E572" w14:textId="77777777" w:rsidTr="00EF5A2D">
              <w:trPr>
                <w:trHeight w:val="317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8C61EF" w14:textId="77777777" w:rsidR="00EF5A2D" w:rsidRPr="00EF5A2D" w:rsidRDefault="00EF5A2D" w:rsidP="00EF5A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96009D" w14:textId="77777777" w:rsidR="00EF5A2D" w:rsidRPr="00EF5A2D" w:rsidRDefault="00EF5A2D" w:rsidP="00EF5A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A26B5D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FDB0F1" w14:textId="77777777" w:rsidR="00EF5A2D" w:rsidRPr="00EF5A2D" w:rsidRDefault="00EF5A2D" w:rsidP="00EF5A2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F5A2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0ED968F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0E5A0D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AE89A5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457EFD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C9994A6" w14:textId="7A53F996" w:rsidR="00EB3D1B" w:rsidRDefault="00DA313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874F29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18CD0D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8A4FB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A1FD074" w14:textId="7805E7DB" w:rsidR="001B79E5" w:rsidRDefault="00066063" w:rsidP="001B79E5">
                <w:pPr>
                  <w:pStyle w:val="Tablefont"/>
                </w:pPr>
                <w:r>
                  <w:t>157.56</w:t>
                </w:r>
              </w:p>
            </w:tc>
          </w:sdtContent>
        </w:sdt>
      </w:tr>
      <w:tr w:rsidR="00A31D99" w:rsidRPr="004C23F4" w14:paraId="478D8C8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235057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71EE6E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C9B852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55EC7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75E6D8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1E84DCD" w14:textId="77777777" w:rsidTr="00EA6243">
        <w:trPr>
          <w:cantSplit/>
        </w:trPr>
        <w:tc>
          <w:tcPr>
            <w:tcW w:w="4077" w:type="dxa"/>
            <w:vAlign w:val="center"/>
          </w:tcPr>
          <w:p w14:paraId="255088E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A0EE7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716EE68" w14:textId="77777777" w:rsidTr="00EA6243">
        <w:trPr>
          <w:cantSplit/>
        </w:trPr>
        <w:tc>
          <w:tcPr>
            <w:tcW w:w="4077" w:type="dxa"/>
            <w:vAlign w:val="center"/>
          </w:tcPr>
          <w:p w14:paraId="07FD88C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74922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82FCB3F" w14:textId="77777777" w:rsidTr="00EA6243">
        <w:trPr>
          <w:cantSplit/>
        </w:trPr>
        <w:tc>
          <w:tcPr>
            <w:tcW w:w="4077" w:type="dxa"/>
            <w:vAlign w:val="center"/>
          </w:tcPr>
          <w:p w14:paraId="35C4CD4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A03A077" w14:textId="424B0CF2" w:rsidR="00E06F40" w:rsidRPr="00A006A0" w:rsidRDefault="00A4327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A1CCF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C951DC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4E1B29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FA5539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4845C9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DA344C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18C8C7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7F4992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B93728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29EA055" w14:textId="69DDBD5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C330179" w14:textId="320A9DA7" w:rsidR="004B6D27" w:rsidRPr="004B6D27" w:rsidRDefault="00DA313F" w:rsidP="00DA313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4B6D27">
        <w:t>1992</w:t>
      </w:r>
      <w:r>
        <w:t xml:space="preserve">) </w:t>
      </w:r>
      <w:r w:rsidR="004B6D27" w:rsidRPr="004B6D27">
        <w:t>p-Chloronitrobenzene</w:t>
      </w:r>
      <w:r>
        <w:t xml:space="preserve"> – MAK value documentation.</w:t>
      </w:r>
    </w:p>
    <w:p w14:paraId="21AE0FE3" w14:textId="72D2484C" w:rsidR="008A18B9" w:rsidRDefault="008A18B9" w:rsidP="00DA313F">
      <w:r w:rsidRPr="008A18B9">
        <w:lastRenderedPageBreak/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3B54F80F" w14:textId="100953A2" w:rsidR="004B6D27" w:rsidRDefault="004B6D27" w:rsidP="004B6D27">
      <w:pPr>
        <w:rPr>
          <w:b/>
        </w:rPr>
      </w:pPr>
      <w:r w:rsidRPr="002022B6">
        <w:t>Health Council of the Netherlands</w:t>
      </w:r>
      <w:r>
        <w:t xml:space="preserve"> (HCOTN) (2002) </w:t>
      </w:r>
      <w:r w:rsidRPr="004B6D27">
        <w:t>p-Chloronitrobenzene</w:t>
      </w:r>
      <w:r w:rsidRPr="005F7416">
        <w:t xml:space="preserve">. </w:t>
      </w:r>
      <w:r w:rsidRPr="004B6D27">
        <w:t>Evaluation of the carcinogenicity and genotoxicity</w:t>
      </w:r>
      <w:r w:rsidRPr="005F7416">
        <w:t xml:space="preserve">. The Hague: Health Council of the Netherlands; publication no. </w:t>
      </w:r>
      <w:r>
        <w:t>2002/03OSH.</w:t>
      </w:r>
    </w:p>
    <w:p w14:paraId="1E32979C" w14:textId="0E6D2FC4" w:rsidR="004B6D27" w:rsidRDefault="004B6D27" w:rsidP="004B6D27">
      <w:r w:rsidRPr="00BB7030">
        <w:t>International Agency for Research on Cancer (IARC) (</w:t>
      </w:r>
      <w:sdt>
        <w:sdtPr>
          <w:id w:val="159357081"/>
          <w:placeholder>
            <w:docPart w:val="91C177346D6640A792D28FBC311804B9"/>
          </w:placeholder>
          <w:temporary/>
          <w:showingPlcHdr/>
        </w:sdtPr>
        <w:sdtEndPr/>
        <w:sdtContent>
          <w:r w:rsidRPr="003B290D">
            <w:rPr>
              <w:rStyle w:val="PlaceholderText"/>
              <w:color w:val="auto"/>
            </w:rPr>
            <w:t>2012</w:t>
          </w:r>
        </w:sdtContent>
      </w:sdt>
      <w:r w:rsidRPr="00BB7030">
        <w:t xml:space="preserve">) </w:t>
      </w:r>
      <w:sdt>
        <w:sdtPr>
          <w:id w:val="163210222"/>
          <w:placeholder>
            <w:docPart w:val="C4AFC4CCF29A4BAFA7DE919EB9424BE6"/>
          </w:placeholder>
          <w:temporary/>
          <w:showingPlcHdr/>
        </w:sdtPr>
        <w:sdtEndPr/>
        <w:sdtContent>
          <w:r w:rsidRPr="003B290D">
            <w:t>Arsenic, Metals, Fibres and Dust</w:t>
          </w:r>
        </w:sdtContent>
      </w:sdt>
      <w:r w:rsidRPr="00BB7030">
        <w:t>. IARC Monographs on the evaluation of the carcinogenic risk to humans.</w:t>
      </w:r>
    </w:p>
    <w:p w14:paraId="0DCE2B4D" w14:textId="2D7C449E" w:rsidR="004B6D27" w:rsidRDefault="004B6D27" w:rsidP="004B6D27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C46C50">
        <w:t>2016</w:t>
      </w:r>
      <w:r>
        <w:t xml:space="preserve">) </w:t>
      </w:r>
      <w:r w:rsidR="00C46C50" w:rsidRPr="00C46C50">
        <w:t>Benzene, 1-chloro-4-nitro</w:t>
      </w:r>
      <w:r w:rsidRPr="0071660C">
        <w:t xml:space="preserve">: Human health </w:t>
      </w:r>
      <w:sdt>
        <w:sdtPr>
          <w:id w:val="-1295753243"/>
          <w:placeholder>
            <w:docPart w:val="D8CE94072E924B3B927C2C62DB599F30"/>
          </w:placeholder>
          <w:temporary/>
          <w:showingPlcHdr/>
        </w:sdtPr>
        <w:sdtEndPr/>
        <w:sdtContent>
          <w:r w:rsidRPr="00C46C50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16085081" w14:textId="13F492D9" w:rsidR="004B6D27" w:rsidRDefault="004B6D27" w:rsidP="004B6D27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4A0D5AED8B014019A86350A356C2C5E5"/>
          </w:placeholder>
          <w:temporary/>
          <w:showingPlcHdr/>
        </w:sdtPr>
        <w:sdtEndPr/>
        <w:sdtContent>
          <w:r w:rsidRPr="000E4F82">
            <w:t>1994</w:t>
          </w:r>
        </w:sdtContent>
      </w:sdt>
      <w:r>
        <w:t xml:space="preserve">) Immediately dangerous to life or health concentrations – </w:t>
      </w:r>
      <w:r w:rsidR="000E4F82" w:rsidRPr="000E4F82">
        <w:t>p-</w:t>
      </w:r>
      <w:proofErr w:type="spellStart"/>
      <w:r w:rsidR="000E4F82" w:rsidRPr="000E4F82">
        <w:t>Nitrochlorobenzene</w:t>
      </w:r>
      <w:proofErr w:type="spellEnd"/>
      <w:r>
        <w:t>.</w:t>
      </w:r>
    </w:p>
    <w:p w14:paraId="7AB57BBB" w14:textId="77777777" w:rsidR="00DA313F" w:rsidRPr="00351FE0" w:rsidRDefault="00DA313F" w:rsidP="00084859"/>
    <w:sectPr w:rsidR="00DA313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1E0CA" w14:textId="77777777" w:rsidR="007010BC" w:rsidRDefault="007010BC" w:rsidP="00F43AD5">
      <w:pPr>
        <w:spacing w:after="0" w:line="240" w:lineRule="auto"/>
      </w:pPr>
      <w:r>
        <w:separator/>
      </w:r>
    </w:p>
  </w:endnote>
  <w:endnote w:type="continuationSeparator" w:id="0">
    <w:p w14:paraId="4C045A57" w14:textId="77777777" w:rsidR="007010BC" w:rsidRDefault="007010B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BDA06" w14:textId="77777777" w:rsidR="00BE50E0" w:rsidRDefault="00BE50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235947E" w14:textId="34BE090E" w:rsidR="008A36CF" w:rsidRDefault="00DA5826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p-</w:t>
        </w:r>
        <w:proofErr w:type="spellStart"/>
        <w:r>
          <w:rPr>
            <w:b/>
            <w:sz w:val="18"/>
            <w:szCs w:val="18"/>
          </w:rPr>
          <w:t>Nitrochlorobenzene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100-00-5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3A1CCF">
          <w:rPr>
            <w:sz w:val="18"/>
            <w:szCs w:val="18"/>
          </w:rPr>
          <w:t>20</w:t>
        </w:r>
      </w:p>
      <w:p w14:paraId="2C8E5C9F" w14:textId="084A1E6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E50E0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129D5" w14:textId="77777777" w:rsidR="00BE50E0" w:rsidRDefault="00BE50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3E794" w14:textId="77777777" w:rsidR="007010BC" w:rsidRDefault="007010BC" w:rsidP="00F43AD5">
      <w:pPr>
        <w:spacing w:after="0" w:line="240" w:lineRule="auto"/>
      </w:pPr>
      <w:r>
        <w:separator/>
      </w:r>
    </w:p>
  </w:footnote>
  <w:footnote w:type="continuationSeparator" w:id="0">
    <w:p w14:paraId="69AFAA48" w14:textId="77777777" w:rsidR="007010BC" w:rsidRDefault="007010B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8FE49" w14:textId="77777777" w:rsidR="00BE50E0" w:rsidRDefault="00BE50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C1E94" w14:textId="1B803E1A" w:rsidR="00BE50E0" w:rsidRDefault="00BE50E0" w:rsidP="00BE50E0">
    <w:pPr>
      <w:pStyle w:val="Header"/>
      <w:jc w:val="right"/>
    </w:pPr>
    <w:r>
      <w:rPr>
        <w:noProof/>
        <w:lang w:eastAsia="en-AU"/>
      </w:rPr>
      <w:drawing>
        <wp:inline distT="0" distB="0" distL="0" distR="0" wp14:anchorId="5261A7B8" wp14:editId="2A847169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DDDA59" w14:textId="77777777" w:rsidR="00BE50E0" w:rsidRDefault="00BE50E0" w:rsidP="00BE50E0">
    <w:pPr>
      <w:pStyle w:val="Header"/>
      <w:jc w:val="right"/>
    </w:pPr>
  </w:p>
  <w:p w14:paraId="5B99D994" w14:textId="1D6E4D2D" w:rsidR="008A36CF" w:rsidRPr="00BE50E0" w:rsidRDefault="008A36CF" w:rsidP="00BE50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2C82A" w14:textId="77777777" w:rsidR="00BE50E0" w:rsidRDefault="00BE50E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88F4" w14:textId="39DE7D00" w:rsidR="00BE50E0" w:rsidRDefault="00BE50E0" w:rsidP="00BE50E0">
    <w:pPr>
      <w:pStyle w:val="Header"/>
      <w:jc w:val="right"/>
    </w:pPr>
    <w:r>
      <w:rPr>
        <w:noProof/>
        <w:lang w:eastAsia="en-AU"/>
      </w:rPr>
      <w:drawing>
        <wp:inline distT="0" distB="0" distL="0" distR="0" wp14:anchorId="100B81BD" wp14:editId="41924222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98EFEE" w14:textId="77777777" w:rsidR="00BE50E0" w:rsidRDefault="00BE50E0" w:rsidP="00BE50E0">
    <w:pPr>
      <w:pStyle w:val="Header"/>
      <w:jc w:val="right"/>
    </w:pPr>
  </w:p>
  <w:p w14:paraId="229D7D3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5DABF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4C7ECB"/>
    <w:multiLevelType w:val="hybridMultilevel"/>
    <w:tmpl w:val="3040746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03325D"/>
    <w:multiLevelType w:val="hybridMultilevel"/>
    <w:tmpl w:val="C7EA0E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6859312">
    <w:abstractNumId w:val="0"/>
  </w:num>
  <w:num w:numId="2" w16cid:durableId="1047100382">
    <w:abstractNumId w:val="1"/>
  </w:num>
  <w:num w:numId="3" w16cid:durableId="1269194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6063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5ED"/>
    <w:rsid w:val="000D1BA9"/>
    <w:rsid w:val="000D291C"/>
    <w:rsid w:val="000E4F82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245A"/>
    <w:rsid w:val="00183823"/>
    <w:rsid w:val="00183942"/>
    <w:rsid w:val="001A009E"/>
    <w:rsid w:val="001A1287"/>
    <w:rsid w:val="001A3859"/>
    <w:rsid w:val="001A3C9D"/>
    <w:rsid w:val="001A43F8"/>
    <w:rsid w:val="001B5846"/>
    <w:rsid w:val="001B79E5"/>
    <w:rsid w:val="001C1F5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3E20"/>
    <w:rsid w:val="00276494"/>
    <w:rsid w:val="00277B0C"/>
    <w:rsid w:val="00295680"/>
    <w:rsid w:val="002A6691"/>
    <w:rsid w:val="002B1A2C"/>
    <w:rsid w:val="002C34F2"/>
    <w:rsid w:val="002C58FF"/>
    <w:rsid w:val="002C7AFE"/>
    <w:rsid w:val="002D05D2"/>
    <w:rsid w:val="002D4A9F"/>
    <w:rsid w:val="002E0498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296D"/>
    <w:rsid w:val="00386093"/>
    <w:rsid w:val="003904A4"/>
    <w:rsid w:val="00391841"/>
    <w:rsid w:val="00391B6D"/>
    <w:rsid w:val="00394922"/>
    <w:rsid w:val="003A0E32"/>
    <w:rsid w:val="003A1CCF"/>
    <w:rsid w:val="003A2B94"/>
    <w:rsid w:val="003B06B8"/>
    <w:rsid w:val="003B290D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17DD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4670"/>
    <w:rsid w:val="004B6D27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3FD2"/>
    <w:rsid w:val="005A462D"/>
    <w:rsid w:val="005B253B"/>
    <w:rsid w:val="005B771D"/>
    <w:rsid w:val="005C5D16"/>
    <w:rsid w:val="005D3193"/>
    <w:rsid w:val="005D4A6E"/>
    <w:rsid w:val="005D5D59"/>
    <w:rsid w:val="005E6979"/>
    <w:rsid w:val="005E75CB"/>
    <w:rsid w:val="006013C1"/>
    <w:rsid w:val="00603570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3FD"/>
    <w:rsid w:val="006B4E6C"/>
    <w:rsid w:val="006B50B6"/>
    <w:rsid w:val="006D79EA"/>
    <w:rsid w:val="006E2A7A"/>
    <w:rsid w:val="006E5D05"/>
    <w:rsid w:val="00701053"/>
    <w:rsid w:val="007010BC"/>
    <w:rsid w:val="00701507"/>
    <w:rsid w:val="00714021"/>
    <w:rsid w:val="00716A0F"/>
    <w:rsid w:val="00717D45"/>
    <w:rsid w:val="007208F7"/>
    <w:rsid w:val="007218AF"/>
    <w:rsid w:val="00725572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60E"/>
    <w:rsid w:val="007B1B42"/>
    <w:rsid w:val="007C30EB"/>
    <w:rsid w:val="007D2B8A"/>
    <w:rsid w:val="007D38C1"/>
    <w:rsid w:val="007D54B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0C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0679"/>
    <w:rsid w:val="0088798F"/>
    <w:rsid w:val="00887E4B"/>
    <w:rsid w:val="008915C8"/>
    <w:rsid w:val="008A18B9"/>
    <w:rsid w:val="008A36CF"/>
    <w:rsid w:val="008A3BC4"/>
    <w:rsid w:val="008B403C"/>
    <w:rsid w:val="008B7419"/>
    <w:rsid w:val="008B7983"/>
    <w:rsid w:val="008C2511"/>
    <w:rsid w:val="008C4706"/>
    <w:rsid w:val="008D026D"/>
    <w:rsid w:val="008D23AB"/>
    <w:rsid w:val="008D4B8B"/>
    <w:rsid w:val="008D5914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1FD"/>
    <w:rsid w:val="0093760E"/>
    <w:rsid w:val="00946044"/>
    <w:rsid w:val="0094660B"/>
    <w:rsid w:val="00946A33"/>
    <w:rsid w:val="0095260E"/>
    <w:rsid w:val="009578DD"/>
    <w:rsid w:val="00961124"/>
    <w:rsid w:val="009621B6"/>
    <w:rsid w:val="00972094"/>
    <w:rsid w:val="00974F2D"/>
    <w:rsid w:val="00977524"/>
    <w:rsid w:val="00977E88"/>
    <w:rsid w:val="00984920"/>
    <w:rsid w:val="00992DE1"/>
    <w:rsid w:val="0099303A"/>
    <w:rsid w:val="009971C2"/>
    <w:rsid w:val="009A1254"/>
    <w:rsid w:val="009A4207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327C"/>
    <w:rsid w:val="00A53681"/>
    <w:rsid w:val="00A633D4"/>
    <w:rsid w:val="00A6461A"/>
    <w:rsid w:val="00A75B47"/>
    <w:rsid w:val="00A84504"/>
    <w:rsid w:val="00A8672F"/>
    <w:rsid w:val="00A93057"/>
    <w:rsid w:val="00A968B0"/>
    <w:rsid w:val="00AA6265"/>
    <w:rsid w:val="00AB2672"/>
    <w:rsid w:val="00AB2817"/>
    <w:rsid w:val="00AB3252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796A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B7030"/>
    <w:rsid w:val="00BD499F"/>
    <w:rsid w:val="00BD56DE"/>
    <w:rsid w:val="00BE50E0"/>
    <w:rsid w:val="00BF155D"/>
    <w:rsid w:val="00BF2406"/>
    <w:rsid w:val="00C06E43"/>
    <w:rsid w:val="00C16315"/>
    <w:rsid w:val="00C3091E"/>
    <w:rsid w:val="00C40FF1"/>
    <w:rsid w:val="00C419E2"/>
    <w:rsid w:val="00C46C50"/>
    <w:rsid w:val="00C5020E"/>
    <w:rsid w:val="00C57452"/>
    <w:rsid w:val="00C61EDF"/>
    <w:rsid w:val="00C6239D"/>
    <w:rsid w:val="00C6594B"/>
    <w:rsid w:val="00C675E8"/>
    <w:rsid w:val="00C67FFB"/>
    <w:rsid w:val="00C7155E"/>
    <w:rsid w:val="00C71D1E"/>
    <w:rsid w:val="00C71D7D"/>
    <w:rsid w:val="00C74833"/>
    <w:rsid w:val="00C850A0"/>
    <w:rsid w:val="00C85A86"/>
    <w:rsid w:val="00C978F0"/>
    <w:rsid w:val="00CA3D5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47C39"/>
    <w:rsid w:val="00D516CD"/>
    <w:rsid w:val="00D62383"/>
    <w:rsid w:val="00D668E6"/>
    <w:rsid w:val="00D70670"/>
    <w:rsid w:val="00D74D80"/>
    <w:rsid w:val="00D76624"/>
    <w:rsid w:val="00D87570"/>
    <w:rsid w:val="00D91CB9"/>
    <w:rsid w:val="00D97989"/>
    <w:rsid w:val="00D97D8D"/>
    <w:rsid w:val="00DA313F"/>
    <w:rsid w:val="00DA352E"/>
    <w:rsid w:val="00DA5826"/>
    <w:rsid w:val="00DA700B"/>
    <w:rsid w:val="00DC7694"/>
    <w:rsid w:val="00DD1BF6"/>
    <w:rsid w:val="00DD2F9B"/>
    <w:rsid w:val="00DE2513"/>
    <w:rsid w:val="00DE26E8"/>
    <w:rsid w:val="00DF6F36"/>
    <w:rsid w:val="00DF7E0E"/>
    <w:rsid w:val="00E0084C"/>
    <w:rsid w:val="00E025AB"/>
    <w:rsid w:val="00E02B23"/>
    <w:rsid w:val="00E06F40"/>
    <w:rsid w:val="00E07CE8"/>
    <w:rsid w:val="00E24AFF"/>
    <w:rsid w:val="00E26A07"/>
    <w:rsid w:val="00E32595"/>
    <w:rsid w:val="00E32C17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54E5"/>
    <w:rsid w:val="00EA6243"/>
    <w:rsid w:val="00EA74AB"/>
    <w:rsid w:val="00EB3D1B"/>
    <w:rsid w:val="00ED1D89"/>
    <w:rsid w:val="00ED66BC"/>
    <w:rsid w:val="00EE4472"/>
    <w:rsid w:val="00EF233A"/>
    <w:rsid w:val="00EF303E"/>
    <w:rsid w:val="00EF3A40"/>
    <w:rsid w:val="00EF5A2D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0D0F"/>
    <w:rsid w:val="00F43AD5"/>
    <w:rsid w:val="00F4402E"/>
    <w:rsid w:val="00F56DD0"/>
    <w:rsid w:val="00F6491C"/>
    <w:rsid w:val="00F67BBB"/>
    <w:rsid w:val="00F81140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2F3FD064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1824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4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45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4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45A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DA313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1B5846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229217D7E124513B9A670EF1D61E1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06079-3090-414D-8C9F-C183CFBF68B0}"/>
      </w:docPartPr>
      <w:docPartBody>
        <w:p w:rsidR="00F53618" w:rsidRDefault="00A519B3" w:rsidP="00A519B3">
          <w:pPr>
            <w:pStyle w:val="8229217D7E124513B9A670EF1D61E16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1C177346D6640A792D28FBC31180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726CC-F2FD-49D4-ACA0-96133A5FA0DE}"/>
      </w:docPartPr>
      <w:docPartBody>
        <w:p w:rsidR="00F53618" w:rsidRDefault="00A519B3" w:rsidP="00A519B3">
          <w:pPr>
            <w:pStyle w:val="91C177346D6640A792D28FBC311804B9"/>
          </w:pPr>
          <w:r w:rsidRPr="00F02F8D">
            <w:rPr>
              <w:rStyle w:val="PlaceholderText"/>
              <w:rFonts w:eastAsiaTheme="minorHAnsi"/>
              <w:color w:val="00B050"/>
            </w:rPr>
            <w:t>201</w:t>
          </w:r>
          <w:r>
            <w:rPr>
              <w:rStyle w:val="PlaceholderText"/>
              <w:rFonts w:eastAsiaTheme="minorHAnsi"/>
              <w:color w:val="00B050"/>
            </w:rPr>
            <w:t>2</w:t>
          </w:r>
        </w:p>
      </w:docPartBody>
    </w:docPart>
    <w:docPart>
      <w:docPartPr>
        <w:name w:val="C4AFC4CCF29A4BAFA7DE919EB9424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71666-5B3A-4C86-A7C7-77A048FF8425}"/>
      </w:docPartPr>
      <w:docPartBody>
        <w:p w:rsidR="00F53618" w:rsidRDefault="00A519B3" w:rsidP="00A519B3">
          <w:pPr>
            <w:pStyle w:val="C4AFC4CCF29A4BAFA7DE919EB9424BE6"/>
          </w:pPr>
          <w:r w:rsidRPr="0071660C">
            <w:rPr>
              <w:color w:val="00B050"/>
            </w:rPr>
            <w:t>Arsenic, Metals, Fibres and Dust</w:t>
          </w:r>
        </w:p>
      </w:docPartBody>
    </w:docPart>
    <w:docPart>
      <w:docPartPr>
        <w:name w:val="4A0D5AED8B014019A86350A356C2C5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186AC-2852-475A-8F4A-EE44A7BC2F46}"/>
      </w:docPartPr>
      <w:docPartBody>
        <w:p w:rsidR="00F53618" w:rsidRDefault="00A519B3" w:rsidP="00A519B3">
          <w:pPr>
            <w:pStyle w:val="4A0D5AED8B014019A86350A356C2C5E5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D8CE94072E924B3B927C2C62DB599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5FE8C-6BCD-4539-A854-B0E51D3D22AE}"/>
      </w:docPartPr>
      <w:docPartBody>
        <w:p w:rsidR="00F53618" w:rsidRDefault="00A519B3" w:rsidP="00A519B3">
          <w:pPr>
            <w:pStyle w:val="D8CE94072E924B3B927C2C62DB599F30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5444540BC99A4D18A4C8DF1B22E3A6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2BF83-3F3E-4AC3-95B1-2199D195FDA7}"/>
      </w:docPartPr>
      <w:docPartBody>
        <w:p w:rsidR="003D32A2" w:rsidRDefault="0092517D" w:rsidP="0092517D">
          <w:pPr>
            <w:pStyle w:val="5444540BC99A4D18A4C8DF1B22E3A6DD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95664"/>
    <w:rsid w:val="002E0498"/>
    <w:rsid w:val="003D32A2"/>
    <w:rsid w:val="0092517D"/>
    <w:rsid w:val="00972094"/>
    <w:rsid w:val="00A519B3"/>
    <w:rsid w:val="00D21A9F"/>
    <w:rsid w:val="00F5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517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229217D7E124513B9A670EF1D61E16F">
    <w:name w:val="8229217D7E124513B9A670EF1D61E16F"/>
    <w:rsid w:val="00A519B3"/>
    <w:rPr>
      <w:lang w:val="en-US" w:eastAsia="en-US"/>
    </w:rPr>
  </w:style>
  <w:style w:type="paragraph" w:customStyle="1" w:styleId="91C177346D6640A792D28FBC311804B9">
    <w:name w:val="91C177346D6640A792D28FBC311804B9"/>
    <w:rsid w:val="00A519B3"/>
    <w:rPr>
      <w:lang w:val="en-US" w:eastAsia="en-US"/>
    </w:rPr>
  </w:style>
  <w:style w:type="paragraph" w:customStyle="1" w:styleId="C4AFC4CCF29A4BAFA7DE919EB9424BE6">
    <w:name w:val="C4AFC4CCF29A4BAFA7DE919EB9424BE6"/>
    <w:rsid w:val="00A519B3"/>
    <w:rPr>
      <w:lang w:val="en-US" w:eastAsia="en-US"/>
    </w:rPr>
  </w:style>
  <w:style w:type="paragraph" w:customStyle="1" w:styleId="4A0D5AED8B014019A86350A356C2C5E5">
    <w:name w:val="4A0D5AED8B014019A86350A356C2C5E5"/>
    <w:rsid w:val="00A519B3"/>
    <w:rPr>
      <w:lang w:val="en-US" w:eastAsia="en-US"/>
    </w:rPr>
  </w:style>
  <w:style w:type="paragraph" w:customStyle="1" w:styleId="D8CE94072E924B3B927C2C62DB599F30">
    <w:name w:val="D8CE94072E924B3B927C2C62DB599F30"/>
    <w:rsid w:val="00A519B3"/>
    <w:rPr>
      <w:lang w:val="en-US" w:eastAsia="en-US"/>
    </w:rPr>
  </w:style>
  <w:style w:type="paragraph" w:customStyle="1" w:styleId="5444540BC99A4D18A4C8DF1B22E3A6DD">
    <w:name w:val="5444540BC99A4D18A4C8DF1B22E3A6DD"/>
    <w:rsid w:val="009251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EBD9F0-5476-4B06-A441-DC8BDE023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F3C31F-49AE-4302-BC3D-3A5B36FEDC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a0509f21-ed56-4150-9955-96be669e5f2d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44</cp:revision>
  <cp:lastPrinted>2018-10-22T22:41:00Z</cp:lastPrinted>
  <dcterms:created xsi:type="dcterms:W3CDTF">2019-04-14T23:55:00Z</dcterms:created>
  <dcterms:modified xsi:type="dcterms:W3CDTF">2026-01-09T00:12:00Z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2026-01-02T03:22:05Z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df223a81-584a-46cb-bd58-08fa69f2546c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