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140CD463" w14:textId="77777777" w:rsidR="00BD499F" w:rsidRPr="004C23F4" w:rsidRDefault="00A16A4A" w:rsidP="00B40C60">
          <w:pPr>
            <w:pStyle w:val="Heading1"/>
            <w:jc w:val="center"/>
            <w:rPr>
              <w:rFonts w:ascii="Arial" w:hAnsi="Arial" w:cs="Arial"/>
            </w:rPr>
          </w:pPr>
          <w:r>
            <w:rPr>
              <w:rFonts w:ascii="Arial" w:hAnsi="Arial" w:cs="Arial"/>
            </w:rPr>
            <w:t>nitrous oxide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7"/>
        <w:gridCol w:w="5039"/>
      </w:tblGrid>
      <w:tr w:rsidR="00F43AD5" w:rsidRPr="004C23F4" w14:paraId="5C8B7867" w14:textId="77777777" w:rsidTr="00B76A41">
        <w:trPr>
          <w:cantSplit/>
          <w:tblHeader/>
        </w:trPr>
        <w:tc>
          <w:tcPr>
            <w:tcW w:w="4077" w:type="dxa"/>
          </w:tcPr>
          <w:p w14:paraId="4B3CA172" w14:textId="77777777" w:rsidR="00F43AD5" w:rsidRPr="00921DE7" w:rsidRDefault="00CB1CB1" w:rsidP="00B76A41">
            <w:pPr>
              <w:pStyle w:val="Tablerowright"/>
            </w:pPr>
            <w:r w:rsidRPr="00921DE7">
              <w:t>CAS number:</w:t>
            </w:r>
          </w:p>
        </w:tc>
        <w:tc>
          <w:tcPr>
            <w:tcW w:w="5165" w:type="dxa"/>
          </w:tcPr>
          <w:p w14:paraId="700A7731" w14:textId="77777777" w:rsidR="00F43AD5" w:rsidRPr="00717D45" w:rsidRDefault="00A16A4A" w:rsidP="00B76A41">
            <w:pPr>
              <w:pStyle w:val="Tablefont"/>
            </w:pPr>
            <w:r w:rsidRPr="00A16A4A">
              <w:t>10024-97-2</w:t>
            </w:r>
          </w:p>
        </w:tc>
      </w:tr>
      <w:tr w:rsidR="00F43AD5" w:rsidRPr="004C23F4" w14:paraId="52BFAAC9" w14:textId="77777777" w:rsidTr="00B76A41">
        <w:trPr>
          <w:cantSplit/>
        </w:trPr>
        <w:tc>
          <w:tcPr>
            <w:tcW w:w="4077" w:type="dxa"/>
          </w:tcPr>
          <w:p w14:paraId="6D96ECF1" w14:textId="77777777" w:rsidR="00F43AD5" w:rsidRPr="00921DE7" w:rsidRDefault="00CB1CB1" w:rsidP="00B76A41">
            <w:pPr>
              <w:pStyle w:val="Tablerowright"/>
            </w:pPr>
            <w:r w:rsidRPr="00921DE7">
              <w:t>Synonyms:</w:t>
            </w:r>
          </w:p>
        </w:tc>
        <w:tc>
          <w:tcPr>
            <w:tcW w:w="5165" w:type="dxa"/>
          </w:tcPr>
          <w:p w14:paraId="520CDE79" w14:textId="0835AB78" w:rsidR="00F43AD5" w:rsidRPr="00717D45" w:rsidRDefault="00A16A4A" w:rsidP="00947DD2">
            <w:pPr>
              <w:pStyle w:val="Tablefont"/>
            </w:pPr>
            <w:r>
              <w:t>Dinitrogen monoxide, hyponitrous acid anhydride, laughing gas, nitrogen oxide</w:t>
            </w:r>
          </w:p>
        </w:tc>
      </w:tr>
      <w:tr w:rsidR="00F43AD5" w:rsidRPr="004C23F4" w14:paraId="213C5CEB" w14:textId="77777777" w:rsidTr="00B76A41">
        <w:trPr>
          <w:cantSplit/>
        </w:trPr>
        <w:tc>
          <w:tcPr>
            <w:tcW w:w="4077" w:type="dxa"/>
          </w:tcPr>
          <w:p w14:paraId="1E07D144" w14:textId="77777777" w:rsidR="00F43AD5" w:rsidRPr="00921DE7" w:rsidRDefault="00CB1CB1" w:rsidP="00B76A41">
            <w:pPr>
              <w:pStyle w:val="Tablerowright"/>
            </w:pPr>
            <w:r w:rsidRPr="00921DE7">
              <w:t>Chemical formula:</w:t>
            </w:r>
          </w:p>
        </w:tc>
        <w:tc>
          <w:tcPr>
            <w:tcW w:w="5165" w:type="dxa"/>
          </w:tcPr>
          <w:p w14:paraId="2CF3D4ED" w14:textId="77777777" w:rsidR="00F43AD5" w:rsidRPr="00717D45" w:rsidRDefault="00C94EFD" w:rsidP="00B76A41">
            <w:pPr>
              <w:pStyle w:val="Tablefont"/>
            </w:pPr>
            <w:r>
              <w:t>N</w:t>
            </w:r>
            <w:r w:rsidRPr="00C94EFD">
              <w:rPr>
                <w:vertAlign w:val="subscript"/>
              </w:rPr>
              <w:t>2</w:t>
            </w:r>
            <w:r>
              <w:t>O</w:t>
            </w:r>
          </w:p>
        </w:tc>
      </w:tr>
      <w:tr w:rsidR="00F43AD5" w:rsidRPr="004C23F4" w14:paraId="44B5A7B4" w14:textId="77777777" w:rsidTr="00B76A41">
        <w:trPr>
          <w:cantSplit/>
        </w:trPr>
        <w:tc>
          <w:tcPr>
            <w:tcW w:w="4077" w:type="dxa"/>
          </w:tcPr>
          <w:p w14:paraId="23C56E87" w14:textId="77777777" w:rsidR="00F43AD5" w:rsidRPr="00921DE7" w:rsidRDefault="00CB1CB1" w:rsidP="00B76A41">
            <w:pPr>
              <w:pStyle w:val="Tablerowright"/>
            </w:pPr>
            <w:r w:rsidRPr="00921DE7">
              <w:t>Structural formula:</w:t>
            </w:r>
          </w:p>
        </w:tc>
        <w:tc>
          <w:tcPr>
            <w:tcW w:w="5165" w:type="dxa"/>
          </w:tcPr>
          <w:p w14:paraId="682DEBA3" w14:textId="77777777" w:rsidR="00F43AD5" w:rsidRPr="00B40C60" w:rsidRDefault="00037E52" w:rsidP="00B76A41">
            <w:pPr>
              <w:pStyle w:val="Tablerowheading"/>
              <w:rPr>
                <w:b w:val="0"/>
              </w:rPr>
            </w:pPr>
            <w:r>
              <w:rPr>
                <w:b w:val="0"/>
              </w:rPr>
              <w:t>—</w:t>
            </w:r>
          </w:p>
        </w:tc>
      </w:tr>
    </w:tbl>
    <w:p w14:paraId="07EF75EB"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8E46CD">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7903043E" w14:textId="77777777" w:rsidTr="00037E52">
        <w:trPr>
          <w:cantSplit/>
          <w:tblHeader/>
        </w:trPr>
        <w:tc>
          <w:tcPr>
            <w:tcW w:w="4010" w:type="dxa"/>
            <w:vAlign w:val="center"/>
          </w:tcPr>
          <w:p w14:paraId="088B5D77" w14:textId="77777777" w:rsidR="002C7AFE" w:rsidRPr="002C58FF" w:rsidRDefault="00921DE7" w:rsidP="00921DE7">
            <w:pPr>
              <w:pStyle w:val="Tablerowright"/>
            </w:pPr>
            <w:r>
              <w:t>TWA:</w:t>
            </w:r>
          </w:p>
        </w:tc>
        <w:tc>
          <w:tcPr>
            <w:tcW w:w="5016" w:type="dxa"/>
          </w:tcPr>
          <w:p w14:paraId="658D4E55" w14:textId="76C71801" w:rsidR="002C7AFE" w:rsidRPr="00EB3D1B" w:rsidRDefault="000D63E9" w:rsidP="00017C82">
            <w:pPr>
              <w:pStyle w:val="Tablefont"/>
              <w:rPr>
                <w:b/>
              </w:rPr>
            </w:pPr>
            <w:r>
              <w:rPr>
                <w:b/>
              </w:rPr>
              <w:t>5</w:t>
            </w:r>
            <w:r w:rsidR="008E46CD" w:rsidRPr="008E46CD">
              <w:rPr>
                <w:b/>
              </w:rPr>
              <w:t>0 ppm (</w:t>
            </w:r>
            <w:r>
              <w:rPr>
                <w:b/>
              </w:rPr>
              <w:t>90</w:t>
            </w:r>
            <w:r w:rsidR="008E46CD" w:rsidRPr="008E46CD">
              <w:rPr>
                <w:b/>
              </w:rPr>
              <w:t xml:space="preserve"> mg/m</w:t>
            </w:r>
            <w:r w:rsidR="008E46CD" w:rsidRPr="008E46CD">
              <w:rPr>
                <w:b/>
                <w:vertAlign w:val="superscript"/>
              </w:rPr>
              <w:t>3</w:t>
            </w:r>
            <w:r w:rsidR="008E46CD" w:rsidRPr="008E46CD">
              <w:rPr>
                <w:b/>
              </w:rPr>
              <w:t>)</w:t>
            </w:r>
          </w:p>
        </w:tc>
      </w:tr>
      <w:tr w:rsidR="00037E52" w:rsidRPr="004C23F4" w14:paraId="436DFADD" w14:textId="77777777" w:rsidTr="00037E52">
        <w:trPr>
          <w:cantSplit/>
        </w:trPr>
        <w:tc>
          <w:tcPr>
            <w:tcW w:w="4010" w:type="dxa"/>
            <w:vAlign w:val="center"/>
          </w:tcPr>
          <w:p w14:paraId="03C6B7E9" w14:textId="77777777" w:rsidR="00037E52" w:rsidRPr="002C58FF" w:rsidRDefault="00037E52" w:rsidP="00037E52">
            <w:pPr>
              <w:pStyle w:val="Tablerowright"/>
            </w:pPr>
            <w:r w:rsidRPr="002C58FF">
              <w:t>STEL</w:t>
            </w:r>
            <w:r>
              <w:t>:</w:t>
            </w:r>
          </w:p>
        </w:tc>
        <w:tc>
          <w:tcPr>
            <w:tcW w:w="5016" w:type="dxa"/>
          </w:tcPr>
          <w:p w14:paraId="798A2302" w14:textId="77777777" w:rsidR="00037E52" w:rsidRPr="00EB3D1B" w:rsidRDefault="00037E52" w:rsidP="00037E52">
            <w:pPr>
              <w:pStyle w:val="Tablefont"/>
              <w:rPr>
                <w:b/>
              </w:rPr>
            </w:pPr>
            <w:r>
              <w:rPr>
                <w:b/>
              </w:rPr>
              <w:t>—</w:t>
            </w:r>
          </w:p>
        </w:tc>
      </w:tr>
      <w:tr w:rsidR="00037E52" w:rsidRPr="004C23F4" w14:paraId="4D0A2AA5" w14:textId="77777777" w:rsidTr="00037E52">
        <w:trPr>
          <w:cantSplit/>
        </w:trPr>
        <w:tc>
          <w:tcPr>
            <w:tcW w:w="4010" w:type="dxa"/>
            <w:vAlign w:val="center"/>
          </w:tcPr>
          <w:p w14:paraId="6D3DC2EE" w14:textId="77777777" w:rsidR="00037E52" w:rsidRPr="002C58FF" w:rsidRDefault="00037E52" w:rsidP="00037E52">
            <w:pPr>
              <w:pStyle w:val="Tablerowright"/>
            </w:pPr>
            <w:r>
              <w:t>Peak limitation:</w:t>
            </w:r>
          </w:p>
        </w:tc>
        <w:tc>
          <w:tcPr>
            <w:tcW w:w="5016" w:type="dxa"/>
          </w:tcPr>
          <w:p w14:paraId="756C0BB6" w14:textId="77777777" w:rsidR="00037E52" w:rsidRPr="00EB3D1B" w:rsidRDefault="00037E52" w:rsidP="00037E52">
            <w:pPr>
              <w:pStyle w:val="Tablefont"/>
              <w:rPr>
                <w:b/>
              </w:rPr>
            </w:pPr>
            <w:r>
              <w:rPr>
                <w:b/>
              </w:rPr>
              <w:t>—</w:t>
            </w:r>
          </w:p>
        </w:tc>
      </w:tr>
      <w:tr w:rsidR="00037E52" w:rsidRPr="004C23F4" w14:paraId="304587E9" w14:textId="77777777" w:rsidTr="00037E52">
        <w:trPr>
          <w:cantSplit/>
        </w:trPr>
        <w:tc>
          <w:tcPr>
            <w:tcW w:w="4010" w:type="dxa"/>
          </w:tcPr>
          <w:p w14:paraId="1A12DA94"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058230D" w14:textId="77777777" w:rsidR="00037E52" w:rsidRPr="00EB3D1B" w:rsidRDefault="00037E52" w:rsidP="00037E52">
            <w:pPr>
              <w:pStyle w:val="Tablefont"/>
              <w:rPr>
                <w:b/>
              </w:rPr>
            </w:pPr>
            <w:r>
              <w:rPr>
                <w:b/>
              </w:rPr>
              <w:t>—</w:t>
            </w:r>
          </w:p>
        </w:tc>
      </w:tr>
      <w:tr w:rsidR="00037E52" w:rsidRPr="004C23F4" w14:paraId="054B7940" w14:textId="77777777" w:rsidTr="00037E52">
        <w:trPr>
          <w:cantSplit/>
        </w:trPr>
        <w:tc>
          <w:tcPr>
            <w:tcW w:w="4010" w:type="dxa"/>
            <w:vAlign w:val="center"/>
          </w:tcPr>
          <w:p w14:paraId="767BB57B" w14:textId="77777777" w:rsidR="00037E52" w:rsidRPr="002C58FF" w:rsidRDefault="00037E52" w:rsidP="00037E52">
            <w:pPr>
              <w:pStyle w:val="Tablerowright"/>
            </w:pPr>
            <w:r>
              <w:t>IDLH:</w:t>
            </w:r>
          </w:p>
        </w:tc>
        <w:tc>
          <w:tcPr>
            <w:tcW w:w="5016" w:type="dxa"/>
          </w:tcPr>
          <w:p w14:paraId="02EE2699" w14:textId="77777777" w:rsidR="00037E52" w:rsidRPr="00EB3D1B" w:rsidRDefault="00037E52" w:rsidP="00037E52">
            <w:pPr>
              <w:pStyle w:val="Tablefont"/>
              <w:rPr>
                <w:b/>
              </w:rPr>
            </w:pPr>
            <w:r>
              <w:rPr>
                <w:b/>
              </w:rPr>
              <w:t>—</w:t>
            </w:r>
          </w:p>
        </w:tc>
      </w:tr>
      <w:tr w:rsidR="008E46CD" w:rsidRPr="004C23F4" w14:paraId="6BA62AC6" w14:textId="77777777" w:rsidTr="00D95E6C">
        <w:trPr>
          <w:cantSplit/>
        </w:trPr>
        <w:tc>
          <w:tcPr>
            <w:tcW w:w="9026" w:type="dxa"/>
            <w:gridSpan w:val="2"/>
            <w:vAlign w:val="center"/>
          </w:tcPr>
          <w:p w14:paraId="3B775289" w14:textId="77777777" w:rsidR="008E46CD" w:rsidRDefault="008E46CD" w:rsidP="008E46CD">
            <w:pPr>
              <w:pStyle w:val="Tablefont"/>
            </w:pPr>
            <w:r w:rsidRPr="00C9508E">
              <w:rPr>
                <w:b/>
              </w:rPr>
              <w:t>Sampling and analysis:</w:t>
            </w:r>
            <w:r w:rsidRPr="00EC521E">
              <w:rPr>
                <w:rStyle w:val="WESstatus"/>
                <w:color w:val="auto"/>
              </w:rPr>
              <w:t xml:space="preserve"> </w:t>
            </w:r>
            <w:sdt>
              <w:sdtPr>
                <w:rPr>
                  <w:rStyle w:val="WESstatus"/>
                  <w:color w:val="auto"/>
                </w:rPr>
                <w:id w:val="-2105258949"/>
                <w:placeholder>
                  <w:docPart w:val="4D029B25B7954A99A42C1B9F216900C3"/>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60C3D6C1" w14:textId="77777777" w:rsidR="00CB1CB1" w:rsidRPr="003365A5" w:rsidRDefault="00F10C97" w:rsidP="003365A5">
      <w:pPr>
        <w:pStyle w:val="Heading2"/>
      </w:pPr>
      <w:r>
        <w:t>Recommendation and basis for workplace exposure standard</w:t>
      </w:r>
    </w:p>
    <w:p w14:paraId="54128872" w14:textId="64E3D6C6" w:rsidR="00D43309" w:rsidRPr="004C23F4" w:rsidRDefault="008E46CD" w:rsidP="000C139A">
      <w:pPr>
        <w:rPr>
          <w:rFonts w:cs="Arial"/>
        </w:rPr>
      </w:pPr>
      <w:r w:rsidRPr="008E46CD">
        <w:rPr>
          <w:rFonts w:cs="Arial"/>
        </w:rPr>
        <w:t xml:space="preserve">A TWA of </w:t>
      </w:r>
      <w:r w:rsidR="00BF714E">
        <w:rPr>
          <w:rFonts w:cs="Arial"/>
        </w:rPr>
        <w:t>50</w:t>
      </w:r>
      <w:r w:rsidRPr="008E46CD">
        <w:rPr>
          <w:rFonts w:cs="Arial"/>
        </w:rPr>
        <w:t xml:space="preserve"> ppm (</w:t>
      </w:r>
      <w:r w:rsidR="00BF714E">
        <w:rPr>
          <w:rFonts w:cs="Arial"/>
        </w:rPr>
        <w:t>90</w:t>
      </w:r>
      <w:r w:rsidRPr="008E46CD">
        <w:rPr>
          <w:rFonts w:cs="Arial"/>
        </w:rPr>
        <w:t xml:space="preserve"> mg/m</w:t>
      </w:r>
      <w:r w:rsidRPr="008E46CD">
        <w:rPr>
          <w:rFonts w:cs="Arial"/>
          <w:vertAlign w:val="superscript"/>
        </w:rPr>
        <w:t>3</w:t>
      </w:r>
      <w:r w:rsidRPr="008E46CD">
        <w:rPr>
          <w:rFonts w:cs="Arial"/>
        </w:rPr>
        <w:t xml:space="preserve">) is </w:t>
      </w:r>
      <w:r>
        <w:rPr>
          <w:rFonts w:cs="Arial"/>
        </w:rPr>
        <w:t xml:space="preserve">recommended </w:t>
      </w:r>
      <w:r w:rsidRPr="008E46CD">
        <w:rPr>
          <w:rFonts w:cs="Arial"/>
        </w:rPr>
        <w:t xml:space="preserve">to protect for </w:t>
      </w:r>
      <w:r>
        <w:rPr>
          <w:rFonts w:cs="Arial"/>
        </w:rPr>
        <w:t>liver damage</w:t>
      </w:r>
      <w:r w:rsidRPr="008E46CD">
        <w:rPr>
          <w:rFonts w:cs="Arial"/>
        </w:rPr>
        <w:t xml:space="preserve"> in exposed workers</w:t>
      </w:r>
      <w:r>
        <w:rPr>
          <w:rFonts w:cs="Arial"/>
        </w:rPr>
        <w:t>.</w:t>
      </w:r>
    </w:p>
    <w:p w14:paraId="6609718D" w14:textId="77777777" w:rsidR="00C7155E" w:rsidRPr="004C23F4" w:rsidRDefault="00F10C97" w:rsidP="003365A5">
      <w:pPr>
        <w:pStyle w:val="Heading2"/>
      </w:pPr>
      <w:r>
        <w:t>Discussion and conclusions</w:t>
      </w:r>
    </w:p>
    <w:p w14:paraId="13561CE5" w14:textId="22B20DBE" w:rsidR="006639B4" w:rsidRDefault="00247393" w:rsidP="006639B4">
      <w:pPr>
        <w:rPr>
          <w:rFonts w:cs="Arial"/>
        </w:rPr>
      </w:pPr>
      <w:r>
        <w:rPr>
          <w:rFonts w:cs="Arial"/>
        </w:rPr>
        <w:t>Nitrous oxide is used as an anaesthetic in medical, dental and veterinary practices</w:t>
      </w:r>
      <w:r w:rsidR="00947DD2">
        <w:rPr>
          <w:rFonts w:cs="Arial"/>
        </w:rPr>
        <w:t xml:space="preserve">. It is also used </w:t>
      </w:r>
      <w:r>
        <w:rPr>
          <w:rFonts w:cs="Arial"/>
        </w:rPr>
        <w:t>as a propellant</w:t>
      </w:r>
      <w:r w:rsidR="00947DD2">
        <w:rPr>
          <w:rFonts w:cs="Arial"/>
        </w:rPr>
        <w:t xml:space="preserve">, </w:t>
      </w:r>
      <w:r>
        <w:rPr>
          <w:rFonts w:cs="Arial"/>
        </w:rPr>
        <w:t xml:space="preserve">foaming agent and </w:t>
      </w:r>
      <w:r w:rsidR="00947DD2">
        <w:rPr>
          <w:rFonts w:cs="Arial"/>
        </w:rPr>
        <w:t xml:space="preserve">an </w:t>
      </w:r>
      <w:r>
        <w:rPr>
          <w:rFonts w:cs="Arial"/>
        </w:rPr>
        <w:t>oxidant in rocket fuels.</w:t>
      </w:r>
    </w:p>
    <w:p w14:paraId="15ECAC0D" w14:textId="63C2DF90" w:rsidR="006F00A3" w:rsidRDefault="00247393" w:rsidP="006639B4">
      <w:pPr>
        <w:rPr>
          <w:rFonts w:cs="Arial"/>
        </w:rPr>
      </w:pPr>
      <w:r w:rsidRPr="00247393">
        <w:rPr>
          <w:rFonts w:cs="Arial"/>
        </w:rPr>
        <w:t xml:space="preserve">Critical </w:t>
      </w:r>
      <w:r>
        <w:rPr>
          <w:rFonts w:cs="Arial"/>
        </w:rPr>
        <w:t xml:space="preserve">effects </w:t>
      </w:r>
      <w:r w:rsidR="00947DD2">
        <w:rPr>
          <w:rFonts w:cs="Arial"/>
        </w:rPr>
        <w:t xml:space="preserve">of exposure </w:t>
      </w:r>
      <w:r>
        <w:rPr>
          <w:rFonts w:cs="Arial"/>
        </w:rPr>
        <w:t xml:space="preserve">are </w:t>
      </w:r>
      <w:r w:rsidR="000B2228">
        <w:rPr>
          <w:rFonts w:cs="Arial"/>
        </w:rPr>
        <w:t>hepatic, neurological,</w:t>
      </w:r>
      <w:r w:rsidR="0093224A">
        <w:rPr>
          <w:rFonts w:cs="Arial"/>
        </w:rPr>
        <w:t xml:space="preserve"> </w:t>
      </w:r>
      <w:r w:rsidR="000B2228">
        <w:rPr>
          <w:rFonts w:cs="Arial"/>
        </w:rPr>
        <w:t>h</w:t>
      </w:r>
      <w:r w:rsidRPr="00247393">
        <w:rPr>
          <w:rFonts w:cs="Arial"/>
        </w:rPr>
        <w:t xml:space="preserve">aematological and reproductive </w:t>
      </w:r>
      <w:r>
        <w:rPr>
          <w:rFonts w:cs="Arial"/>
        </w:rPr>
        <w:t>toxicity, which result from</w:t>
      </w:r>
      <w:r w:rsidRPr="00247393">
        <w:rPr>
          <w:rFonts w:cs="Arial"/>
        </w:rPr>
        <w:t xml:space="preserve"> vitamin B</w:t>
      </w:r>
      <w:r w:rsidRPr="00D43309">
        <w:rPr>
          <w:rFonts w:cs="Arial"/>
          <w:vertAlign w:val="subscript"/>
        </w:rPr>
        <w:t>12</w:t>
      </w:r>
      <w:r w:rsidRPr="00247393">
        <w:rPr>
          <w:rFonts w:cs="Arial"/>
        </w:rPr>
        <w:t xml:space="preserve"> inactivation and subsequent inhibition of methionine</w:t>
      </w:r>
      <w:r>
        <w:rPr>
          <w:rFonts w:cs="Arial"/>
        </w:rPr>
        <w:t xml:space="preserve"> synthesis as observed in both humans and animals (ACGIH, 2018; DFG, 1998). </w:t>
      </w:r>
    </w:p>
    <w:p w14:paraId="1CBBAF0B" w14:textId="0AAE9393" w:rsidR="008E46CD" w:rsidRDefault="00247393" w:rsidP="006639B4">
      <w:pPr>
        <w:rPr>
          <w:rFonts w:cs="Arial"/>
        </w:rPr>
      </w:pPr>
      <w:r>
        <w:rPr>
          <w:rFonts w:cs="Arial"/>
        </w:rPr>
        <w:t>Neurological effects were investigated in several volunteer inhalation studies (ACGIH, 2018; DFG,</w:t>
      </w:r>
      <w:r w:rsidR="00EF2128">
        <w:rPr>
          <w:rFonts w:cs="Arial"/>
        </w:rPr>
        <w:t> </w:t>
      </w:r>
      <w:r>
        <w:rPr>
          <w:rFonts w:cs="Arial"/>
        </w:rPr>
        <w:t xml:space="preserve">1998). The weight of evidence indicates that </w:t>
      </w:r>
      <w:r w:rsidR="0093224A">
        <w:rPr>
          <w:rFonts w:cs="Arial"/>
        </w:rPr>
        <w:t xml:space="preserve">reaction times are unchanged at exposures between 50 </w:t>
      </w:r>
      <w:r w:rsidR="00895389">
        <w:rPr>
          <w:rFonts w:cs="Arial"/>
        </w:rPr>
        <w:t>and</w:t>
      </w:r>
      <w:r w:rsidR="0093224A">
        <w:rPr>
          <w:rFonts w:cs="Arial"/>
        </w:rPr>
        <w:t xml:space="preserve"> 500 ppm and short-memory impa</w:t>
      </w:r>
      <w:r w:rsidR="006F00A3">
        <w:rPr>
          <w:rFonts w:cs="Arial"/>
        </w:rPr>
        <w:t>irment occurs at 500 ppm (DFG, 1</w:t>
      </w:r>
      <w:r w:rsidR="0093224A">
        <w:rPr>
          <w:rFonts w:cs="Arial"/>
        </w:rPr>
        <w:t xml:space="preserve">998). </w:t>
      </w:r>
      <w:r w:rsidR="00E94E2E">
        <w:rPr>
          <w:rFonts w:cs="Arial"/>
        </w:rPr>
        <w:t>Higher rates of liver disease are reported in chronically exposed dentists</w:t>
      </w:r>
      <w:r w:rsidR="00895389">
        <w:rPr>
          <w:rFonts w:cs="Arial"/>
        </w:rPr>
        <w:t xml:space="preserve"> </w:t>
      </w:r>
      <w:r w:rsidR="00E94E2E">
        <w:rPr>
          <w:rFonts w:cs="Arial"/>
        </w:rPr>
        <w:t>(ACGIH, 2018)</w:t>
      </w:r>
      <w:r w:rsidR="00883342">
        <w:rPr>
          <w:rFonts w:cs="Arial"/>
        </w:rPr>
        <w:t>.</w:t>
      </w:r>
      <w:r w:rsidR="00E94E2E">
        <w:rPr>
          <w:rFonts w:cs="Arial"/>
        </w:rPr>
        <w:t xml:space="preserve"> </w:t>
      </w:r>
      <w:r w:rsidR="00883342">
        <w:rPr>
          <w:rFonts w:cs="Arial"/>
        </w:rPr>
        <w:t>L</w:t>
      </w:r>
      <w:r w:rsidR="00E94E2E">
        <w:rPr>
          <w:rFonts w:cs="Arial"/>
        </w:rPr>
        <w:t xml:space="preserve">iver function impairment </w:t>
      </w:r>
      <w:r w:rsidR="006510BA">
        <w:rPr>
          <w:rFonts w:cs="Arial"/>
        </w:rPr>
        <w:t xml:space="preserve">was observed </w:t>
      </w:r>
      <w:r w:rsidR="00E94E2E">
        <w:rPr>
          <w:rFonts w:cs="Arial"/>
        </w:rPr>
        <w:t>in anaesthetists co-exposed at 2</w:t>
      </w:r>
      <w:r w:rsidR="00895389">
        <w:rPr>
          <w:rFonts w:cs="Arial"/>
        </w:rPr>
        <w:t xml:space="preserve">00 ppm with halothane at 5 ppm, however </w:t>
      </w:r>
      <w:r w:rsidR="00E94E2E">
        <w:rPr>
          <w:rFonts w:cs="Arial"/>
        </w:rPr>
        <w:t>exposure at 50 to 75 ppm produced no such effects (DFG, 1998).</w:t>
      </w:r>
      <w:r w:rsidR="0093224A">
        <w:rPr>
          <w:rFonts w:cs="Arial"/>
        </w:rPr>
        <w:t xml:space="preserve"> Increased rates of spon</w:t>
      </w:r>
      <w:r w:rsidR="000B2228">
        <w:rPr>
          <w:rFonts w:cs="Arial"/>
        </w:rPr>
        <w:t xml:space="preserve">taneous abortions in female dentists at inferred concentrations </w:t>
      </w:r>
      <w:r w:rsidR="005E7769">
        <w:rPr>
          <w:rFonts w:cs="Arial"/>
        </w:rPr>
        <w:t>above</w:t>
      </w:r>
      <w:r w:rsidR="000B2228">
        <w:rPr>
          <w:rFonts w:cs="Arial"/>
        </w:rPr>
        <w:t xml:space="preserve"> 1,000 ppm are reported in epidemiological studies and supported by reproductive studies </w:t>
      </w:r>
      <w:r w:rsidR="005E7769">
        <w:rPr>
          <w:rFonts w:cs="Arial"/>
        </w:rPr>
        <w:t>with animals (ACGIH,</w:t>
      </w:r>
      <w:r w:rsidR="00EF2128">
        <w:rPr>
          <w:rFonts w:cs="Arial"/>
        </w:rPr>
        <w:t> </w:t>
      </w:r>
      <w:r w:rsidR="005E7769">
        <w:rPr>
          <w:rFonts w:cs="Arial"/>
        </w:rPr>
        <w:t>2018; DFG, 2007).</w:t>
      </w:r>
      <w:r w:rsidR="000D63E9">
        <w:rPr>
          <w:rFonts w:cs="Arial"/>
        </w:rPr>
        <w:t xml:space="preserve"> </w:t>
      </w:r>
      <w:r w:rsidR="005E7769">
        <w:rPr>
          <w:rFonts w:cs="Arial"/>
        </w:rPr>
        <w:t xml:space="preserve">In view of the </w:t>
      </w:r>
      <w:r w:rsidR="00BC07D5">
        <w:rPr>
          <w:rFonts w:cs="Arial"/>
        </w:rPr>
        <w:t>available data</w:t>
      </w:r>
      <w:r w:rsidR="005E7769">
        <w:rPr>
          <w:rFonts w:cs="Arial"/>
        </w:rPr>
        <w:t xml:space="preserve">, </w:t>
      </w:r>
      <w:r w:rsidR="00BC07D5">
        <w:rPr>
          <w:rFonts w:cs="Arial"/>
        </w:rPr>
        <w:t xml:space="preserve">potential liver toxicity is </w:t>
      </w:r>
      <w:r w:rsidR="00AD524D">
        <w:rPr>
          <w:rFonts w:cs="Arial"/>
        </w:rPr>
        <w:t>considered to occur</w:t>
      </w:r>
      <w:r w:rsidR="00BC07D5">
        <w:rPr>
          <w:rFonts w:cs="Arial"/>
        </w:rPr>
        <w:t xml:space="preserve"> at occupational exposures</w:t>
      </w:r>
      <w:r w:rsidR="000D63E9">
        <w:rPr>
          <w:rFonts w:cs="Arial"/>
        </w:rPr>
        <w:t xml:space="preserve"> of</w:t>
      </w:r>
      <w:r w:rsidR="00BC07D5">
        <w:rPr>
          <w:rFonts w:cs="Arial"/>
        </w:rPr>
        <w:t xml:space="preserve"> 200 ppm and may be expected to occur before neurological, haematological and reproductive endpoints (DFG, 1998, 2007). </w:t>
      </w:r>
    </w:p>
    <w:p w14:paraId="6736FC48" w14:textId="674C5D77" w:rsidR="005E7769" w:rsidRPr="004C23F4" w:rsidRDefault="00BC07D5" w:rsidP="006639B4">
      <w:pPr>
        <w:rPr>
          <w:rFonts w:cs="Arial"/>
        </w:rPr>
      </w:pPr>
      <w:r>
        <w:rPr>
          <w:rFonts w:cs="Arial"/>
        </w:rPr>
        <w:t xml:space="preserve">The previous TWA of 25 ppm </w:t>
      </w:r>
      <w:r w:rsidR="000D63E9">
        <w:rPr>
          <w:rFonts w:cs="Arial"/>
        </w:rPr>
        <w:t>appears</w:t>
      </w:r>
      <w:r>
        <w:rPr>
          <w:rFonts w:cs="Arial"/>
        </w:rPr>
        <w:t xml:space="preserve"> inconsistent with the remaining body of evidence provided by similar studies investigating </w:t>
      </w:r>
      <w:r w:rsidR="008E46CD">
        <w:rPr>
          <w:rFonts w:cs="Arial"/>
        </w:rPr>
        <w:t>comparable</w:t>
      </w:r>
      <w:r>
        <w:rPr>
          <w:rFonts w:cs="Arial"/>
        </w:rPr>
        <w:t xml:space="preserve"> endpoint</w:t>
      </w:r>
      <w:r w:rsidR="008E46CD">
        <w:rPr>
          <w:rFonts w:cs="Arial"/>
        </w:rPr>
        <w:t>s</w:t>
      </w:r>
      <w:r>
        <w:rPr>
          <w:rFonts w:cs="Arial"/>
        </w:rPr>
        <w:t xml:space="preserve"> (ACGIH, 2018; DFG, 1998).</w:t>
      </w:r>
      <w:r w:rsidR="000D63E9" w:rsidRPr="000D63E9">
        <w:rPr>
          <w:rFonts w:cs="Arial"/>
        </w:rPr>
        <w:t xml:space="preserve"> </w:t>
      </w:r>
      <w:r w:rsidR="000D63E9">
        <w:rPr>
          <w:rFonts w:cs="Arial"/>
        </w:rPr>
        <w:t xml:space="preserve">Therefore, </w:t>
      </w:r>
      <w:r w:rsidR="00CF7953">
        <w:rPr>
          <w:rFonts w:cs="Arial"/>
        </w:rPr>
        <w:t xml:space="preserve">a </w:t>
      </w:r>
      <w:r w:rsidR="000D63E9">
        <w:rPr>
          <w:rFonts w:cs="Arial"/>
        </w:rPr>
        <w:t xml:space="preserve">TWA of 50 ppm </w:t>
      </w:r>
      <w:r w:rsidR="00CF7953">
        <w:rPr>
          <w:rFonts w:cs="Arial"/>
        </w:rPr>
        <w:t xml:space="preserve">by </w:t>
      </w:r>
      <w:r w:rsidR="006D3536">
        <w:rPr>
          <w:rFonts w:cs="Arial"/>
        </w:rPr>
        <w:t xml:space="preserve">ACGIH (2018) </w:t>
      </w:r>
      <w:r w:rsidR="000D63E9">
        <w:rPr>
          <w:rFonts w:cs="Arial"/>
        </w:rPr>
        <w:t>is considered adequate</w:t>
      </w:r>
      <w:r w:rsidR="00EF2128">
        <w:rPr>
          <w:rFonts w:cs="Arial"/>
        </w:rPr>
        <w:t xml:space="preserve"> to</w:t>
      </w:r>
      <w:r w:rsidR="000D63E9">
        <w:rPr>
          <w:rFonts w:cs="Arial"/>
        </w:rPr>
        <w:t xml:space="preserve"> protect</w:t>
      </w:r>
      <w:r w:rsidR="00EF2128">
        <w:rPr>
          <w:rFonts w:cs="Arial"/>
        </w:rPr>
        <w:t xml:space="preserve"> for liver damage in exposed workers</w:t>
      </w:r>
      <w:r w:rsidR="000D63E9">
        <w:rPr>
          <w:rFonts w:cs="Arial"/>
        </w:rPr>
        <w:t xml:space="preserve"> and </w:t>
      </w:r>
      <w:r w:rsidR="00EF2128">
        <w:rPr>
          <w:rFonts w:cs="Arial"/>
        </w:rPr>
        <w:t xml:space="preserve">is </w:t>
      </w:r>
      <w:r w:rsidR="006D3536">
        <w:rPr>
          <w:rFonts w:cs="Arial"/>
        </w:rPr>
        <w:t xml:space="preserve">recommended </w:t>
      </w:r>
      <w:r w:rsidR="00CF7953">
        <w:rPr>
          <w:rFonts w:cs="Arial"/>
        </w:rPr>
        <w:t xml:space="preserve">to </w:t>
      </w:r>
      <w:r w:rsidR="006D3536">
        <w:rPr>
          <w:rFonts w:cs="Arial"/>
        </w:rPr>
        <w:t xml:space="preserve">be </w:t>
      </w:r>
      <w:r w:rsidR="000D63E9">
        <w:rPr>
          <w:rFonts w:cs="Arial"/>
        </w:rPr>
        <w:t>adopted.</w:t>
      </w:r>
    </w:p>
    <w:p w14:paraId="43793457" w14:textId="77777777" w:rsidR="004529F0" w:rsidRPr="004C23F4" w:rsidRDefault="004529F0" w:rsidP="004529F0">
      <w:pPr>
        <w:pStyle w:val="Heading2"/>
      </w:pPr>
      <w:r>
        <w:lastRenderedPageBreak/>
        <w:t>Recommendation for notations</w:t>
      </w:r>
    </w:p>
    <w:p w14:paraId="1BD9D3CF" w14:textId="05F8955F" w:rsidR="008E4F1F" w:rsidRPr="008E46CD" w:rsidRDefault="008E4F1F" w:rsidP="008E4F1F">
      <w:pPr>
        <w:rPr>
          <w:rFonts w:cs="Arial"/>
        </w:rPr>
      </w:pPr>
      <w:r w:rsidRPr="008E46CD">
        <w:rPr>
          <w:rFonts w:cs="Arial"/>
        </w:rPr>
        <w:t>Not classified as a carcinogen according to the Globally Harmonized System of Classification an</w:t>
      </w:r>
      <w:r w:rsidR="008E46CD">
        <w:rPr>
          <w:rFonts w:cs="Arial"/>
        </w:rPr>
        <w:t>d Labelling o</w:t>
      </w:r>
      <w:r w:rsidR="00421BB3">
        <w:rPr>
          <w:rFonts w:cs="Arial"/>
        </w:rPr>
        <w:t>f</w:t>
      </w:r>
      <w:r w:rsidR="008E46CD">
        <w:rPr>
          <w:rFonts w:cs="Arial"/>
        </w:rPr>
        <w:t xml:space="preserve"> Chemicals (GHS).</w:t>
      </w:r>
    </w:p>
    <w:p w14:paraId="0E9F7CC0" w14:textId="77777777" w:rsidR="008E4F1F" w:rsidRPr="008E46CD" w:rsidRDefault="008E4F1F" w:rsidP="008E4F1F">
      <w:pPr>
        <w:rPr>
          <w:rFonts w:cs="Arial"/>
        </w:rPr>
      </w:pPr>
      <w:r w:rsidRPr="008E46CD">
        <w:rPr>
          <w:rFonts w:cs="Arial"/>
        </w:rPr>
        <w:t>Not classified as a skin or respiratory sensitiser according to the GHS.</w:t>
      </w:r>
    </w:p>
    <w:p w14:paraId="17818F58" w14:textId="7710A237" w:rsidR="004529F0" w:rsidRPr="004C23F4" w:rsidRDefault="000D63E9" w:rsidP="008E4F1F">
      <w:pPr>
        <w:rPr>
          <w:rFonts w:cs="Arial"/>
        </w:rPr>
      </w:pPr>
      <w:r>
        <w:rPr>
          <w:rFonts w:cs="Arial"/>
        </w:rPr>
        <w:t>There are i</w:t>
      </w:r>
      <w:r w:rsidR="008E4F1F" w:rsidRPr="008E46CD">
        <w:rPr>
          <w:rFonts w:cs="Arial"/>
        </w:rPr>
        <w:t xml:space="preserve">nsufficient </w:t>
      </w:r>
      <w:r>
        <w:rPr>
          <w:rFonts w:cs="Arial"/>
        </w:rPr>
        <w:t>data</w:t>
      </w:r>
      <w:r w:rsidR="008E4F1F" w:rsidRPr="008E46CD">
        <w:rPr>
          <w:rFonts w:cs="Arial"/>
        </w:rPr>
        <w:t xml:space="preserve"> to recommend a skin notation.</w:t>
      </w:r>
    </w:p>
    <w:p w14:paraId="6064E248" w14:textId="77777777" w:rsidR="0025734A" w:rsidRPr="004C23F4" w:rsidRDefault="0025734A">
      <w:pPr>
        <w:rPr>
          <w:rFonts w:cs="Arial"/>
        </w:rPr>
      </w:pPr>
    </w:p>
    <w:p w14:paraId="1949D0A8"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3FD6711B"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20BDFBDE"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0ACB7FC4" w14:textId="77777777" w:rsidTr="00C9065D">
        <w:trPr>
          <w:gridAfter w:val="1"/>
          <w:wAfter w:w="8" w:type="pct"/>
          <w:trHeight w:val="393"/>
          <w:tblHeader/>
        </w:trPr>
        <w:tc>
          <w:tcPr>
            <w:tcW w:w="4992" w:type="pct"/>
            <w:shd w:val="clear" w:color="auto" w:fill="BFBFBF" w:themeFill="background1" w:themeFillShade="BF"/>
            <w:vAlign w:val="center"/>
          </w:tcPr>
          <w:p w14:paraId="33742C12"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2F0FAC9C" w14:textId="77777777" w:rsidTr="00C9065D">
        <w:tc>
          <w:tcPr>
            <w:tcW w:w="5000" w:type="pct"/>
            <w:gridSpan w:val="2"/>
            <w:shd w:val="clear" w:color="auto" w:fill="F2F2F2" w:themeFill="background1" w:themeFillShade="F2"/>
          </w:tcPr>
          <w:p w14:paraId="3BF131C8"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1C32CF">
                  <w:t>1990</w:t>
                </w:r>
              </w:sdtContent>
            </w:sdt>
            <w:r w:rsidRPr="003365A5">
              <w:tab/>
            </w:r>
            <w:r>
              <w:tab/>
            </w:r>
            <w:sdt>
              <w:sdtPr>
                <w:alias w:val="SWA WES"/>
                <w:tag w:val="SWA WES"/>
                <w:id w:val="857077202"/>
                <w:placeholder>
                  <w:docPart w:val="81CFEC2FDBC5451289F394E66D92D1A0"/>
                </w:placeholder>
              </w:sdtPr>
              <w:sdtEndPr/>
              <w:sdtContent>
                <w:r w:rsidR="001C32CF">
                  <w:t>TWA: 25 ppm (45 mg/m</w:t>
                </w:r>
                <w:r w:rsidR="001C32CF" w:rsidRPr="001C32CF">
                  <w:rPr>
                    <w:vertAlign w:val="superscript"/>
                  </w:rPr>
                  <w:t>3</w:t>
                </w:r>
                <w:r w:rsidR="001C32CF">
                  <w:t>)</w:t>
                </w:r>
              </w:sdtContent>
            </w:sdt>
          </w:p>
        </w:tc>
      </w:tr>
      <w:tr w:rsidR="00C978F0" w:rsidRPr="00DA352E" w14:paraId="2EBCED75" w14:textId="77777777" w:rsidTr="00C9065D">
        <w:trPr>
          <w:gridAfter w:val="1"/>
          <w:wAfter w:w="8" w:type="pct"/>
        </w:trPr>
        <w:tc>
          <w:tcPr>
            <w:tcW w:w="4992" w:type="pct"/>
          </w:tcPr>
          <w:p w14:paraId="075DA62E" w14:textId="77777777" w:rsidR="00C978F0" w:rsidRPr="00DA352E" w:rsidRDefault="00C978F0" w:rsidP="003365A5">
            <w:pPr>
              <w:pStyle w:val="Tabletextprimarysource"/>
            </w:pPr>
          </w:p>
        </w:tc>
      </w:tr>
      <w:tr w:rsidR="00C978F0" w:rsidRPr="00DA352E" w14:paraId="7494D7F4" w14:textId="77777777" w:rsidTr="00C9065D">
        <w:trPr>
          <w:gridAfter w:val="1"/>
          <w:wAfter w:w="8" w:type="pct"/>
        </w:trPr>
        <w:tc>
          <w:tcPr>
            <w:tcW w:w="4992" w:type="pct"/>
            <w:shd w:val="clear" w:color="auto" w:fill="F2F2F2" w:themeFill="background1" w:themeFillShade="F2"/>
          </w:tcPr>
          <w:p w14:paraId="20EE6491"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DC58CA">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DC58CA">
                  <w:t>TLV-</w:t>
                </w:r>
                <w:r w:rsidR="00DC58CA" w:rsidRPr="00DC58CA">
                  <w:t>TWA: 5</w:t>
                </w:r>
                <w:r w:rsidR="00DC58CA">
                  <w:t>0</w:t>
                </w:r>
                <w:r w:rsidR="00DC58CA" w:rsidRPr="00DC58CA">
                  <w:t xml:space="preserve"> ppm (</w:t>
                </w:r>
                <w:r w:rsidR="00DC58CA">
                  <w:t>90</w:t>
                </w:r>
                <w:r w:rsidR="00DC58CA" w:rsidRPr="00DC58CA">
                  <w:t xml:space="preserve"> mg/m</w:t>
                </w:r>
                <w:r w:rsidR="00DC58CA" w:rsidRPr="00DC58CA">
                  <w:rPr>
                    <w:vertAlign w:val="superscript"/>
                  </w:rPr>
                  <w:t>3</w:t>
                </w:r>
                <w:r w:rsidR="00DC58CA" w:rsidRPr="00DC58CA">
                  <w:t>)</w:t>
                </w:r>
              </w:sdtContent>
            </w:sdt>
          </w:p>
        </w:tc>
      </w:tr>
      <w:tr w:rsidR="00C978F0" w:rsidRPr="00DA352E" w14:paraId="4877CEEE" w14:textId="77777777" w:rsidTr="00C9065D">
        <w:trPr>
          <w:gridAfter w:val="1"/>
          <w:wAfter w:w="8" w:type="pct"/>
        </w:trPr>
        <w:tc>
          <w:tcPr>
            <w:tcW w:w="4992" w:type="pct"/>
          </w:tcPr>
          <w:p w14:paraId="0D2D9E36" w14:textId="77777777" w:rsidR="00C978F0" w:rsidRDefault="0045026A" w:rsidP="003365A5">
            <w:pPr>
              <w:pStyle w:val="Tabletextprimarysource"/>
            </w:pPr>
            <w:r>
              <w:t>TLV-TWA intended to protect for adverse reproductive, haematological and nervous system effects. Not classified as a human carcinogen (A4) based on an</w:t>
            </w:r>
            <w:r w:rsidR="001F26B3">
              <w:t>imal carcinogenicity studies.</w:t>
            </w:r>
          </w:p>
          <w:p w14:paraId="2A1B26C1" w14:textId="77777777" w:rsidR="0045026A" w:rsidRDefault="0045026A" w:rsidP="003365A5">
            <w:pPr>
              <w:pStyle w:val="Tabletextprimarysource"/>
            </w:pPr>
            <w:r>
              <w:t>Summary of data:</w:t>
            </w:r>
          </w:p>
          <w:p w14:paraId="6EAA893C" w14:textId="77777777" w:rsidR="00272B80" w:rsidRDefault="00DF0979" w:rsidP="003365A5">
            <w:pPr>
              <w:pStyle w:val="Tabletextprimarysource"/>
            </w:pPr>
            <w:r>
              <w:t>TLV-TWA based on animal studies, which are supported by weak epidemiological data in humans. Based on these data, TLV-TWA is</w:t>
            </w:r>
            <w:r w:rsidR="000731AF">
              <w:t xml:space="preserve"> expected to be protective of </w:t>
            </w:r>
            <w:r>
              <w:t xml:space="preserve">embryotoxicity and </w:t>
            </w:r>
            <w:r w:rsidR="001F26B3">
              <w:t xml:space="preserve">potential </w:t>
            </w:r>
            <w:r>
              <w:t>neurotoxicity; derivation not discussed.</w:t>
            </w:r>
          </w:p>
          <w:p w14:paraId="1F5FBBCF" w14:textId="77777777" w:rsidR="0045026A" w:rsidRDefault="0045026A" w:rsidP="003365A5">
            <w:pPr>
              <w:pStyle w:val="Tabletextprimarysource"/>
            </w:pPr>
            <w:r>
              <w:t>Human data:</w:t>
            </w:r>
          </w:p>
          <w:p w14:paraId="36B4B52A" w14:textId="77777777" w:rsidR="00E3257A" w:rsidRDefault="00E3257A" w:rsidP="0045026A">
            <w:pPr>
              <w:pStyle w:val="Tabletextprimarysource"/>
              <w:numPr>
                <w:ilvl w:val="0"/>
                <w:numId w:val="1"/>
              </w:numPr>
            </w:pPr>
            <w:r>
              <w:t>Reversible bone marrow depression at 50%</w:t>
            </w:r>
            <w:r w:rsidR="001F26B3">
              <w:t xml:space="preserve"> in air</w:t>
            </w:r>
            <w:r>
              <w:t xml:space="preserve"> in narcotised patients (14–17 d)</w:t>
            </w:r>
          </w:p>
          <w:p w14:paraId="4D96D23E" w14:textId="0821F095" w:rsidR="00E3257A" w:rsidRDefault="00952698" w:rsidP="0045026A">
            <w:pPr>
              <w:pStyle w:val="Tabletextprimarysource"/>
              <w:numPr>
                <w:ilvl w:val="0"/>
                <w:numId w:val="1"/>
              </w:numPr>
            </w:pPr>
            <w:r>
              <w:t>Three</w:t>
            </w:r>
            <w:r w:rsidR="00E240C6">
              <w:t xml:space="preserve"> epidemiological studies indicate increased rate of cancers in occupationally exposed females; tumour types and locations were inconsistent across these studies</w:t>
            </w:r>
            <w:r>
              <w:t>:</w:t>
            </w:r>
            <w:r w:rsidR="00E240C6">
              <w:t xml:space="preserve"> </w:t>
            </w:r>
          </w:p>
          <w:p w14:paraId="2E0C6107" w14:textId="652498FC" w:rsidR="00E240C6" w:rsidRDefault="00A962A2" w:rsidP="00C9065D">
            <w:pPr>
              <w:pStyle w:val="Tabletextprimarysource"/>
              <w:numPr>
                <w:ilvl w:val="1"/>
                <w:numId w:val="1"/>
              </w:numPr>
              <w:ind w:left="1094" w:hanging="357"/>
            </w:pPr>
            <w:r>
              <w:t>3-fold higher rate of malignant subcutaneous tumours in nurse-anaesthetists exposed for 1–31 yr, but only in 1971 (n=525)</w:t>
            </w:r>
            <w:r w:rsidR="000540A6">
              <w:t>;</w:t>
            </w:r>
            <w:r w:rsidR="005611F4">
              <w:t xml:space="preserve"> presumably 1971 is the end of study (no further explanation) </w:t>
            </w:r>
          </w:p>
          <w:p w14:paraId="2BF30E7B" w14:textId="45D9678A" w:rsidR="00A962A2" w:rsidRDefault="00A962A2" w:rsidP="00C9065D">
            <w:pPr>
              <w:pStyle w:val="Tabletextprimarysource"/>
              <w:numPr>
                <w:ilvl w:val="1"/>
                <w:numId w:val="1"/>
              </w:numPr>
              <w:ind w:left="1094" w:hanging="357"/>
            </w:pPr>
            <w:r>
              <w:t>30–100% increase in cancer rate in exposed female operating room personnel compared to matched controls, but not in males (n=489,</w:t>
            </w:r>
            <w:r w:rsidR="00952698">
              <w:t xml:space="preserve"> </w:t>
            </w:r>
            <w:r>
              <w:t>585)</w:t>
            </w:r>
          </w:p>
          <w:p w14:paraId="267F3C5B" w14:textId="19174339" w:rsidR="00997492" w:rsidRDefault="00952698" w:rsidP="00997492">
            <w:pPr>
              <w:pStyle w:val="Tabletextprimarysource"/>
              <w:numPr>
                <w:ilvl w:val="0"/>
                <w:numId w:val="1"/>
              </w:numPr>
            </w:pPr>
            <w:r>
              <w:t>Four</w:t>
            </w:r>
            <w:r w:rsidR="00997492">
              <w:t xml:space="preserve"> epidemiological studies showed negative correlation between exposure and cancer mortality in workers exposed to waste anaesthetic gas (no further details)</w:t>
            </w:r>
          </w:p>
          <w:p w14:paraId="7A3B4752" w14:textId="77777777" w:rsidR="00304759" w:rsidRDefault="00304759" w:rsidP="00997492">
            <w:pPr>
              <w:pStyle w:val="Tabletextprimarysource"/>
              <w:numPr>
                <w:ilvl w:val="0"/>
                <w:numId w:val="1"/>
              </w:numPr>
            </w:pPr>
            <w:r>
              <w:t xml:space="preserve">Increased unplanned abortions in exposed females </w:t>
            </w:r>
            <w:r w:rsidR="00DE0820">
              <w:t>reported</w:t>
            </w:r>
            <w:r>
              <w:t xml:space="preserve"> in qualitative surveys</w:t>
            </w:r>
          </w:p>
          <w:p w14:paraId="4F2C13F1" w14:textId="77777777" w:rsidR="007911A9" w:rsidRDefault="00DE0820" w:rsidP="00997492">
            <w:pPr>
              <w:pStyle w:val="Tabletextprimarysource"/>
              <w:numPr>
                <w:ilvl w:val="0"/>
                <w:numId w:val="1"/>
              </w:numPr>
            </w:pPr>
            <w:r>
              <w:t>No changes to hepatic and haematological clinical parameters in exposed hospital workers, exposure</w:t>
            </w:r>
            <w:r w:rsidR="00B754B1">
              <w:t>s</w:t>
            </w:r>
            <w:r>
              <w:t xml:space="preserve"> were typically between 500–1,275 ppm </w:t>
            </w:r>
          </w:p>
          <w:p w14:paraId="6905E7D4" w14:textId="77777777" w:rsidR="00DE0820" w:rsidRDefault="00DE0820" w:rsidP="00DE0820">
            <w:pPr>
              <w:pStyle w:val="Tabletextprimarysource"/>
              <w:numPr>
                <w:ilvl w:val="0"/>
                <w:numId w:val="1"/>
              </w:numPr>
            </w:pPr>
            <w:r>
              <w:t>Higher rate of liver and kidney disease in heavily exposed dentists (no further details)</w:t>
            </w:r>
          </w:p>
          <w:p w14:paraId="229BA3B5" w14:textId="77777777" w:rsidR="00C11B75" w:rsidRDefault="00DE0820" w:rsidP="00DE0820">
            <w:pPr>
              <w:pStyle w:val="Tabletextprimarysource"/>
              <w:numPr>
                <w:ilvl w:val="0"/>
                <w:numId w:val="1"/>
              </w:numPr>
            </w:pPr>
            <w:r>
              <w:t>No task performance impairment reported in exposed volunteers at 50 ppm (n=24, 4 h); non-significant increas</w:t>
            </w:r>
            <w:r w:rsidR="00247393">
              <w:t>ing trend</w:t>
            </w:r>
            <w:r>
              <w:t xml:space="preserve"> in tiredness noted</w:t>
            </w:r>
          </w:p>
          <w:p w14:paraId="47E41B9D" w14:textId="4B785CF5" w:rsidR="00DE0820" w:rsidRDefault="00C11B75" w:rsidP="00DE0820">
            <w:pPr>
              <w:pStyle w:val="Tabletextprimarysource"/>
              <w:numPr>
                <w:ilvl w:val="0"/>
                <w:numId w:val="1"/>
              </w:numPr>
            </w:pPr>
            <w:r>
              <w:t>Separate volunteer study reported task performance impairment at 50 ppm, which was used by NIOSH to recommend OEL of 25 ppm</w:t>
            </w:r>
            <w:r w:rsidR="00952698">
              <w:t>.</w:t>
            </w:r>
          </w:p>
          <w:p w14:paraId="15042D1B" w14:textId="77777777" w:rsidR="0045026A" w:rsidRDefault="0045026A" w:rsidP="003365A5">
            <w:pPr>
              <w:pStyle w:val="Tabletextprimarysource"/>
            </w:pPr>
            <w:r>
              <w:t>Animal data:</w:t>
            </w:r>
          </w:p>
          <w:p w14:paraId="5C431AD5" w14:textId="77777777" w:rsidR="00272B80" w:rsidRDefault="0045026A" w:rsidP="0045026A">
            <w:pPr>
              <w:pStyle w:val="Tabletextprimarysource"/>
              <w:numPr>
                <w:ilvl w:val="0"/>
                <w:numId w:val="1"/>
              </w:numPr>
            </w:pPr>
            <w:r>
              <w:t xml:space="preserve">No histopathological changes </w:t>
            </w:r>
            <w:r w:rsidR="00A66510">
              <w:t xml:space="preserve">including </w:t>
            </w:r>
            <w:r w:rsidR="00304759">
              <w:t xml:space="preserve">to brain, liver, kidney, </w:t>
            </w:r>
            <w:r w:rsidR="00A66510">
              <w:t xml:space="preserve">and reproductive organs </w:t>
            </w:r>
            <w:r w:rsidR="00272B80">
              <w:t xml:space="preserve">or biochemical </w:t>
            </w:r>
            <w:r w:rsidR="00A66510">
              <w:t>markers for inflammation</w:t>
            </w:r>
            <w:r w:rsidR="00272B80">
              <w:t xml:space="preserve"> at up to 50% in air</w:t>
            </w:r>
            <w:r w:rsidR="00A66510">
              <w:t xml:space="preserve"> (mice, 4 h/d, 5 d/wk, 14 </w:t>
            </w:r>
            <w:r w:rsidR="00272B80">
              <w:t>wk)</w:t>
            </w:r>
          </w:p>
          <w:p w14:paraId="156935CC" w14:textId="77777777" w:rsidR="00272B80" w:rsidRDefault="00272B80" w:rsidP="0045026A">
            <w:pPr>
              <w:pStyle w:val="Tabletextprimarysource"/>
              <w:numPr>
                <w:ilvl w:val="0"/>
                <w:numId w:val="1"/>
              </w:numPr>
            </w:pPr>
            <w:r>
              <w:t>No haematopoietic changes at 1% in air (rats, duration not specified, 1–6 mo); bone marrow toxicity reported at 80% in oxygen</w:t>
            </w:r>
          </w:p>
          <w:p w14:paraId="0041937A" w14:textId="77777777" w:rsidR="0045026A" w:rsidRDefault="00272B80" w:rsidP="0045026A">
            <w:pPr>
              <w:pStyle w:val="Tabletextprimarysource"/>
              <w:numPr>
                <w:ilvl w:val="0"/>
                <w:numId w:val="1"/>
              </w:numPr>
            </w:pPr>
            <w:r>
              <w:t xml:space="preserve">No effect </w:t>
            </w:r>
            <w:r w:rsidR="00A66510">
              <w:t>to</w:t>
            </w:r>
            <w:r>
              <w:t xml:space="preserve"> methionine production at 450 ppm (rats, no further details)</w:t>
            </w:r>
          </w:p>
          <w:p w14:paraId="6EC363EB" w14:textId="2386F5DD" w:rsidR="00A66510" w:rsidRDefault="00A66510" w:rsidP="0045026A">
            <w:pPr>
              <w:pStyle w:val="Tabletextprimarysource"/>
              <w:numPr>
                <w:ilvl w:val="0"/>
                <w:numId w:val="1"/>
              </w:numPr>
            </w:pPr>
            <w:r>
              <w:t xml:space="preserve">No evidence for carcinogenic effects in 3 chronic inhalation studies (mice, rats, 2–7 h/d, </w:t>
            </w:r>
            <w:r w:rsidR="00952698">
              <w:br/>
            </w:r>
            <w:r>
              <w:t>5–7 d/wk, 15–24 mo)</w:t>
            </w:r>
          </w:p>
          <w:p w14:paraId="58DD1BD7" w14:textId="77777777" w:rsidR="00304759" w:rsidRDefault="00C11B75" w:rsidP="00304759">
            <w:pPr>
              <w:pStyle w:val="Tabletextprimarysource"/>
              <w:numPr>
                <w:ilvl w:val="0"/>
                <w:numId w:val="1"/>
              </w:numPr>
            </w:pPr>
            <w:r>
              <w:t>Equivocal data for</w:t>
            </w:r>
            <w:r w:rsidR="00304759">
              <w:t xml:space="preserve"> foetal mortality and teratogenicity </w:t>
            </w:r>
            <w:r>
              <w:t xml:space="preserve">in rodents are </w:t>
            </w:r>
            <w:r w:rsidR="00304759">
              <w:t>reported:</w:t>
            </w:r>
          </w:p>
          <w:p w14:paraId="3581FDDE" w14:textId="254D14DF" w:rsidR="00A66510" w:rsidRDefault="00A66510" w:rsidP="00C9065D">
            <w:pPr>
              <w:pStyle w:val="Tabletextprimarysource"/>
              <w:numPr>
                <w:ilvl w:val="1"/>
                <w:numId w:val="1"/>
              </w:numPr>
              <w:ind w:left="1094" w:hanging="357"/>
            </w:pPr>
            <w:r>
              <w:t>foetal mortality above 100 ppm in developmental inhalation study with exposure groups 0, 100, 1,000 15,000 ppm (rats, 8 or 24 h/d, 5–9 d, wk 2–3 of pregnancy)</w:t>
            </w:r>
          </w:p>
          <w:p w14:paraId="56F503AA" w14:textId="192675AC" w:rsidR="00A66510" w:rsidRDefault="00A66510" w:rsidP="00C9065D">
            <w:pPr>
              <w:pStyle w:val="Tabletextprimarysource"/>
              <w:numPr>
                <w:ilvl w:val="1"/>
                <w:numId w:val="1"/>
              </w:numPr>
              <w:ind w:left="1094" w:hanging="357"/>
            </w:pPr>
            <w:r>
              <w:t xml:space="preserve">smaller litter sizes </w:t>
            </w:r>
            <w:r w:rsidR="00C11B75">
              <w:t>and congenital abnormalities</w:t>
            </w:r>
            <w:r>
              <w:t xml:space="preserve"> </w:t>
            </w:r>
            <w:r w:rsidR="00C11B75">
              <w:t xml:space="preserve">only at </w:t>
            </w:r>
            <w:r>
              <w:t xml:space="preserve">1,000 ppm in </w:t>
            </w:r>
            <w:r w:rsidR="00E3257A">
              <w:t>separate study with exposure groups 0, 250, 500 and 1,000 ppm (rats, 24 h/d, GD 1–19)</w:t>
            </w:r>
          </w:p>
          <w:p w14:paraId="109A7EAE" w14:textId="737D05F9" w:rsidR="00E3257A" w:rsidRDefault="00E3257A" w:rsidP="00C9065D">
            <w:pPr>
              <w:pStyle w:val="Tabletextprimarysource"/>
              <w:numPr>
                <w:ilvl w:val="1"/>
                <w:numId w:val="1"/>
              </w:numPr>
              <w:ind w:left="1094" w:hanging="357"/>
            </w:pPr>
            <w:r>
              <w:t>no congenital abnormalities at 0.5, 5 or 50% in air (mice, 4 h/d, GD 5–15)</w:t>
            </w:r>
          </w:p>
          <w:p w14:paraId="11FA9E99" w14:textId="63FF49D8" w:rsidR="00E3257A" w:rsidRDefault="00E3257A" w:rsidP="00E3257A">
            <w:pPr>
              <w:pStyle w:val="Tabletextprimarysource"/>
              <w:numPr>
                <w:ilvl w:val="0"/>
                <w:numId w:val="1"/>
              </w:numPr>
            </w:pPr>
            <w:r>
              <w:t xml:space="preserve">Non-mutagenic </w:t>
            </w:r>
            <w:r>
              <w:rPr>
                <w:i/>
              </w:rPr>
              <w:t>in vitro</w:t>
            </w:r>
            <w:r>
              <w:t xml:space="preserve"> in bacteria and mammalian cells, and </w:t>
            </w:r>
            <w:r>
              <w:rPr>
                <w:i/>
              </w:rPr>
              <w:t>in vivo</w:t>
            </w:r>
            <w:r>
              <w:t xml:space="preserve"> in </w:t>
            </w:r>
            <w:r>
              <w:rPr>
                <w:i/>
              </w:rPr>
              <w:t>Drosophila</w:t>
            </w:r>
            <w:r w:rsidR="00952698">
              <w:rPr>
                <w:i/>
              </w:rPr>
              <w:t>.</w:t>
            </w:r>
          </w:p>
          <w:p w14:paraId="548BF6F1" w14:textId="77777777" w:rsidR="00952698" w:rsidRDefault="00952698" w:rsidP="003365A5">
            <w:pPr>
              <w:pStyle w:val="Tabletextprimarysource"/>
            </w:pPr>
          </w:p>
          <w:p w14:paraId="0743CF25" w14:textId="77777777" w:rsidR="00952698" w:rsidRDefault="0045026A" w:rsidP="003365A5">
            <w:pPr>
              <w:pStyle w:val="Tabletextprimarysource"/>
            </w:pPr>
            <w:r>
              <w:t>Insufficient data to recommend a TLV-STEL or notations for skin absorption or sensitisation.</w:t>
            </w:r>
          </w:p>
          <w:p w14:paraId="56A30EB3" w14:textId="0F3BE16D" w:rsidR="00952698" w:rsidRPr="00DA352E" w:rsidRDefault="00952698" w:rsidP="003365A5">
            <w:pPr>
              <w:pStyle w:val="Tabletextprimarysource"/>
            </w:pPr>
          </w:p>
        </w:tc>
      </w:tr>
      <w:tr w:rsidR="00C978F0" w:rsidRPr="00DA352E" w14:paraId="3AA50B93" w14:textId="77777777" w:rsidTr="00C9065D">
        <w:trPr>
          <w:gridAfter w:val="1"/>
          <w:wAfter w:w="8" w:type="pct"/>
        </w:trPr>
        <w:tc>
          <w:tcPr>
            <w:tcW w:w="4992" w:type="pct"/>
            <w:shd w:val="clear" w:color="auto" w:fill="F2F2F2" w:themeFill="background1" w:themeFillShade="F2"/>
          </w:tcPr>
          <w:p w14:paraId="374A5B80"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247393">
                  <w:t>1993</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DC58CA">
                  <w:t>MAK: 100 ppm (180 mg/m</w:t>
                </w:r>
                <w:r w:rsidR="00DC58CA" w:rsidRPr="00DC58CA">
                  <w:rPr>
                    <w:vertAlign w:val="superscript"/>
                  </w:rPr>
                  <w:t>3</w:t>
                </w:r>
                <w:r w:rsidR="00DC58CA">
                  <w:t>)</w:t>
                </w:r>
              </w:sdtContent>
            </w:sdt>
          </w:p>
        </w:tc>
      </w:tr>
      <w:tr w:rsidR="00C978F0" w:rsidRPr="00DA352E" w14:paraId="53721BC2" w14:textId="77777777" w:rsidTr="00C9065D">
        <w:trPr>
          <w:gridAfter w:val="1"/>
          <w:wAfter w:w="8" w:type="pct"/>
        </w:trPr>
        <w:tc>
          <w:tcPr>
            <w:tcW w:w="4992" w:type="pct"/>
          </w:tcPr>
          <w:p w14:paraId="68B9EA94" w14:textId="77777777" w:rsidR="00F4717C" w:rsidRDefault="00F4717C" w:rsidP="003365A5">
            <w:pPr>
              <w:pStyle w:val="Tabletextprimarysource"/>
            </w:pPr>
            <w:r>
              <w:t>Summary of additional data:</w:t>
            </w:r>
          </w:p>
          <w:p w14:paraId="3F692A59" w14:textId="22F9EBE4" w:rsidR="00263DC8" w:rsidRDefault="006D4E6F" w:rsidP="003365A5">
            <w:pPr>
              <w:pStyle w:val="Tabletextprimarysource"/>
            </w:pPr>
            <w:r>
              <w:t>Critical neurological, haematological and reproductive effects are caused by vitamin B</w:t>
            </w:r>
            <w:r w:rsidRPr="00D43309">
              <w:rPr>
                <w:vertAlign w:val="subscript"/>
              </w:rPr>
              <w:t>12</w:t>
            </w:r>
            <w:r>
              <w:t xml:space="preserve"> inactivation and subsequent inhibition of methionine synthesis. </w:t>
            </w:r>
            <w:r w:rsidR="001E028A">
              <w:t>Anaesthetists co-exposed at 200 ppm with 5 ppm halothane showed 10% decreased liver function. As decrease in liver function due to nitrous oxide exposure in these workers cannot be excluded, MAK of 100 ppm is expected to be protective of these and other critical effects</w:t>
            </w:r>
            <w:r w:rsidR="00F4717C">
              <w:t>.</w:t>
            </w:r>
            <w:r w:rsidR="001E028A">
              <w:t xml:space="preserve"> Agency notes that w</w:t>
            </w:r>
            <w:r w:rsidR="00F4717C">
              <w:t>eight of evidence suggests adverse behavioural symptoms i</w:t>
            </w:r>
            <w:r w:rsidR="00263DC8">
              <w:t>n humans do not occur at 50 ppm.</w:t>
            </w:r>
          </w:p>
          <w:p w14:paraId="408A7877" w14:textId="77777777" w:rsidR="00F4717C" w:rsidRDefault="00F4717C" w:rsidP="003365A5">
            <w:pPr>
              <w:pStyle w:val="Tabletextprimarysource"/>
            </w:pPr>
            <w:r>
              <w:t>Human data:</w:t>
            </w:r>
          </w:p>
          <w:p w14:paraId="1B3C48CC" w14:textId="77777777" w:rsidR="00F4717C" w:rsidRDefault="00EB2F30" w:rsidP="00EB2F30">
            <w:pPr>
              <w:pStyle w:val="Tabletextprimarysource"/>
              <w:numPr>
                <w:ilvl w:val="0"/>
                <w:numId w:val="1"/>
              </w:numPr>
            </w:pPr>
            <w:r>
              <w:t>No neurological symptoms at 300–1,200 ppm in dentists (10 h/wk)</w:t>
            </w:r>
          </w:p>
          <w:p w14:paraId="72C16C3C" w14:textId="77777777" w:rsidR="00EB2F30" w:rsidRDefault="00EB2F30" w:rsidP="00EB2F30">
            <w:pPr>
              <w:pStyle w:val="Tabletextprimarysource"/>
              <w:numPr>
                <w:ilvl w:val="0"/>
                <w:numId w:val="1"/>
              </w:numPr>
            </w:pPr>
            <w:r>
              <w:t>Chronic overexposure or abuse causes irreversible neuromyelopathy (no further details)</w:t>
            </w:r>
          </w:p>
          <w:p w14:paraId="0162277F" w14:textId="77777777" w:rsidR="00EB2F30" w:rsidRDefault="00EB2F30" w:rsidP="00EB2F30">
            <w:pPr>
              <w:pStyle w:val="Tabletextprimarysource"/>
              <w:numPr>
                <w:ilvl w:val="0"/>
                <w:numId w:val="1"/>
              </w:numPr>
            </w:pPr>
            <w:r>
              <w:t>Dentists co-exposed to mercury for 3,000 h over 10 yr had 2% higher incidence of neurological disorders (concentrations not specified)</w:t>
            </w:r>
          </w:p>
          <w:p w14:paraId="2D91E39E" w14:textId="77777777" w:rsidR="00EB2F30" w:rsidRDefault="002554B7" w:rsidP="00EB2F30">
            <w:pPr>
              <w:pStyle w:val="Tabletextprimarysource"/>
              <w:numPr>
                <w:ilvl w:val="0"/>
                <w:numId w:val="1"/>
              </w:numPr>
            </w:pPr>
            <w:r>
              <w:t>Weight of evidence from acute volunteer exposure studies indicate no adverse effects to reaction time at 50–500 ppm; short-term memory impairment suggested by some studies at 500 ppm</w:t>
            </w:r>
          </w:p>
          <w:p w14:paraId="50D5EBE1" w14:textId="77777777" w:rsidR="002554B7" w:rsidRDefault="002554B7" w:rsidP="00EB2F30">
            <w:pPr>
              <w:pStyle w:val="Tabletextprimarysource"/>
              <w:numPr>
                <w:ilvl w:val="0"/>
                <w:numId w:val="1"/>
              </w:numPr>
            </w:pPr>
            <w:r>
              <w:t>10% decreased liver function (measured by antipyrine metabolism) in anaesthetists co-exposed at 200 ppm with halothane at 5 ppm; effect likely due to presence of halothane</w:t>
            </w:r>
          </w:p>
          <w:p w14:paraId="39C70705" w14:textId="77777777" w:rsidR="002554B7" w:rsidRDefault="002554B7" w:rsidP="00EB2F30">
            <w:pPr>
              <w:pStyle w:val="Tabletextprimarysource"/>
              <w:numPr>
                <w:ilvl w:val="0"/>
                <w:numId w:val="1"/>
              </w:numPr>
            </w:pPr>
            <w:r>
              <w:t>No change in antipyrine metabolism in anaesthetists and technicians exposed to 2–7 ppm halothane and 50–75 ppm nitrous oxide compared to controls</w:t>
            </w:r>
          </w:p>
          <w:p w14:paraId="236518BE" w14:textId="50A4B4D4" w:rsidR="002554B7" w:rsidRDefault="00B754B1" w:rsidP="00EB2F30">
            <w:pPr>
              <w:pStyle w:val="Tabletextprimarysource"/>
              <w:numPr>
                <w:ilvl w:val="0"/>
                <w:numId w:val="1"/>
              </w:numPr>
            </w:pPr>
            <w:r>
              <w:t>Decreased haematopoiesis in dentists exposed to 1,800–2,500 ppm</w:t>
            </w:r>
            <w:r w:rsidR="005B0C8C">
              <w:t>,</w:t>
            </w:r>
            <w:r>
              <w:t xml:space="preserve"> 6–27 h/wk</w:t>
            </w:r>
          </w:p>
          <w:p w14:paraId="78730743" w14:textId="77777777" w:rsidR="00B754B1" w:rsidRDefault="00B754B1" w:rsidP="00EB2F30">
            <w:pPr>
              <w:pStyle w:val="Tabletextprimarysource"/>
              <w:numPr>
                <w:ilvl w:val="0"/>
                <w:numId w:val="1"/>
              </w:numPr>
            </w:pPr>
            <w:r>
              <w:t>Normal haematological parameters at 155–180 ppm in operating room workers (2–10 yr)</w:t>
            </w:r>
          </w:p>
          <w:p w14:paraId="6FEA9829" w14:textId="77777777" w:rsidR="001E028A" w:rsidRDefault="001E028A" w:rsidP="00EB2F30">
            <w:pPr>
              <w:pStyle w:val="Tabletextprimarysource"/>
              <w:numPr>
                <w:ilvl w:val="0"/>
                <w:numId w:val="1"/>
              </w:numPr>
            </w:pPr>
            <w:r>
              <w:t xml:space="preserve">Significant increase in spontaneous abortions in female dentistry assistants </w:t>
            </w:r>
            <w:r w:rsidR="000179FF">
              <w:t>reported in epidemiological studies (also cited in ACGIH, 2018) associated with</w:t>
            </w:r>
            <w:r>
              <w:t xml:space="preserve"> workplace air concentrations of 1,000 ppm (concentration inferred from </w:t>
            </w:r>
            <w:r w:rsidR="000179FF">
              <w:t>type of exhaust systems used in dental practices); no impairment in fertility in females at lower exposure durations and inferred concentrations of 100 ppm</w:t>
            </w:r>
          </w:p>
          <w:p w14:paraId="15DC62CB" w14:textId="3DB8DF7F" w:rsidR="000179FF" w:rsidRDefault="000179FF" w:rsidP="00EB2F30">
            <w:pPr>
              <w:pStyle w:val="Tabletextprimarysource"/>
              <w:numPr>
                <w:ilvl w:val="0"/>
                <w:numId w:val="1"/>
              </w:numPr>
            </w:pPr>
            <w:r>
              <w:t xml:space="preserve">No increase in sister chromatid exchanges </w:t>
            </w:r>
            <w:r w:rsidR="00D27D1F">
              <w:t xml:space="preserve">(SCE) or chromosomal aberrations </w:t>
            </w:r>
            <w:r>
              <w:t>in peripheral lymphocytes of workers exposed at 25–900 ppm</w:t>
            </w:r>
            <w:r w:rsidR="00952698">
              <w:t>.</w:t>
            </w:r>
            <w:r>
              <w:t xml:space="preserve"> </w:t>
            </w:r>
          </w:p>
          <w:p w14:paraId="42C6D000" w14:textId="77777777" w:rsidR="00B754B1" w:rsidRDefault="006D4E6F" w:rsidP="006D4E6F">
            <w:pPr>
              <w:pStyle w:val="Tabletextprimarysource"/>
            </w:pPr>
            <w:r>
              <w:t>Animal data:</w:t>
            </w:r>
          </w:p>
          <w:p w14:paraId="60266A10" w14:textId="490FE453" w:rsidR="006D4E6F" w:rsidRDefault="006D4E6F" w:rsidP="006D4E6F">
            <w:pPr>
              <w:pStyle w:val="Tabletextprimarysource"/>
              <w:numPr>
                <w:ilvl w:val="0"/>
                <w:numId w:val="1"/>
              </w:numPr>
            </w:pPr>
            <w:r>
              <w:t>Liver methionine synthase inhibition at 1,000–1,100 ppm shown in continuous inhalation study (rats, mice, 3–8 d); after 28 d effects were indistinguishable from controls, no effects reported at 500 ppm</w:t>
            </w:r>
            <w:r w:rsidR="00952698">
              <w:t>:</w:t>
            </w:r>
          </w:p>
          <w:p w14:paraId="3CBFCE64" w14:textId="77777777" w:rsidR="000179FF" w:rsidRDefault="006D4E6F" w:rsidP="00C9065D">
            <w:pPr>
              <w:pStyle w:val="Tabletextprimarysource"/>
              <w:numPr>
                <w:ilvl w:val="1"/>
                <w:numId w:val="1"/>
              </w:numPr>
              <w:ind w:left="1094" w:hanging="357"/>
            </w:pPr>
            <w:r>
              <w:t>no methionine synthase inhibition from intermittent exposure in separate inhalation study with dose groups 50, 500, and 5,000 ppm (mice, 6 h/d, 5 d/wk, 2–13 wk)</w:t>
            </w:r>
          </w:p>
          <w:p w14:paraId="255D9F5B" w14:textId="50DC93F4" w:rsidR="005E7769" w:rsidRDefault="000179FF" w:rsidP="000179FF">
            <w:pPr>
              <w:pStyle w:val="Tabletextprimarysource"/>
              <w:numPr>
                <w:ilvl w:val="0"/>
                <w:numId w:val="1"/>
              </w:numPr>
            </w:pPr>
            <w:r>
              <w:t>Reproductive/developmental studies with rats (also presented in ACGIH, 2018) not considered for MAK evaluation due to experimental inadequacies</w:t>
            </w:r>
            <w:r w:rsidR="00952698">
              <w:t>:</w:t>
            </w:r>
            <w:r>
              <w:t xml:space="preserve"> </w:t>
            </w:r>
          </w:p>
          <w:p w14:paraId="13B73569" w14:textId="77777777" w:rsidR="000179FF" w:rsidRDefault="005E7769" w:rsidP="00C9065D">
            <w:pPr>
              <w:pStyle w:val="Tabletextprimarysource"/>
              <w:numPr>
                <w:ilvl w:val="1"/>
                <w:numId w:val="1"/>
              </w:numPr>
              <w:ind w:left="1094" w:hanging="357"/>
            </w:pPr>
            <w:r>
              <w:t>NOAEL of 10,000 ppm for foetal toxicity indicated from several additional reproductive studies (rats, 6 h/d, 5–7 d/wk, GD 1–21)</w:t>
            </w:r>
          </w:p>
          <w:p w14:paraId="7688BE54" w14:textId="4C296F21" w:rsidR="000179FF" w:rsidRDefault="00D27D1F" w:rsidP="000179FF">
            <w:pPr>
              <w:pStyle w:val="Tabletextprimarysource"/>
              <w:numPr>
                <w:ilvl w:val="0"/>
                <w:numId w:val="1"/>
              </w:numPr>
            </w:pPr>
            <w:r>
              <w:t xml:space="preserve">Non-mutagenic </w:t>
            </w:r>
            <w:r>
              <w:rPr>
                <w:i/>
              </w:rPr>
              <w:t>in vitro</w:t>
            </w:r>
            <w:r>
              <w:t xml:space="preserve"> in bacteria and mammalian V79 cells, and </w:t>
            </w:r>
            <w:r>
              <w:rPr>
                <w:i/>
              </w:rPr>
              <w:t>in vivo</w:t>
            </w:r>
            <w:r>
              <w:t xml:space="preserve"> in </w:t>
            </w:r>
            <w:r>
              <w:rPr>
                <w:i/>
              </w:rPr>
              <w:t>Drosophila</w:t>
            </w:r>
            <w:r>
              <w:t xml:space="preserve"> at 400,000–800,000 ppm (1 h) in a sex-linked recessive lethal mutation study</w:t>
            </w:r>
            <w:r w:rsidR="00952698">
              <w:t>:</w:t>
            </w:r>
          </w:p>
          <w:p w14:paraId="76FA9DC4" w14:textId="47B19D13" w:rsidR="005E7769" w:rsidRDefault="00D27D1F" w:rsidP="00C9065D">
            <w:pPr>
              <w:pStyle w:val="Tabletextprimarysource"/>
              <w:numPr>
                <w:ilvl w:val="1"/>
                <w:numId w:val="1"/>
              </w:numPr>
              <w:ind w:left="1094" w:hanging="357"/>
            </w:pPr>
            <w:r>
              <w:t>dose-dependent clastogenicity shown in rats exposed to mixture of halothane and nitrous oxide at 1–500 ppm (7 h/d, 5 d/wk, 12 wk with 3 wk cessation followed by 40</w:t>
            </w:r>
            <w:r w:rsidR="006F00A3">
              <w:t> </w:t>
            </w:r>
            <w:r>
              <w:t>wk at same regimen)</w:t>
            </w:r>
            <w:r w:rsidR="00952698">
              <w:t>.</w:t>
            </w:r>
          </w:p>
          <w:p w14:paraId="0ACBFD79" w14:textId="77777777" w:rsidR="00952698" w:rsidRDefault="00952698" w:rsidP="00263DC8">
            <w:pPr>
              <w:pStyle w:val="Tabletextprimarysource"/>
            </w:pPr>
          </w:p>
          <w:p w14:paraId="7653DFAD" w14:textId="00337819" w:rsidR="00EF2128" w:rsidRDefault="00263DC8" w:rsidP="00263DC8">
            <w:pPr>
              <w:pStyle w:val="Tabletextprimarysource"/>
            </w:pPr>
            <w:r>
              <w:lastRenderedPageBreak/>
              <w:t>78-wk carcinogenicity study with mice (also cited in ACGIH, 2018) does not indicate potential for carcinogenic activity, but other available carcinogenicity studies are inadequate to assign a notation.</w:t>
            </w:r>
          </w:p>
          <w:p w14:paraId="07834EC9" w14:textId="49C06E4A" w:rsidR="00FF146E" w:rsidRPr="00DA352E" w:rsidRDefault="00FF146E" w:rsidP="00263DC8">
            <w:pPr>
              <w:pStyle w:val="Tabletextprimarysource"/>
            </w:pPr>
          </w:p>
        </w:tc>
      </w:tr>
      <w:tr w:rsidR="00C978F0" w:rsidRPr="00DA352E" w14:paraId="195ACA2E" w14:textId="77777777" w:rsidTr="00C9065D">
        <w:trPr>
          <w:gridAfter w:val="1"/>
          <w:wAfter w:w="8" w:type="pct"/>
        </w:trPr>
        <w:tc>
          <w:tcPr>
            <w:tcW w:w="4992" w:type="pct"/>
            <w:shd w:val="clear" w:color="auto" w:fill="F2F2F2" w:themeFill="background1" w:themeFillShade="F2"/>
          </w:tcPr>
          <w:p w14:paraId="5B9FB7CB"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DC58CA">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DC58CA">
                  <w:t>NA</w:t>
                </w:r>
              </w:sdtContent>
            </w:sdt>
          </w:p>
        </w:tc>
      </w:tr>
      <w:tr w:rsidR="00C978F0" w:rsidRPr="00DA352E" w14:paraId="7F6372A6" w14:textId="77777777" w:rsidTr="00C9065D">
        <w:trPr>
          <w:gridAfter w:val="1"/>
          <w:wAfter w:w="8" w:type="pct"/>
        </w:trPr>
        <w:tc>
          <w:tcPr>
            <w:tcW w:w="4992" w:type="pct"/>
          </w:tcPr>
          <w:p w14:paraId="4B0AFB9C" w14:textId="4D7DF311" w:rsidR="00C978F0" w:rsidRPr="00DA352E" w:rsidRDefault="00DC58CA" w:rsidP="003365A5">
            <w:pPr>
              <w:pStyle w:val="Tabletextprimarysource"/>
            </w:pPr>
            <w:r>
              <w:t>No report</w:t>
            </w:r>
            <w:r w:rsidR="006F00A3">
              <w:t>.</w:t>
            </w:r>
          </w:p>
        </w:tc>
      </w:tr>
      <w:tr w:rsidR="00DA352E" w:rsidRPr="00DA352E" w14:paraId="15139265" w14:textId="77777777" w:rsidTr="00C9065D">
        <w:trPr>
          <w:gridAfter w:val="1"/>
          <w:wAfter w:w="8" w:type="pct"/>
        </w:trPr>
        <w:tc>
          <w:tcPr>
            <w:tcW w:w="4992" w:type="pct"/>
            <w:shd w:val="clear" w:color="auto" w:fill="F2F2F2" w:themeFill="background1" w:themeFillShade="F2"/>
          </w:tcPr>
          <w:p w14:paraId="2532487C"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DC58CA">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DC58CA">
                  <w:t>NA</w:t>
                </w:r>
              </w:sdtContent>
            </w:sdt>
          </w:p>
        </w:tc>
      </w:tr>
      <w:tr w:rsidR="00DA352E" w:rsidRPr="00DA352E" w14:paraId="0277CAAB" w14:textId="77777777" w:rsidTr="00C9065D">
        <w:trPr>
          <w:gridAfter w:val="1"/>
          <w:wAfter w:w="8" w:type="pct"/>
        </w:trPr>
        <w:tc>
          <w:tcPr>
            <w:tcW w:w="4992" w:type="pct"/>
          </w:tcPr>
          <w:p w14:paraId="2AE3DBE6" w14:textId="7D919B8A" w:rsidR="00DA352E" w:rsidRPr="00DA352E" w:rsidRDefault="00DC58CA" w:rsidP="003365A5">
            <w:pPr>
              <w:pStyle w:val="Tabletextprimarysource"/>
            </w:pPr>
            <w:r>
              <w:t>No report</w:t>
            </w:r>
            <w:r w:rsidR="006F00A3">
              <w:t>.</w:t>
            </w:r>
          </w:p>
        </w:tc>
      </w:tr>
      <w:tr w:rsidR="00DA352E" w:rsidRPr="00DA352E" w14:paraId="3F3558E3" w14:textId="77777777" w:rsidTr="00C9065D">
        <w:trPr>
          <w:gridAfter w:val="1"/>
          <w:wAfter w:w="8" w:type="pct"/>
        </w:trPr>
        <w:tc>
          <w:tcPr>
            <w:tcW w:w="4992" w:type="pct"/>
            <w:shd w:val="clear" w:color="auto" w:fill="F2F2F2" w:themeFill="background1" w:themeFillShade="F2"/>
          </w:tcPr>
          <w:p w14:paraId="48A6B9DE"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304759">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304759">
                  <w:t>NA</w:t>
                </w:r>
              </w:sdtContent>
            </w:sdt>
          </w:p>
        </w:tc>
      </w:tr>
      <w:tr w:rsidR="00DA352E" w:rsidRPr="00DA352E" w14:paraId="17D9A372" w14:textId="77777777" w:rsidTr="00C9065D">
        <w:trPr>
          <w:gridAfter w:val="1"/>
          <w:wAfter w:w="8" w:type="pct"/>
        </w:trPr>
        <w:tc>
          <w:tcPr>
            <w:tcW w:w="4992" w:type="pct"/>
          </w:tcPr>
          <w:p w14:paraId="7C9FC1C5" w14:textId="159E7CAE" w:rsidR="00DA352E" w:rsidRPr="00DA352E" w:rsidRDefault="00304759" w:rsidP="003365A5">
            <w:pPr>
              <w:pStyle w:val="Tabletextprimarysource"/>
            </w:pPr>
            <w:r>
              <w:t>No report</w:t>
            </w:r>
            <w:r w:rsidR="006F00A3">
              <w:t>.</w:t>
            </w:r>
          </w:p>
        </w:tc>
      </w:tr>
    </w:tbl>
    <w:p w14:paraId="13601014"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4"/>
        <w:gridCol w:w="420"/>
        <w:gridCol w:w="661"/>
        <w:gridCol w:w="6451"/>
      </w:tblGrid>
      <w:tr w:rsidR="004966BF" w:rsidRPr="00263255" w14:paraId="3467BEE0" w14:textId="77777777" w:rsidTr="006F00A3">
        <w:trPr>
          <w:cantSplit/>
          <w:trHeight w:val="393"/>
          <w:tblHeader/>
        </w:trPr>
        <w:tc>
          <w:tcPr>
            <w:tcW w:w="1494" w:type="dxa"/>
            <w:shd w:val="clear" w:color="auto" w:fill="BFBFBF" w:themeFill="background1" w:themeFillShade="BF"/>
            <w:vAlign w:val="center"/>
          </w:tcPr>
          <w:p w14:paraId="67558390" w14:textId="77777777" w:rsidR="004966BF" w:rsidRPr="00263255" w:rsidRDefault="004966BF" w:rsidP="00263255">
            <w:pPr>
              <w:pStyle w:val="Tableheader"/>
            </w:pPr>
            <w:r w:rsidRPr="00263255">
              <w:t>Source</w:t>
            </w:r>
          </w:p>
        </w:tc>
        <w:tc>
          <w:tcPr>
            <w:tcW w:w="420" w:type="dxa"/>
            <w:shd w:val="clear" w:color="auto" w:fill="BFBFBF" w:themeFill="background1" w:themeFillShade="BF"/>
            <w:vAlign w:val="center"/>
          </w:tcPr>
          <w:p w14:paraId="56A52346" w14:textId="77777777" w:rsidR="004966BF" w:rsidRPr="00263255" w:rsidRDefault="004966BF" w:rsidP="00263255">
            <w:pPr>
              <w:pStyle w:val="Tableheader"/>
            </w:pPr>
          </w:p>
        </w:tc>
        <w:tc>
          <w:tcPr>
            <w:tcW w:w="661" w:type="dxa"/>
            <w:shd w:val="clear" w:color="auto" w:fill="BFBFBF" w:themeFill="background1" w:themeFillShade="BF"/>
            <w:vAlign w:val="center"/>
          </w:tcPr>
          <w:p w14:paraId="184706DB" w14:textId="77777777" w:rsidR="004966BF" w:rsidRPr="00263255" w:rsidRDefault="004966BF" w:rsidP="00263255">
            <w:pPr>
              <w:pStyle w:val="Tableheader"/>
            </w:pPr>
            <w:r>
              <w:t>Year</w:t>
            </w:r>
          </w:p>
        </w:tc>
        <w:tc>
          <w:tcPr>
            <w:tcW w:w="6451" w:type="dxa"/>
            <w:shd w:val="clear" w:color="auto" w:fill="BFBFBF" w:themeFill="background1" w:themeFillShade="BF"/>
            <w:vAlign w:val="center"/>
          </w:tcPr>
          <w:p w14:paraId="77DEAB8A" w14:textId="77777777" w:rsidR="004966BF" w:rsidRPr="00263255" w:rsidRDefault="004966BF" w:rsidP="00263255">
            <w:pPr>
              <w:pStyle w:val="Tableheader"/>
            </w:pPr>
            <w:r>
              <w:t>Additional information</w:t>
            </w:r>
          </w:p>
        </w:tc>
      </w:tr>
      <w:tr w:rsidR="004966BF" w:rsidRPr="004C23F4" w14:paraId="4429AF2E" w14:textId="77777777" w:rsidTr="006F00A3">
        <w:trPr>
          <w:cantSplit/>
        </w:trPr>
        <w:tc>
          <w:tcPr>
            <w:tcW w:w="1494" w:type="dxa"/>
          </w:tcPr>
          <w:p w14:paraId="0356AF32" w14:textId="77777777" w:rsidR="004966BF" w:rsidRPr="004C23F4" w:rsidRDefault="004966BF" w:rsidP="00224EE2">
            <w:pPr>
              <w:pStyle w:val="Tablefont"/>
            </w:pPr>
            <w:r>
              <w:t>IARC</w:t>
            </w:r>
          </w:p>
        </w:tc>
        <w:tc>
          <w:tcPr>
            <w:tcW w:w="420" w:type="dxa"/>
          </w:tcPr>
          <w:p w14:paraId="2F8BCC2C" w14:textId="7174009B" w:rsidR="004966BF" w:rsidRPr="00CE617F" w:rsidRDefault="0028293E"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6F00A3">
                  <w:rPr>
                    <w:rStyle w:val="checkbox"/>
                  </w:rPr>
                  <w:t></w:t>
                </w:r>
              </w:sdtContent>
            </w:sdt>
          </w:p>
        </w:tc>
        <w:tc>
          <w:tcPr>
            <w:tcW w:w="661" w:type="dxa"/>
          </w:tcPr>
          <w:p w14:paraId="21247C41" w14:textId="77777777" w:rsidR="004966BF" w:rsidRPr="004C23F4" w:rsidRDefault="00C42647" w:rsidP="00717D45">
            <w:pPr>
              <w:pStyle w:val="Tablefont"/>
              <w:rPr>
                <w:rStyle w:val="checkbox"/>
                <w:rFonts w:ascii="Arial" w:hAnsi="Arial" w:cs="Arial"/>
              </w:rPr>
            </w:pPr>
            <w:r>
              <w:rPr>
                <w:rStyle w:val="checkbox"/>
                <w:rFonts w:ascii="Arial" w:hAnsi="Arial" w:cs="Arial"/>
              </w:rPr>
              <w:t>1976</w:t>
            </w:r>
          </w:p>
        </w:tc>
        <w:tc>
          <w:tcPr>
            <w:tcW w:w="6451" w:type="dxa"/>
          </w:tcPr>
          <w:p w14:paraId="0FBF97A8" w14:textId="613F7EE0" w:rsidR="004966BF" w:rsidRPr="00D27D1F" w:rsidRDefault="00A13C48" w:rsidP="00C9065D">
            <w:pPr>
              <w:pStyle w:val="Tablefont"/>
              <w:numPr>
                <w:ilvl w:val="0"/>
                <w:numId w:val="1"/>
              </w:numPr>
              <w:spacing w:before="60" w:after="60"/>
              <w:ind w:left="714" w:hanging="357"/>
              <w:rPr>
                <w:rStyle w:val="checkbox"/>
                <w:rFonts w:ascii="Arial" w:hAnsi="Arial" w:cs="Arial"/>
              </w:rPr>
            </w:pPr>
            <w:r>
              <w:rPr>
                <w:rFonts w:cs="Arial"/>
              </w:rPr>
              <w:t>Limited</w:t>
            </w:r>
            <w:r w:rsidR="0091201C">
              <w:rPr>
                <w:rFonts w:cs="Arial"/>
              </w:rPr>
              <w:t xml:space="preserve"> to </w:t>
            </w:r>
            <w:r>
              <w:rPr>
                <w:rFonts w:cs="Arial"/>
              </w:rPr>
              <w:t xml:space="preserve">range of </w:t>
            </w:r>
            <w:r w:rsidR="00D27D1F">
              <w:rPr>
                <w:rFonts w:cs="Arial"/>
              </w:rPr>
              <w:t>anaesthet</w:t>
            </w:r>
            <w:r w:rsidR="0091201C">
              <w:rPr>
                <w:rFonts w:cs="Arial"/>
              </w:rPr>
              <w:t xml:space="preserve">ic gases in operating theatres. </w:t>
            </w:r>
          </w:p>
        </w:tc>
      </w:tr>
    </w:tbl>
    <w:bookmarkEnd w:id="0"/>
    <w:p w14:paraId="62FAA8F1"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700E9AB8" w14:textId="77777777" w:rsidTr="00D27D1F">
        <w:trPr>
          <w:trHeight w:val="454"/>
          <w:tblHeader/>
        </w:trPr>
        <w:tc>
          <w:tcPr>
            <w:tcW w:w="6603" w:type="dxa"/>
            <w:vAlign w:val="center"/>
          </w:tcPr>
          <w:p w14:paraId="453008C1"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5ECCC0D5" w14:textId="77777777" w:rsidR="002E0D61" w:rsidRDefault="00D27D1F" w:rsidP="00C3091E">
                <w:pPr>
                  <w:pStyle w:val="Tablefont"/>
                  <w:keepNext/>
                  <w:keepLines/>
                  <w:spacing w:before="40" w:after="40"/>
                </w:pPr>
                <w:r>
                  <w:t>No</w:t>
                </w:r>
              </w:p>
            </w:tc>
          </w:sdtContent>
        </w:sdt>
      </w:tr>
      <w:tr w:rsidR="008A36CF" w14:paraId="7E425FD4" w14:textId="77777777" w:rsidTr="00D27D1F">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7B5281E5" w14:textId="77777777" w:rsidR="008A36CF" w:rsidRPr="006901A2" w:rsidRDefault="00D27D1F"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274E348A" w14:textId="77777777" w:rsidR="008A36CF" w:rsidRDefault="008A36CF" w:rsidP="008A36CF">
            <w:pPr>
              <w:pStyle w:val="Tablefont"/>
              <w:keepNext/>
              <w:keepLines/>
              <w:spacing w:before="40" w:after="40"/>
            </w:pPr>
          </w:p>
        </w:tc>
      </w:tr>
    </w:tbl>
    <w:bookmarkEnd w:id="1"/>
    <w:p w14:paraId="5363561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0FD75A35" w14:textId="77777777" w:rsidTr="00812887">
        <w:trPr>
          <w:cantSplit/>
          <w:tblHeader/>
        </w:trPr>
        <w:tc>
          <w:tcPr>
            <w:tcW w:w="3227" w:type="dxa"/>
            <w:shd w:val="clear" w:color="auto" w:fill="BFBFBF" w:themeFill="background1" w:themeFillShade="BF"/>
            <w:vAlign w:val="center"/>
          </w:tcPr>
          <w:p w14:paraId="24EA2618"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45C41E9D" w14:textId="77777777" w:rsidR="00687890" w:rsidRPr="004C23F4" w:rsidRDefault="00687890" w:rsidP="00F4402E">
            <w:pPr>
              <w:pStyle w:val="Tableheader"/>
              <w:tabs>
                <w:tab w:val="right" w:pos="5272"/>
              </w:tabs>
            </w:pPr>
            <w:r w:rsidRPr="004C23F4">
              <w:t>Notations</w:t>
            </w:r>
            <w:r w:rsidR="003A2B94">
              <w:tab/>
            </w:r>
          </w:p>
        </w:tc>
      </w:tr>
      <w:tr w:rsidR="00687890" w:rsidRPr="004C23F4" w14:paraId="1249724B" w14:textId="77777777" w:rsidTr="00812887">
        <w:trPr>
          <w:cantSplit/>
        </w:trPr>
        <w:tc>
          <w:tcPr>
            <w:tcW w:w="3227" w:type="dxa"/>
          </w:tcPr>
          <w:p w14:paraId="53AC6FAE" w14:textId="77777777" w:rsidR="004079B4" w:rsidRPr="004C23F4" w:rsidRDefault="00084513" w:rsidP="00F4402E">
            <w:pPr>
              <w:pStyle w:val="Tablefont"/>
            </w:pPr>
            <w:r w:rsidRPr="004C23F4">
              <w:t>SWA</w:t>
            </w:r>
          </w:p>
        </w:tc>
        <w:tc>
          <w:tcPr>
            <w:tcW w:w="6015" w:type="dxa"/>
          </w:tcPr>
          <w:p w14:paraId="19454A8B" w14:textId="77777777" w:rsidR="00687890" w:rsidRPr="00DD2F9B" w:rsidRDefault="001E028A" w:rsidP="00DD2F9B">
            <w:pPr>
              <w:pStyle w:val="Tablefont"/>
            </w:pPr>
            <w:r>
              <w:t>—</w:t>
            </w:r>
          </w:p>
        </w:tc>
      </w:tr>
      <w:tr w:rsidR="007925F0" w:rsidRPr="004C23F4" w14:paraId="7EB89BF8" w14:textId="77777777" w:rsidTr="00812887">
        <w:trPr>
          <w:cantSplit/>
        </w:trPr>
        <w:tc>
          <w:tcPr>
            <w:tcW w:w="3227" w:type="dxa"/>
          </w:tcPr>
          <w:p w14:paraId="26B258C7" w14:textId="77777777" w:rsidR="004079B4" w:rsidRPr="004C23F4" w:rsidRDefault="007925F0" w:rsidP="00F4402E">
            <w:pPr>
              <w:pStyle w:val="Tablefont"/>
            </w:pPr>
            <w:r>
              <w:t>HCIS</w:t>
            </w:r>
          </w:p>
        </w:tc>
        <w:tc>
          <w:tcPr>
            <w:tcW w:w="6015" w:type="dxa"/>
          </w:tcPr>
          <w:p w14:paraId="2304803E" w14:textId="77777777" w:rsidR="007925F0" w:rsidRPr="00DD2F9B" w:rsidRDefault="00610C6E" w:rsidP="00DD2F9B">
            <w:pPr>
              <w:pStyle w:val="Tablefont"/>
            </w:pPr>
            <w:r>
              <w:t>NA</w:t>
            </w:r>
          </w:p>
        </w:tc>
      </w:tr>
      <w:tr w:rsidR="00AF483F" w:rsidRPr="004C23F4" w14:paraId="737AC272" w14:textId="77777777" w:rsidTr="00812887">
        <w:trPr>
          <w:cantSplit/>
        </w:trPr>
        <w:tc>
          <w:tcPr>
            <w:tcW w:w="3227" w:type="dxa"/>
          </w:tcPr>
          <w:p w14:paraId="0B4463F2" w14:textId="77777777" w:rsidR="00AF483F" w:rsidRPr="004C23F4" w:rsidRDefault="00AF483F" w:rsidP="00F4402E">
            <w:pPr>
              <w:pStyle w:val="Tablefont"/>
            </w:pPr>
            <w:r>
              <w:t>NICNAS</w:t>
            </w:r>
          </w:p>
        </w:tc>
        <w:tc>
          <w:tcPr>
            <w:tcW w:w="6015" w:type="dxa"/>
          </w:tcPr>
          <w:p w14:paraId="59BAEF4A" w14:textId="77777777" w:rsidR="00AF483F" w:rsidRPr="00DD2F9B" w:rsidRDefault="003E5B9B" w:rsidP="00DD2F9B">
            <w:pPr>
              <w:pStyle w:val="Tablefont"/>
            </w:pPr>
            <w:r>
              <w:t>NA</w:t>
            </w:r>
          </w:p>
        </w:tc>
      </w:tr>
      <w:tr w:rsidR="00687890" w:rsidRPr="004C23F4" w14:paraId="45E822A3" w14:textId="77777777" w:rsidTr="00812887">
        <w:trPr>
          <w:cantSplit/>
        </w:trPr>
        <w:tc>
          <w:tcPr>
            <w:tcW w:w="3227" w:type="dxa"/>
          </w:tcPr>
          <w:p w14:paraId="47828414" w14:textId="77777777" w:rsidR="004079B4" w:rsidRPr="004C23F4" w:rsidRDefault="00687890" w:rsidP="00F4402E">
            <w:pPr>
              <w:pStyle w:val="Tablefont"/>
            </w:pPr>
            <w:r w:rsidRPr="004C23F4">
              <w:t>EU Annex</w:t>
            </w:r>
          </w:p>
        </w:tc>
        <w:tc>
          <w:tcPr>
            <w:tcW w:w="6015" w:type="dxa"/>
          </w:tcPr>
          <w:p w14:paraId="7511C60F" w14:textId="77777777" w:rsidR="00687890" w:rsidRPr="00DD2F9B" w:rsidRDefault="003E5B9B" w:rsidP="00DD2F9B">
            <w:pPr>
              <w:pStyle w:val="Tablefont"/>
            </w:pPr>
            <w:r>
              <w:t>NA</w:t>
            </w:r>
          </w:p>
        </w:tc>
      </w:tr>
      <w:tr w:rsidR="00E41A26" w:rsidRPr="004C23F4" w14:paraId="27338A35" w14:textId="77777777" w:rsidTr="00812887">
        <w:trPr>
          <w:cantSplit/>
        </w:trPr>
        <w:tc>
          <w:tcPr>
            <w:tcW w:w="3227" w:type="dxa"/>
          </w:tcPr>
          <w:p w14:paraId="7585A459" w14:textId="77777777" w:rsidR="00E41A26" w:rsidRDefault="00E41A26" w:rsidP="00F4402E">
            <w:pPr>
              <w:pStyle w:val="Tablefont"/>
            </w:pPr>
            <w:r>
              <w:t>ECHA</w:t>
            </w:r>
          </w:p>
        </w:tc>
        <w:tc>
          <w:tcPr>
            <w:tcW w:w="6015" w:type="dxa"/>
          </w:tcPr>
          <w:p w14:paraId="22FEE212" w14:textId="77777777" w:rsidR="00E41A26" w:rsidRPr="00DD2F9B" w:rsidRDefault="003E5B9B" w:rsidP="00DD2F9B">
            <w:pPr>
              <w:pStyle w:val="Tablefont"/>
            </w:pPr>
            <w:r>
              <w:t>NA</w:t>
            </w:r>
          </w:p>
        </w:tc>
      </w:tr>
      <w:tr w:rsidR="002E0D61" w:rsidRPr="004C23F4" w14:paraId="4A087754" w14:textId="77777777" w:rsidTr="00812887">
        <w:trPr>
          <w:cantSplit/>
        </w:trPr>
        <w:tc>
          <w:tcPr>
            <w:tcW w:w="3227" w:type="dxa"/>
          </w:tcPr>
          <w:p w14:paraId="7F49D988" w14:textId="77777777" w:rsidR="004079B4" w:rsidRPr="004C23F4" w:rsidRDefault="002E0D61" w:rsidP="00F4402E">
            <w:pPr>
              <w:pStyle w:val="Tablefont"/>
            </w:pPr>
            <w:r>
              <w:t>ACGIH</w:t>
            </w:r>
          </w:p>
        </w:tc>
        <w:tc>
          <w:tcPr>
            <w:tcW w:w="6015" w:type="dxa"/>
          </w:tcPr>
          <w:p w14:paraId="4F2B4525" w14:textId="77777777" w:rsidR="002E0D61" w:rsidRPr="00DD2F9B" w:rsidRDefault="00DC58CA" w:rsidP="00DD2F9B">
            <w:pPr>
              <w:pStyle w:val="Tablefont"/>
            </w:pPr>
            <w:r w:rsidRPr="00DC58CA">
              <w:t>Carcinogenicity – A4</w:t>
            </w:r>
          </w:p>
        </w:tc>
      </w:tr>
      <w:tr w:rsidR="002E0D61" w:rsidRPr="004C23F4" w14:paraId="70442DD8" w14:textId="77777777" w:rsidTr="00812887">
        <w:trPr>
          <w:cantSplit/>
        </w:trPr>
        <w:tc>
          <w:tcPr>
            <w:tcW w:w="3227" w:type="dxa"/>
          </w:tcPr>
          <w:p w14:paraId="41D6B805" w14:textId="77777777" w:rsidR="004079B4" w:rsidRPr="004C23F4" w:rsidRDefault="002E0D61" w:rsidP="00F4402E">
            <w:pPr>
              <w:pStyle w:val="Tablefont"/>
            </w:pPr>
            <w:r>
              <w:t>DFG</w:t>
            </w:r>
          </w:p>
        </w:tc>
        <w:tc>
          <w:tcPr>
            <w:tcW w:w="6015" w:type="dxa"/>
          </w:tcPr>
          <w:p w14:paraId="655E5DDF" w14:textId="77777777" w:rsidR="002E0D61" w:rsidRPr="00DD2F9B" w:rsidRDefault="00263DC8" w:rsidP="00DD2F9B">
            <w:pPr>
              <w:pStyle w:val="Tablefont"/>
            </w:pPr>
            <w:r>
              <w:t>—</w:t>
            </w:r>
          </w:p>
        </w:tc>
      </w:tr>
      <w:tr w:rsidR="002E0D61" w:rsidRPr="004C23F4" w14:paraId="554E7750" w14:textId="77777777" w:rsidTr="00812887">
        <w:trPr>
          <w:cantSplit/>
        </w:trPr>
        <w:tc>
          <w:tcPr>
            <w:tcW w:w="3227" w:type="dxa"/>
          </w:tcPr>
          <w:p w14:paraId="029F9EA6" w14:textId="77777777" w:rsidR="004079B4" w:rsidRPr="004C23F4" w:rsidRDefault="002E0D61" w:rsidP="00F4402E">
            <w:pPr>
              <w:pStyle w:val="Tablefont"/>
            </w:pPr>
            <w:r>
              <w:t>SCOEL</w:t>
            </w:r>
          </w:p>
        </w:tc>
        <w:tc>
          <w:tcPr>
            <w:tcW w:w="6015" w:type="dxa"/>
          </w:tcPr>
          <w:p w14:paraId="4095FE6D" w14:textId="77777777" w:rsidR="002E0D61" w:rsidRPr="00DD2F9B" w:rsidRDefault="00DC58CA" w:rsidP="00DD2F9B">
            <w:pPr>
              <w:pStyle w:val="Tablefont"/>
            </w:pPr>
            <w:r>
              <w:t>NA</w:t>
            </w:r>
          </w:p>
        </w:tc>
      </w:tr>
      <w:tr w:rsidR="002E0D61" w:rsidRPr="004C23F4" w14:paraId="68A9D84A" w14:textId="77777777" w:rsidTr="00812887">
        <w:trPr>
          <w:cantSplit/>
        </w:trPr>
        <w:tc>
          <w:tcPr>
            <w:tcW w:w="3227" w:type="dxa"/>
          </w:tcPr>
          <w:p w14:paraId="3E440F21" w14:textId="77777777" w:rsidR="004079B4" w:rsidRDefault="002E0D61" w:rsidP="00F4402E">
            <w:pPr>
              <w:pStyle w:val="Tablefont"/>
            </w:pPr>
            <w:r>
              <w:t>HCOTN</w:t>
            </w:r>
          </w:p>
        </w:tc>
        <w:tc>
          <w:tcPr>
            <w:tcW w:w="6015" w:type="dxa"/>
          </w:tcPr>
          <w:p w14:paraId="54054160" w14:textId="77777777" w:rsidR="002E0D61" w:rsidRPr="00DD2F9B" w:rsidRDefault="003E5B9B" w:rsidP="00DD2F9B">
            <w:pPr>
              <w:pStyle w:val="Tablefont"/>
            </w:pPr>
            <w:r>
              <w:t>NA</w:t>
            </w:r>
          </w:p>
        </w:tc>
      </w:tr>
      <w:tr w:rsidR="00386093" w:rsidRPr="004C23F4" w14:paraId="5AC08052" w14:textId="77777777" w:rsidTr="00812887">
        <w:trPr>
          <w:cantSplit/>
        </w:trPr>
        <w:tc>
          <w:tcPr>
            <w:tcW w:w="3227" w:type="dxa"/>
          </w:tcPr>
          <w:p w14:paraId="56DB759C" w14:textId="77777777" w:rsidR="004079B4" w:rsidRDefault="00386093" w:rsidP="00F4402E">
            <w:pPr>
              <w:pStyle w:val="Tablefont"/>
            </w:pPr>
            <w:r>
              <w:t>IARC</w:t>
            </w:r>
          </w:p>
        </w:tc>
        <w:tc>
          <w:tcPr>
            <w:tcW w:w="6015" w:type="dxa"/>
          </w:tcPr>
          <w:p w14:paraId="3C3BBCA3" w14:textId="77777777" w:rsidR="00386093" w:rsidRPr="00DD2F9B" w:rsidRDefault="00A4728E" w:rsidP="00DD2F9B">
            <w:pPr>
              <w:pStyle w:val="Tablefont"/>
            </w:pPr>
            <w:r>
              <w:t>NA</w:t>
            </w:r>
          </w:p>
        </w:tc>
      </w:tr>
      <w:tr w:rsidR="00386093" w:rsidRPr="004C23F4" w14:paraId="32D6B82F" w14:textId="77777777" w:rsidTr="00812887">
        <w:trPr>
          <w:cantSplit/>
        </w:trPr>
        <w:tc>
          <w:tcPr>
            <w:tcW w:w="3227" w:type="dxa"/>
          </w:tcPr>
          <w:p w14:paraId="2607B217" w14:textId="77777777" w:rsidR="004079B4" w:rsidRDefault="00386093" w:rsidP="00F4402E">
            <w:pPr>
              <w:pStyle w:val="Tablefont"/>
              <w:keepNext/>
            </w:pPr>
            <w:r>
              <w:t>US NIOSH</w:t>
            </w:r>
          </w:p>
        </w:tc>
        <w:tc>
          <w:tcPr>
            <w:tcW w:w="6015" w:type="dxa"/>
          </w:tcPr>
          <w:p w14:paraId="1047F034" w14:textId="77777777" w:rsidR="00386093" w:rsidRPr="00DD2F9B" w:rsidRDefault="00A4728E" w:rsidP="00D87570">
            <w:pPr>
              <w:pStyle w:val="Tablefont"/>
              <w:keepNext/>
            </w:pPr>
            <w:r>
              <w:t>NA</w:t>
            </w:r>
          </w:p>
        </w:tc>
      </w:tr>
    </w:tbl>
    <w:bookmarkEnd w:id="2"/>
    <w:p w14:paraId="7264ACE0"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1B490A5C"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0CEB0C8" w14:textId="77777777" w:rsidTr="00EA6243">
        <w:trPr>
          <w:cantSplit/>
          <w:tblHeader/>
        </w:trPr>
        <w:tc>
          <w:tcPr>
            <w:tcW w:w="5000" w:type="pct"/>
            <w:shd w:val="clear" w:color="auto" w:fill="BFBFBF" w:themeFill="background1" w:themeFillShade="BF"/>
            <w:vAlign w:val="center"/>
          </w:tcPr>
          <w:p w14:paraId="5C1F1DFF"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0AEAC3AA" w14:textId="77777777" w:rsidTr="00EA6243">
        <w:trPr>
          <w:cantSplit/>
          <w:tblHeader/>
        </w:trPr>
        <w:tc>
          <w:tcPr>
            <w:tcW w:w="5000" w:type="pct"/>
            <w:vAlign w:val="center"/>
          </w:tcPr>
          <w:p w14:paraId="0460A6C7" w14:textId="77777777" w:rsidR="00932DCE" w:rsidRPr="004C23F4" w:rsidRDefault="008E46CD" w:rsidP="00F9496B">
            <w:pPr>
              <w:pStyle w:val="Tablefont"/>
            </w:pPr>
            <w:r>
              <w:t>Insufficient data to assign a skin notation</w:t>
            </w:r>
          </w:p>
        </w:tc>
      </w:tr>
    </w:tbl>
    <w:bookmarkEnd w:id="3"/>
    <w:p w14:paraId="6B60FA0A"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475054F0" w14:textId="77777777" w:rsidTr="00610F2E">
        <w:trPr>
          <w:trHeight w:val="454"/>
          <w:tblHeader/>
        </w:trPr>
        <w:tc>
          <w:tcPr>
            <w:tcW w:w="4361" w:type="dxa"/>
            <w:vAlign w:val="center"/>
          </w:tcPr>
          <w:p w14:paraId="02655510"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047CEB02" w14:textId="77777777" w:rsidR="00EB3D1B" w:rsidRDefault="00E53996" w:rsidP="00EB3D1B">
                <w:pPr>
                  <w:pStyle w:val="Tablefont"/>
                </w:pPr>
                <w:r>
                  <w:t>No</w:t>
                </w:r>
              </w:p>
            </w:tc>
          </w:sdtContent>
        </w:sdt>
      </w:tr>
    </w:tbl>
    <w:p w14:paraId="6FD76845"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7E6FCEFB" w14:textId="77777777" w:rsidTr="00EA6243">
        <w:trPr>
          <w:cantSplit/>
          <w:tblHeader/>
        </w:trPr>
        <w:tc>
          <w:tcPr>
            <w:tcW w:w="4077" w:type="dxa"/>
            <w:vAlign w:val="center"/>
          </w:tcPr>
          <w:p w14:paraId="35C821F8"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59CBE728" w14:textId="77777777" w:rsidR="001B79E5" w:rsidRDefault="001C32CF" w:rsidP="001B79E5">
                <w:pPr>
                  <w:pStyle w:val="Tablefont"/>
                </w:pPr>
                <w:r>
                  <w:t>44.02</w:t>
                </w:r>
              </w:p>
            </w:tc>
          </w:sdtContent>
        </w:sdt>
      </w:tr>
      <w:tr w:rsidR="00A31D99" w:rsidRPr="004C23F4" w14:paraId="1982B3C2" w14:textId="77777777" w:rsidTr="00EA6243">
        <w:trPr>
          <w:cantSplit/>
          <w:tblHeader/>
        </w:trPr>
        <w:tc>
          <w:tcPr>
            <w:tcW w:w="4077" w:type="dxa"/>
            <w:vAlign w:val="center"/>
          </w:tcPr>
          <w:p w14:paraId="22647124"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02553298" w14:textId="77777777" w:rsidR="00A31D99" w:rsidRDefault="00A0643F" w:rsidP="00A174CC">
            <w:pPr>
              <w:pStyle w:val="Tablefont"/>
            </w:pPr>
            <w:r>
              <w:t xml:space="preserve">1 ppm = </w:t>
            </w:r>
            <w:sdt>
              <w:sdtPr>
                <w:id w:val="-371151491"/>
                <w:placeholder>
                  <w:docPart w:val="A7231FB73EFF4B2B92EB3BD21C0CEA01"/>
                </w:placeholder>
              </w:sdtPr>
              <w:sdtEndPr/>
              <w:sdtContent>
                <w:r w:rsidR="008E46CD">
                  <w:t>1.83</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sdt>
                  <w:sdtPr>
                    <w:id w:val="1651476840"/>
                    <w:placeholder>
                      <w:docPart w:val="57F37F0B7D5B4195BAF4C85581D3A605"/>
                    </w:placeholder>
                  </w:sdtPr>
                  <w:sdtEndPr/>
                  <w:sdtContent>
                    <w:r w:rsidR="008E46CD">
                      <w:t>0.55</w:t>
                    </w:r>
                  </w:sdtContent>
                </w:sdt>
              </w:sdtContent>
            </w:sdt>
            <w:r>
              <w:t xml:space="preserve"> ppm</w:t>
            </w:r>
          </w:p>
        </w:tc>
      </w:tr>
      <w:tr w:rsidR="00687890" w:rsidRPr="004C23F4" w14:paraId="1778F422" w14:textId="77777777" w:rsidTr="00EA6243">
        <w:trPr>
          <w:cantSplit/>
          <w:tblHeader/>
        </w:trPr>
        <w:tc>
          <w:tcPr>
            <w:tcW w:w="4077" w:type="dxa"/>
            <w:vAlign w:val="center"/>
          </w:tcPr>
          <w:p w14:paraId="4636D858"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411681A8"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4E0CE2F5" w14:textId="77777777" w:rsidTr="00EA6243">
        <w:trPr>
          <w:cantSplit/>
        </w:trPr>
        <w:tc>
          <w:tcPr>
            <w:tcW w:w="4077" w:type="dxa"/>
            <w:vAlign w:val="center"/>
          </w:tcPr>
          <w:p w14:paraId="163A779F" w14:textId="77777777" w:rsidR="00687890" w:rsidRPr="00263255" w:rsidRDefault="00687890" w:rsidP="00263255">
            <w:pPr>
              <w:pStyle w:val="Tablefont"/>
            </w:pPr>
            <w:r w:rsidRPr="00263255">
              <w:t>This chemical is a biological product:</w:t>
            </w:r>
          </w:p>
        </w:tc>
        <w:sdt>
          <w:sdtPr>
            <w:id w:val="-659616774"/>
            <w14:checkbox>
              <w14:checked w14:val="1"/>
              <w14:checkedState w14:val="00FC" w14:font="Wingdings"/>
              <w14:uncheckedState w14:val="2610" w14:font="MS Gothic"/>
            </w14:checkbox>
          </w:sdtPr>
          <w:sdtEndPr/>
          <w:sdtContent>
            <w:tc>
              <w:tcPr>
                <w:tcW w:w="5165" w:type="dxa"/>
                <w:vAlign w:val="center"/>
              </w:tcPr>
              <w:p w14:paraId="5C0BDC3C" w14:textId="2CE5657B" w:rsidR="00687890" w:rsidRPr="004C23F4" w:rsidRDefault="006F00A3" w:rsidP="00717D45">
                <w:pPr>
                  <w:pStyle w:val="Tablefont"/>
                </w:pPr>
                <w:r>
                  <w:sym w:font="Wingdings" w:char="F0FC"/>
                </w:r>
              </w:p>
            </w:tc>
          </w:sdtContent>
        </w:sdt>
      </w:tr>
      <w:tr w:rsidR="00687890" w:rsidRPr="004C23F4" w14:paraId="1B385A8B" w14:textId="77777777" w:rsidTr="00EA6243">
        <w:trPr>
          <w:cantSplit/>
        </w:trPr>
        <w:tc>
          <w:tcPr>
            <w:tcW w:w="4077" w:type="dxa"/>
            <w:vAlign w:val="center"/>
          </w:tcPr>
          <w:p w14:paraId="5F6B9FD4"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EndPr/>
          <w:sdtContent>
            <w:tc>
              <w:tcPr>
                <w:tcW w:w="5165" w:type="dxa"/>
                <w:vAlign w:val="center"/>
              </w:tcPr>
              <w:p w14:paraId="3EDF6527" w14:textId="7FF0B9F1" w:rsidR="00687890" w:rsidRPr="004C23F4" w:rsidRDefault="006F00A3" w:rsidP="00717D45">
                <w:pPr>
                  <w:pStyle w:val="Tablefont"/>
                </w:pPr>
                <w:r>
                  <w:sym w:font="Wingdings" w:char="F0FC"/>
                </w:r>
              </w:p>
            </w:tc>
          </w:sdtContent>
        </w:sdt>
      </w:tr>
      <w:tr w:rsidR="00E06F40" w:rsidRPr="004C23F4" w14:paraId="299753BA" w14:textId="77777777" w:rsidTr="00EA6243">
        <w:trPr>
          <w:cantSplit/>
        </w:trPr>
        <w:tc>
          <w:tcPr>
            <w:tcW w:w="4077" w:type="dxa"/>
            <w:vAlign w:val="center"/>
          </w:tcPr>
          <w:p w14:paraId="5BF64403"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119C05CD" w14:textId="77777777" w:rsidR="00E06F40" w:rsidRPr="00A006A0" w:rsidRDefault="0028293E"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2D73E0A3"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2D329643" w14:textId="77777777" w:rsidTr="00F053FA">
        <w:trPr>
          <w:tblHeader/>
        </w:trPr>
        <w:tc>
          <w:tcPr>
            <w:tcW w:w="4077" w:type="dxa"/>
            <w:shd w:val="clear" w:color="auto" w:fill="BFBFBF" w:themeFill="background1" w:themeFillShade="BF"/>
            <w:vAlign w:val="center"/>
          </w:tcPr>
          <w:p w14:paraId="517D8D6D"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58A781FC" w14:textId="77777777" w:rsidR="00224EE2" w:rsidRPr="004C23F4" w:rsidRDefault="00224EE2" w:rsidP="00EB3D1B">
            <w:pPr>
              <w:pStyle w:val="Tableheader"/>
              <w:keepNext/>
              <w:keepLines/>
            </w:pPr>
            <w:r>
              <w:t>Standard</w:t>
            </w:r>
          </w:p>
        </w:tc>
      </w:tr>
      <w:tr w:rsidR="007F1005" w:rsidRPr="004C23F4" w14:paraId="764482F6" w14:textId="77777777" w:rsidTr="00F053FA">
        <w:trPr>
          <w:tblHeader/>
        </w:trPr>
        <w:sdt>
          <w:sdtPr>
            <w:id w:val="-25557549"/>
            <w:placeholder>
              <w:docPart w:val="2BF891C0AB704CDAB9BC6E80D556473F"/>
            </w:placeholder>
            <w:showingPlcHdr/>
            <w:text/>
          </w:sdtPr>
          <w:sdtEndPr/>
          <w:sdtContent>
            <w:tc>
              <w:tcPr>
                <w:tcW w:w="4077" w:type="dxa"/>
                <w:vAlign w:val="center"/>
              </w:tcPr>
              <w:p w14:paraId="08BB4988"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14009AEF" w14:textId="77777777" w:rsidR="007F1005" w:rsidRPr="004C23F4" w:rsidRDefault="007F1005" w:rsidP="00EB3D1B">
            <w:pPr>
              <w:pStyle w:val="Tablefont"/>
              <w:keepLines/>
            </w:pPr>
          </w:p>
        </w:tc>
      </w:tr>
    </w:tbl>
    <w:bookmarkEnd w:id="4"/>
    <w:p w14:paraId="3D6103CA" w14:textId="77777777" w:rsidR="00F87D92" w:rsidRDefault="00F87D92" w:rsidP="00EF7F78">
      <w:pPr>
        <w:pStyle w:val="Heading2"/>
        <w:tabs>
          <w:tab w:val="right" w:pos="8505"/>
        </w:tabs>
      </w:pPr>
      <w:r>
        <w:t>References</w:t>
      </w:r>
      <w:r w:rsidR="00EF7F78">
        <w:tab/>
      </w:r>
    </w:p>
    <w:p w14:paraId="4DDB2FED" w14:textId="77777777" w:rsidR="00247393" w:rsidRDefault="006650FE" w:rsidP="008E4F1F">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6CCA853D" w14:textId="77777777" w:rsidR="008E4F1F" w:rsidRDefault="008E4F1F" w:rsidP="008E4F1F">
      <w:r w:rsidRPr="002022B6">
        <w:t>Deutsche Forschungsgemeinschaft (DFG)</w:t>
      </w:r>
      <w:r>
        <w:t xml:space="preserve"> (</w:t>
      </w:r>
      <w:r w:rsidR="00E53996">
        <w:t>2007</w:t>
      </w:r>
      <w:r>
        <w:t xml:space="preserve">) </w:t>
      </w:r>
      <w:r w:rsidR="00E53996" w:rsidRPr="00E53996">
        <w:t>Nitrous oxide</w:t>
      </w:r>
      <w:r>
        <w:t xml:space="preserve"> – MAK value documentation.</w:t>
      </w:r>
    </w:p>
    <w:p w14:paraId="306675D0" w14:textId="4C9636F5" w:rsidR="00247393" w:rsidRDefault="00247393" w:rsidP="008E4F1F">
      <w:pPr>
        <w:rPr>
          <w:b/>
        </w:rPr>
      </w:pPr>
      <w:r w:rsidRPr="002022B6">
        <w:t>Deutsche Forschungsgemeinschaft (DFG)</w:t>
      </w:r>
      <w:r>
        <w:t xml:space="preserve"> (</w:t>
      </w:r>
      <w:r w:rsidR="00A13C48">
        <w:t>1998</w:t>
      </w:r>
      <w:r>
        <w:t xml:space="preserve">) </w:t>
      </w:r>
      <w:r w:rsidRPr="00E53996">
        <w:t>Nitrous oxide</w:t>
      </w:r>
      <w:r>
        <w:t xml:space="preserve"> – MAK value documentation.</w:t>
      </w:r>
    </w:p>
    <w:p w14:paraId="65C281C1" w14:textId="0BE05423" w:rsidR="008E4F1F" w:rsidRDefault="008E4F1F" w:rsidP="00084859">
      <w:r w:rsidRPr="002022B6">
        <w:t>Health Council of the Netherlands</w:t>
      </w:r>
      <w:r>
        <w:t xml:space="preserve"> (HCOTN) (</w:t>
      </w:r>
      <w:r w:rsidR="009B06FB">
        <w:t>2000</w:t>
      </w:r>
      <w:r>
        <w:t xml:space="preserve">) </w:t>
      </w:r>
      <w:r w:rsidR="009B06FB" w:rsidRPr="009B06FB">
        <w:t>Nitrous oxide</w:t>
      </w:r>
      <w:r w:rsidRPr="005F7416">
        <w:t xml:space="preserve">. </w:t>
      </w:r>
      <w:r w:rsidR="009B06FB" w:rsidRPr="009B06FB">
        <w:t>Evaluation of the effects on reproduction, recommendation for classification</w:t>
      </w:r>
      <w:r w:rsidRPr="005F7416">
        <w:t xml:space="preserve">. The Hague: Health Council of the Netherlands; publication no. </w:t>
      </w:r>
      <w:r w:rsidR="009B06FB">
        <w:t>2000/03OSH</w:t>
      </w:r>
      <w:r>
        <w:t>.</w:t>
      </w:r>
    </w:p>
    <w:p w14:paraId="206F3536" w14:textId="49F957F3" w:rsidR="00EF2128" w:rsidRPr="008E46CD" w:rsidRDefault="00EF2128" w:rsidP="00084859">
      <w:pPr>
        <w:rPr>
          <w:b/>
        </w:rPr>
      </w:pPr>
      <w:r>
        <w:t>International Agency for Research on Cancer (IARC) (1976) Nitrous oxide. IARC Monographs on the evaluation of the carcinogenic risk to humans.</w:t>
      </w:r>
    </w:p>
    <w:sectPr w:rsidR="00EF2128" w:rsidRPr="008E46CD"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BA4C4" w14:textId="77777777" w:rsidR="0018094C" w:rsidRDefault="0018094C" w:rsidP="00F43AD5">
      <w:pPr>
        <w:spacing w:after="0" w:line="240" w:lineRule="auto"/>
      </w:pPr>
      <w:r>
        <w:separator/>
      </w:r>
    </w:p>
  </w:endnote>
  <w:endnote w:type="continuationSeparator" w:id="0">
    <w:p w14:paraId="7BDF3925" w14:textId="77777777" w:rsidR="0018094C" w:rsidRDefault="0018094C"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DCC54" w14:textId="77777777" w:rsidR="002D6D0C" w:rsidRDefault="002D6D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2B9602F8" w14:textId="3A40EA27" w:rsidR="008A36CF" w:rsidRDefault="00A16A4A" w:rsidP="0034744C">
        <w:pPr>
          <w:pStyle w:val="Footer"/>
          <w:rPr>
            <w:sz w:val="18"/>
            <w:szCs w:val="18"/>
          </w:rPr>
        </w:pPr>
        <w:r>
          <w:rPr>
            <w:b/>
            <w:sz w:val="18"/>
            <w:szCs w:val="18"/>
          </w:rPr>
          <w:t>Nitrous oxide</w:t>
        </w:r>
        <w:r w:rsidR="008A36CF">
          <w:rPr>
            <w:b/>
            <w:sz w:val="18"/>
            <w:szCs w:val="18"/>
          </w:rPr>
          <w:t xml:space="preserve"> (</w:t>
        </w:r>
        <w:r>
          <w:rPr>
            <w:b/>
            <w:sz w:val="18"/>
            <w:szCs w:val="18"/>
          </w:rPr>
          <w:t>10024-97-2</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6F00A3">
          <w:rPr>
            <w:sz w:val="18"/>
            <w:szCs w:val="18"/>
          </w:rPr>
          <w:t xml:space="preserve"> 2020</w:t>
        </w:r>
      </w:p>
      <w:p w14:paraId="34FCBFBB" w14:textId="07C34FBE"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2D6D0C">
          <w:rPr>
            <w:noProof/>
            <w:sz w:val="18"/>
            <w:szCs w:val="18"/>
          </w:rPr>
          <w:t>4</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308A9" w14:textId="77777777" w:rsidR="002D6D0C" w:rsidRDefault="002D6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8C42F" w14:textId="77777777" w:rsidR="0018094C" w:rsidRDefault="0018094C" w:rsidP="00F43AD5">
      <w:pPr>
        <w:spacing w:after="0" w:line="240" w:lineRule="auto"/>
      </w:pPr>
      <w:r>
        <w:separator/>
      </w:r>
    </w:p>
  </w:footnote>
  <w:footnote w:type="continuationSeparator" w:id="0">
    <w:p w14:paraId="76C349EC" w14:textId="77777777" w:rsidR="0018094C" w:rsidRDefault="0018094C"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348B1" w14:textId="5AF2B988" w:rsidR="002D6D0C" w:rsidRDefault="002D6D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ADB05" w14:textId="2CC47A10" w:rsidR="008A36CF" w:rsidRDefault="008A36CF" w:rsidP="00F43AD5">
    <w:pPr>
      <w:pStyle w:val="Header"/>
      <w:jc w:val="right"/>
    </w:pPr>
    <w:r>
      <w:rPr>
        <w:noProof/>
        <w:lang w:eastAsia="en-AU"/>
      </w:rPr>
      <w:drawing>
        <wp:inline distT="0" distB="0" distL="0" distR="0" wp14:anchorId="17DB9506" wp14:editId="5DF0C84A">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31F04" w14:textId="0DFDC171" w:rsidR="002D6D0C" w:rsidRDefault="002D6D0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F42BC" w14:textId="6AF86103" w:rsidR="002D6D0C" w:rsidRDefault="002D6D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A0DE7" w14:textId="55AEAF64" w:rsidR="008A36CF" w:rsidRDefault="002D6D0C" w:rsidP="00F43AD5">
    <w:pPr>
      <w:pStyle w:val="Header"/>
      <w:jc w:val="right"/>
    </w:pPr>
    <w:r>
      <w:rPr>
        <w:noProof/>
        <w:lang w:eastAsia="en-AU"/>
      </w:rPr>
      <w:drawing>
        <wp:inline distT="0" distB="0" distL="0" distR="0" wp14:anchorId="544DC9CE" wp14:editId="4743C744">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0C9FB" w14:textId="088B819F" w:rsidR="002D6D0C" w:rsidRDefault="002D6D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05C16"/>
    <w:multiLevelType w:val="hybridMultilevel"/>
    <w:tmpl w:val="8654B44A"/>
    <w:lvl w:ilvl="0" w:tplc="024EE8E6">
      <w:start w:val="1"/>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00996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102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9FF"/>
    <w:rsid w:val="00017C82"/>
    <w:rsid w:val="000262E7"/>
    <w:rsid w:val="00032B88"/>
    <w:rsid w:val="00037E52"/>
    <w:rsid w:val="00046DF5"/>
    <w:rsid w:val="00052060"/>
    <w:rsid w:val="000540A6"/>
    <w:rsid w:val="0005574A"/>
    <w:rsid w:val="00055FE1"/>
    <w:rsid w:val="00056EC2"/>
    <w:rsid w:val="00060B48"/>
    <w:rsid w:val="00067F32"/>
    <w:rsid w:val="00071807"/>
    <w:rsid w:val="000731AF"/>
    <w:rsid w:val="000803E1"/>
    <w:rsid w:val="00084513"/>
    <w:rsid w:val="00084859"/>
    <w:rsid w:val="00092D94"/>
    <w:rsid w:val="000B0868"/>
    <w:rsid w:val="000B2228"/>
    <w:rsid w:val="000B3E12"/>
    <w:rsid w:val="000B3E78"/>
    <w:rsid w:val="000B7B48"/>
    <w:rsid w:val="000C096D"/>
    <w:rsid w:val="000C139A"/>
    <w:rsid w:val="000C2053"/>
    <w:rsid w:val="000C248C"/>
    <w:rsid w:val="000D291C"/>
    <w:rsid w:val="000D3A84"/>
    <w:rsid w:val="000D63E9"/>
    <w:rsid w:val="000E5A54"/>
    <w:rsid w:val="000E63D3"/>
    <w:rsid w:val="000E67CF"/>
    <w:rsid w:val="000F03A0"/>
    <w:rsid w:val="0010461E"/>
    <w:rsid w:val="00106FAA"/>
    <w:rsid w:val="00113443"/>
    <w:rsid w:val="001269A7"/>
    <w:rsid w:val="00131092"/>
    <w:rsid w:val="00140E6A"/>
    <w:rsid w:val="00146545"/>
    <w:rsid w:val="00146B75"/>
    <w:rsid w:val="0015266D"/>
    <w:rsid w:val="0015288A"/>
    <w:rsid w:val="00160F47"/>
    <w:rsid w:val="00164CD4"/>
    <w:rsid w:val="00177CA1"/>
    <w:rsid w:val="0018094C"/>
    <w:rsid w:val="00183823"/>
    <w:rsid w:val="00183942"/>
    <w:rsid w:val="001915F6"/>
    <w:rsid w:val="001A009E"/>
    <w:rsid w:val="001A1287"/>
    <w:rsid w:val="001A3859"/>
    <w:rsid w:val="001A3C9D"/>
    <w:rsid w:val="001A43F8"/>
    <w:rsid w:val="001A7EC4"/>
    <w:rsid w:val="001B79E5"/>
    <w:rsid w:val="001C32CF"/>
    <w:rsid w:val="001D56F0"/>
    <w:rsid w:val="001D663B"/>
    <w:rsid w:val="001D7B41"/>
    <w:rsid w:val="001E028A"/>
    <w:rsid w:val="001E46DA"/>
    <w:rsid w:val="001E7D80"/>
    <w:rsid w:val="001F26B3"/>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47393"/>
    <w:rsid w:val="00250D40"/>
    <w:rsid w:val="002554B7"/>
    <w:rsid w:val="0025734A"/>
    <w:rsid w:val="00263255"/>
    <w:rsid w:val="00263DC8"/>
    <w:rsid w:val="00272B80"/>
    <w:rsid w:val="00276494"/>
    <w:rsid w:val="00277B0C"/>
    <w:rsid w:val="0028293E"/>
    <w:rsid w:val="002B1A2C"/>
    <w:rsid w:val="002C34F2"/>
    <w:rsid w:val="002C58FF"/>
    <w:rsid w:val="002C7AFE"/>
    <w:rsid w:val="002D05D2"/>
    <w:rsid w:val="002D6D0C"/>
    <w:rsid w:val="002E04EA"/>
    <w:rsid w:val="002E0D61"/>
    <w:rsid w:val="002E4C7B"/>
    <w:rsid w:val="00304759"/>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C0D58"/>
    <w:rsid w:val="003D4FA3"/>
    <w:rsid w:val="003E0807"/>
    <w:rsid w:val="003E51FB"/>
    <w:rsid w:val="003E5B9B"/>
    <w:rsid w:val="003E6B39"/>
    <w:rsid w:val="003F07E1"/>
    <w:rsid w:val="004030BC"/>
    <w:rsid w:val="00403F7D"/>
    <w:rsid w:val="00406785"/>
    <w:rsid w:val="004079B4"/>
    <w:rsid w:val="00417A56"/>
    <w:rsid w:val="00420957"/>
    <w:rsid w:val="00421BB3"/>
    <w:rsid w:val="00422A10"/>
    <w:rsid w:val="00430179"/>
    <w:rsid w:val="004414B5"/>
    <w:rsid w:val="00444482"/>
    <w:rsid w:val="00444B42"/>
    <w:rsid w:val="00445E44"/>
    <w:rsid w:val="0045026A"/>
    <w:rsid w:val="004509E2"/>
    <w:rsid w:val="004515EE"/>
    <w:rsid w:val="004529F0"/>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142C4"/>
    <w:rsid w:val="0051509C"/>
    <w:rsid w:val="005272E2"/>
    <w:rsid w:val="0053108F"/>
    <w:rsid w:val="00532B56"/>
    <w:rsid w:val="00534B10"/>
    <w:rsid w:val="005446A2"/>
    <w:rsid w:val="00544D2F"/>
    <w:rsid w:val="00551BD8"/>
    <w:rsid w:val="005611F4"/>
    <w:rsid w:val="00581055"/>
    <w:rsid w:val="00591E38"/>
    <w:rsid w:val="005A19C5"/>
    <w:rsid w:val="005A3034"/>
    <w:rsid w:val="005A462D"/>
    <w:rsid w:val="005B0C8C"/>
    <w:rsid w:val="005B253B"/>
    <w:rsid w:val="005B771D"/>
    <w:rsid w:val="005C5D16"/>
    <w:rsid w:val="005D3193"/>
    <w:rsid w:val="005D4A6E"/>
    <w:rsid w:val="005E6979"/>
    <w:rsid w:val="005E75CB"/>
    <w:rsid w:val="005E7769"/>
    <w:rsid w:val="006013C1"/>
    <w:rsid w:val="0060669E"/>
    <w:rsid w:val="00610C6E"/>
    <w:rsid w:val="00610F2E"/>
    <w:rsid w:val="00611399"/>
    <w:rsid w:val="00624C4E"/>
    <w:rsid w:val="00625200"/>
    <w:rsid w:val="006363A8"/>
    <w:rsid w:val="00636DB7"/>
    <w:rsid w:val="00650905"/>
    <w:rsid w:val="006510BA"/>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D3536"/>
    <w:rsid w:val="006D4E6F"/>
    <w:rsid w:val="006D79EA"/>
    <w:rsid w:val="006E5D05"/>
    <w:rsid w:val="006F00A3"/>
    <w:rsid w:val="00701053"/>
    <w:rsid w:val="00701507"/>
    <w:rsid w:val="00714021"/>
    <w:rsid w:val="00716A0F"/>
    <w:rsid w:val="00717D45"/>
    <w:rsid w:val="007208F7"/>
    <w:rsid w:val="007218AF"/>
    <w:rsid w:val="0073233F"/>
    <w:rsid w:val="007365D1"/>
    <w:rsid w:val="00740E0E"/>
    <w:rsid w:val="00750212"/>
    <w:rsid w:val="00754779"/>
    <w:rsid w:val="0075716D"/>
    <w:rsid w:val="00765F14"/>
    <w:rsid w:val="00770E31"/>
    <w:rsid w:val="007770F1"/>
    <w:rsid w:val="00783FB1"/>
    <w:rsid w:val="00785CDD"/>
    <w:rsid w:val="007911A9"/>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4F5A"/>
    <w:rsid w:val="00810C6D"/>
    <w:rsid w:val="00812887"/>
    <w:rsid w:val="00815C49"/>
    <w:rsid w:val="00826F21"/>
    <w:rsid w:val="00834CC8"/>
    <w:rsid w:val="00835E00"/>
    <w:rsid w:val="00837113"/>
    <w:rsid w:val="008414E4"/>
    <w:rsid w:val="00843E21"/>
    <w:rsid w:val="0084508E"/>
    <w:rsid w:val="00857A8A"/>
    <w:rsid w:val="008630EE"/>
    <w:rsid w:val="00864D13"/>
    <w:rsid w:val="00871CD5"/>
    <w:rsid w:val="008745A2"/>
    <w:rsid w:val="008768A8"/>
    <w:rsid w:val="00883342"/>
    <w:rsid w:val="0088798F"/>
    <w:rsid w:val="00887E4B"/>
    <w:rsid w:val="008915C8"/>
    <w:rsid w:val="00895389"/>
    <w:rsid w:val="008A36CF"/>
    <w:rsid w:val="008A3BC4"/>
    <w:rsid w:val="008B403C"/>
    <w:rsid w:val="008B7983"/>
    <w:rsid w:val="008C2511"/>
    <w:rsid w:val="008D026D"/>
    <w:rsid w:val="008D23AB"/>
    <w:rsid w:val="008D4B8B"/>
    <w:rsid w:val="008D5A78"/>
    <w:rsid w:val="008E46CD"/>
    <w:rsid w:val="008E4F1F"/>
    <w:rsid w:val="008E7B64"/>
    <w:rsid w:val="008F5DCD"/>
    <w:rsid w:val="00900951"/>
    <w:rsid w:val="009118A6"/>
    <w:rsid w:val="0091201C"/>
    <w:rsid w:val="00916909"/>
    <w:rsid w:val="00916EC0"/>
    <w:rsid w:val="00920467"/>
    <w:rsid w:val="00921DE7"/>
    <w:rsid w:val="0093041A"/>
    <w:rsid w:val="00930714"/>
    <w:rsid w:val="00931B03"/>
    <w:rsid w:val="0093224A"/>
    <w:rsid w:val="009323B9"/>
    <w:rsid w:val="00932DCE"/>
    <w:rsid w:val="0093327E"/>
    <w:rsid w:val="00934028"/>
    <w:rsid w:val="0093760E"/>
    <w:rsid w:val="00946044"/>
    <w:rsid w:val="0094660B"/>
    <w:rsid w:val="00946A33"/>
    <w:rsid w:val="00947DD2"/>
    <w:rsid w:val="0095260E"/>
    <w:rsid w:val="00952698"/>
    <w:rsid w:val="009578DD"/>
    <w:rsid w:val="00961124"/>
    <w:rsid w:val="009621B6"/>
    <w:rsid w:val="0097189E"/>
    <w:rsid w:val="00974F2D"/>
    <w:rsid w:val="00977524"/>
    <w:rsid w:val="00977E88"/>
    <w:rsid w:val="00984920"/>
    <w:rsid w:val="0099303A"/>
    <w:rsid w:val="009971C2"/>
    <w:rsid w:val="00997492"/>
    <w:rsid w:val="009A1254"/>
    <w:rsid w:val="009B06FB"/>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3C48"/>
    <w:rsid w:val="00A16A4A"/>
    <w:rsid w:val="00A16D91"/>
    <w:rsid w:val="00A174CC"/>
    <w:rsid w:val="00A2073D"/>
    <w:rsid w:val="00A20751"/>
    <w:rsid w:val="00A27E2D"/>
    <w:rsid w:val="00A31D99"/>
    <w:rsid w:val="00A357BA"/>
    <w:rsid w:val="00A35ADC"/>
    <w:rsid w:val="00A402A3"/>
    <w:rsid w:val="00A4728E"/>
    <w:rsid w:val="00A53681"/>
    <w:rsid w:val="00A633D4"/>
    <w:rsid w:val="00A6461A"/>
    <w:rsid w:val="00A66510"/>
    <w:rsid w:val="00A84504"/>
    <w:rsid w:val="00A8672F"/>
    <w:rsid w:val="00A93057"/>
    <w:rsid w:val="00A962A2"/>
    <w:rsid w:val="00A968B0"/>
    <w:rsid w:val="00AB2672"/>
    <w:rsid w:val="00AB2817"/>
    <w:rsid w:val="00AB43C4"/>
    <w:rsid w:val="00AC32E7"/>
    <w:rsid w:val="00AC3A9F"/>
    <w:rsid w:val="00AC6D2F"/>
    <w:rsid w:val="00AD524D"/>
    <w:rsid w:val="00AE2745"/>
    <w:rsid w:val="00AE2F64"/>
    <w:rsid w:val="00AF42CB"/>
    <w:rsid w:val="00AF483F"/>
    <w:rsid w:val="00AF515A"/>
    <w:rsid w:val="00AF5E07"/>
    <w:rsid w:val="00AF5F06"/>
    <w:rsid w:val="00B00A25"/>
    <w:rsid w:val="00B1422A"/>
    <w:rsid w:val="00B1765C"/>
    <w:rsid w:val="00B213C4"/>
    <w:rsid w:val="00B40C60"/>
    <w:rsid w:val="00B479A9"/>
    <w:rsid w:val="00B52EDF"/>
    <w:rsid w:val="00B71188"/>
    <w:rsid w:val="00B754B1"/>
    <w:rsid w:val="00B76A41"/>
    <w:rsid w:val="00B87D4C"/>
    <w:rsid w:val="00B93646"/>
    <w:rsid w:val="00BA0B38"/>
    <w:rsid w:val="00BA1DBB"/>
    <w:rsid w:val="00BA4510"/>
    <w:rsid w:val="00BA529A"/>
    <w:rsid w:val="00BB612A"/>
    <w:rsid w:val="00BC07D5"/>
    <w:rsid w:val="00BD499F"/>
    <w:rsid w:val="00BD56DE"/>
    <w:rsid w:val="00BF2406"/>
    <w:rsid w:val="00BF714E"/>
    <w:rsid w:val="00C06E43"/>
    <w:rsid w:val="00C11B75"/>
    <w:rsid w:val="00C16315"/>
    <w:rsid w:val="00C3091E"/>
    <w:rsid w:val="00C40FF1"/>
    <w:rsid w:val="00C419E2"/>
    <w:rsid w:val="00C42647"/>
    <w:rsid w:val="00C5020E"/>
    <w:rsid w:val="00C57452"/>
    <w:rsid w:val="00C61EDF"/>
    <w:rsid w:val="00C6239D"/>
    <w:rsid w:val="00C6594B"/>
    <w:rsid w:val="00C67FFB"/>
    <w:rsid w:val="00C7155E"/>
    <w:rsid w:val="00C71D1E"/>
    <w:rsid w:val="00C71D7D"/>
    <w:rsid w:val="00C74833"/>
    <w:rsid w:val="00C850A0"/>
    <w:rsid w:val="00C85A86"/>
    <w:rsid w:val="00C9065D"/>
    <w:rsid w:val="00C9239A"/>
    <w:rsid w:val="00C94EFD"/>
    <w:rsid w:val="00C978F0"/>
    <w:rsid w:val="00CA58FE"/>
    <w:rsid w:val="00CB1CB1"/>
    <w:rsid w:val="00CB6BC1"/>
    <w:rsid w:val="00CB6CB8"/>
    <w:rsid w:val="00CC1A68"/>
    <w:rsid w:val="00CC2123"/>
    <w:rsid w:val="00CD2BFD"/>
    <w:rsid w:val="00CE5AD6"/>
    <w:rsid w:val="00CE617F"/>
    <w:rsid w:val="00CE78EF"/>
    <w:rsid w:val="00CF7953"/>
    <w:rsid w:val="00D048F7"/>
    <w:rsid w:val="00D0517E"/>
    <w:rsid w:val="00D140FC"/>
    <w:rsid w:val="00D21D8C"/>
    <w:rsid w:val="00D27D1F"/>
    <w:rsid w:val="00D31357"/>
    <w:rsid w:val="00D33220"/>
    <w:rsid w:val="00D334D1"/>
    <w:rsid w:val="00D43309"/>
    <w:rsid w:val="00D44C89"/>
    <w:rsid w:val="00D516CD"/>
    <w:rsid w:val="00D668E6"/>
    <w:rsid w:val="00D70670"/>
    <w:rsid w:val="00D74D80"/>
    <w:rsid w:val="00D76624"/>
    <w:rsid w:val="00D87570"/>
    <w:rsid w:val="00D91CB9"/>
    <w:rsid w:val="00D97989"/>
    <w:rsid w:val="00D97D8D"/>
    <w:rsid w:val="00DA352E"/>
    <w:rsid w:val="00DC58CA"/>
    <w:rsid w:val="00DC7694"/>
    <w:rsid w:val="00DD1BF6"/>
    <w:rsid w:val="00DD2F9B"/>
    <w:rsid w:val="00DE0820"/>
    <w:rsid w:val="00DE2513"/>
    <w:rsid w:val="00DE26E8"/>
    <w:rsid w:val="00DE5895"/>
    <w:rsid w:val="00DF0979"/>
    <w:rsid w:val="00DF6F36"/>
    <w:rsid w:val="00E0084C"/>
    <w:rsid w:val="00E025AB"/>
    <w:rsid w:val="00E02B23"/>
    <w:rsid w:val="00E06F40"/>
    <w:rsid w:val="00E07CE8"/>
    <w:rsid w:val="00E240C6"/>
    <w:rsid w:val="00E26A07"/>
    <w:rsid w:val="00E3257A"/>
    <w:rsid w:val="00E32595"/>
    <w:rsid w:val="00E37CFD"/>
    <w:rsid w:val="00E41A26"/>
    <w:rsid w:val="00E46BCB"/>
    <w:rsid w:val="00E51CAF"/>
    <w:rsid w:val="00E53996"/>
    <w:rsid w:val="00E60F04"/>
    <w:rsid w:val="00E62AAC"/>
    <w:rsid w:val="00E67C2F"/>
    <w:rsid w:val="00E67EF5"/>
    <w:rsid w:val="00E72743"/>
    <w:rsid w:val="00E804EA"/>
    <w:rsid w:val="00E80A71"/>
    <w:rsid w:val="00E82337"/>
    <w:rsid w:val="00E92499"/>
    <w:rsid w:val="00E949AF"/>
    <w:rsid w:val="00E94E2E"/>
    <w:rsid w:val="00E96077"/>
    <w:rsid w:val="00EA0A06"/>
    <w:rsid w:val="00EA6243"/>
    <w:rsid w:val="00EA74AB"/>
    <w:rsid w:val="00EB2F30"/>
    <w:rsid w:val="00EB3D1B"/>
    <w:rsid w:val="00ED1D89"/>
    <w:rsid w:val="00ED66BC"/>
    <w:rsid w:val="00EF2128"/>
    <w:rsid w:val="00EF233A"/>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4717C"/>
    <w:rsid w:val="00F56DD0"/>
    <w:rsid w:val="00F6491C"/>
    <w:rsid w:val="00F66B3E"/>
    <w:rsid w:val="00F67BBB"/>
    <w:rsid w:val="00F87D92"/>
    <w:rsid w:val="00F90AA7"/>
    <w:rsid w:val="00F92498"/>
    <w:rsid w:val="00F9496B"/>
    <w:rsid w:val="00F970C9"/>
    <w:rsid w:val="00FA06A8"/>
    <w:rsid w:val="00FA3DF5"/>
    <w:rsid w:val="00FA741F"/>
    <w:rsid w:val="00FB4E07"/>
    <w:rsid w:val="00FB755A"/>
    <w:rsid w:val="00FC60A2"/>
    <w:rsid w:val="00FD1871"/>
    <w:rsid w:val="00FD3110"/>
    <w:rsid w:val="00FF146E"/>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7"/>
    <o:shapelayout v:ext="edit">
      <o:idmap v:ext="edit" data="1"/>
    </o:shapelayout>
  </w:shapeDefaults>
  <w:decimalSymbol w:val="."/>
  <w:listSeparator w:val=","/>
  <w14:docId w14:val="0B761D67"/>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BC07D5"/>
    <w:rPr>
      <w:sz w:val="16"/>
      <w:szCs w:val="16"/>
    </w:rPr>
  </w:style>
  <w:style w:type="paragraph" w:styleId="CommentText">
    <w:name w:val="annotation text"/>
    <w:basedOn w:val="Normal"/>
    <w:link w:val="CommentTextChar"/>
    <w:uiPriority w:val="99"/>
    <w:semiHidden/>
    <w:unhideWhenUsed/>
    <w:rsid w:val="00BC07D5"/>
    <w:pPr>
      <w:spacing w:line="240" w:lineRule="auto"/>
    </w:pPr>
    <w:rPr>
      <w:szCs w:val="20"/>
    </w:rPr>
  </w:style>
  <w:style w:type="character" w:customStyle="1" w:styleId="CommentTextChar">
    <w:name w:val="Comment Text Char"/>
    <w:basedOn w:val="DefaultParagraphFont"/>
    <w:link w:val="CommentText"/>
    <w:uiPriority w:val="99"/>
    <w:semiHidden/>
    <w:rsid w:val="00BC07D5"/>
    <w:rPr>
      <w:szCs w:val="20"/>
    </w:rPr>
  </w:style>
  <w:style w:type="paragraph" w:styleId="CommentSubject">
    <w:name w:val="annotation subject"/>
    <w:basedOn w:val="CommentText"/>
    <w:next w:val="CommentText"/>
    <w:link w:val="CommentSubjectChar"/>
    <w:uiPriority w:val="99"/>
    <w:semiHidden/>
    <w:unhideWhenUsed/>
    <w:rsid w:val="00BC07D5"/>
    <w:rPr>
      <w:b/>
      <w:bCs/>
    </w:rPr>
  </w:style>
  <w:style w:type="character" w:customStyle="1" w:styleId="CommentSubjectChar">
    <w:name w:val="Comment Subject Char"/>
    <w:basedOn w:val="CommentTextChar"/>
    <w:link w:val="CommentSubject"/>
    <w:uiPriority w:val="99"/>
    <w:semiHidden/>
    <w:rsid w:val="00BC07D5"/>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57F37F0B7D5B4195BAF4C85581D3A605"/>
        <w:category>
          <w:name w:val="General"/>
          <w:gallery w:val="placeholder"/>
        </w:category>
        <w:types>
          <w:type w:val="bbPlcHdr"/>
        </w:types>
        <w:behaviors>
          <w:behavior w:val="content"/>
        </w:behaviors>
        <w:guid w:val="{F4A7748B-D434-4AFC-90C3-3BED12706FBD}"/>
      </w:docPartPr>
      <w:docPartBody>
        <w:p w:rsidR="006C7A65" w:rsidRDefault="00E46D89" w:rsidP="00E46D89">
          <w:pPr>
            <w:pStyle w:val="57F37F0B7D5B4195BAF4C85581D3A605"/>
          </w:pPr>
          <w:r>
            <w:rPr>
              <w:rStyle w:val="PlaceholderText"/>
            </w:rPr>
            <w:t>Number</w:t>
          </w:r>
        </w:p>
      </w:docPartBody>
    </w:docPart>
    <w:docPart>
      <w:docPartPr>
        <w:name w:val="4D029B25B7954A99A42C1B9F216900C3"/>
        <w:category>
          <w:name w:val="General"/>
          <w:gallery w:val="placeholder"/>
        </w:category>
        <w:types>
          <w:type w:val="bbPlcHdr"/>
        </w:types>
        <w:behaviors>
          <w:behavior w:val="content"/>
        </w:behaviors>
        <w:guid w:val="{0696BF35-FAB8-4142-94A8-05CB4A40993A}"/>
      </w:docPartPr>
      <w:docPartBody>
        <w:p w:rsidR="006C7A65" w:rsidRDefault="00E46D89" w:rsidP="00E46D89">
          <w:pPr>
            <w:pStyle w:val="4D029B25B7954A99A42C1B9F216900C3"/>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2E04EA"/>
    <w:rsid w:val="00347D16"/>
    <w:rsid w:val="003E0149"/>
    <w:rsid w:val="004F1E72"/>
    <w:rsid w:val="006C7A65"/>
    <w:rsid w:val="00A043BF"/>
    <w:rsid w:val="00D21A9F"/>
    <w:rsid w:val="00E46D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6D89"/>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20BC8D26515A4C11AC6304FB75A7CBAD">
    <w:name w:val="20BC8D26515A4C11AC6304FB75A7CBAD"/>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57F37F0B7D5B4195BAF4C85581D3A605">
    <w:name w:val="57F37F0B7D5B4195BAF4C85581D3A605"/>
    <w:rsid w:val="00E46D89"/>
  </w:style>
  <w:style w:type="paragraph" w:customStyle="1" w:styleId="4D029B25B7954A99A42C1B9F216900C3">
    <w:name w:val="4D029B25B7954A99A42C1B9F216900C3"/>
    <w:rsid w:val="00E46D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B02A343B-10BF-48ED-B059-8B9842D2FC90}">
  <ds:schemaRefs>
    <ds:schemaRef ds:uri="http://schemas.openxmlformats.org/officeDocument/2006/bibliography"/>
  </ds:schemaRefs>
</ds:datastoreItem>
</file>

<file path=customXml/itemProps3.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7ADE32-9688-48C6-95D2-60A0A149F3C5}"/>
</file>

<file path=docProps/app.xml><?xml version="1.0" encoding="utf-8"?>
<Properties xmlns="http://schemas.openxmlformats.org/officeDocument/2006/extended-properties" xmlns:vt="http://schemas.openxmlformats.org/officeDocument/2006/docPropsVTypes">
  <Template>Normal</Template>
  <TotalTime>828</TotalTime>
  <Pages>6</Pages>
  <Words>1659</Words>
  <Characters>9458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42</cp:revision>
  <cp:lastPrinted>2018-10-22T22:41:00Z</cp:lastPrinted>
  <dcterms:created xsi:type="dcterms:W3CDTF">2019-04-14T23:55:00Z</dcterms:created>
  <dcterms:modified xsi:type="dcterms:W3CDTF">2025-12-24T00:15:00Z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2025-12-24T00:15:11Z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4208d923-c244-455e-a82f-08bb5f855648</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