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5E01012" w14:textId="2111DBE2" w:rsidR="00BD499F" w:rsidRPr="004C23F4" w:rsidRDefault="00144708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Nitrotoluene, 3- and 4- Isomers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4"/>
        <w:gridCol w:w="5052"/>
      </w:tblGrid>
      <w:tr w:rsidR="00F43AD5" w:rsidRPr="004C23F4" w14:paraId="0F4A0734" w14:textId="77777777" w:rsidTr="00B76A41">
        <w:trPr>
          <w:cantSplit/>
          <w:tblHeader/>
        </w:trPr>
        <w:tc>
          <w:tcPr>
            <w:tcW w:w="4077" w:type="dxa"/>
          </w:tcPr>
          <w:p w14:paraId="3FD56CB6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2E2DE33" w14:textId="7C1BA681" w:rsidR="00454295" w:rsidRDefault="00454295" w:rsidP="00B76A41">
            <w:pPr>
              <w:pStyle w:val="Tablefont"/>
            </w:pPr>
            <w:r>
              <w:t>99</w:t>
            </w:r>
            <w:r w:rsidRPr="00EB2882">
              <w:t>-</w:t>
            </w:r>
            <w:r>
              <w:t>08-1</w:t>
            </w:r>
            <w:proofErr w:type="gramStart"/>
            <w:r>
              <w:t xml:space="preserve">   (</w:t>
            </w:r>
            <w:proofErr w:type="gramEnd"/>
            <w:r>
              <w:t xml:space="preserve">3-Nitrotoluene </w:t>
            </w:r>
            <w:r w:rsidR="00E85840">
              <w:t>[</w:t>
            </w:r>
            <w:r>
              <w:t>meta</w:t>
            </w:r>
            <w:r w:rsidR="00E85840">
              <w:t>]</w:t>
            </w:r>
            <w:r>
              <w:t>)</w:t>
            </w:r>
          </w:p>
          <w:p w14:paraId="44731DC6" w14:textId="767922E3" w:rsidR="00454295" w:rsidRPr="00717D45" w:rsidRDefault="00454295" w:rsidP="00B76A41">
            <w:pPr>
              <w:pStyle w:val="Tablefont"/>
            </w:pPr>
            <w:r>
              <w:t>99-99-0</w:t>
            </w:r>
            <w:proofErr w:type="gramStart"/>
            <w:r>
              <w:t xml:space="preserve">   (</w:t>
            </w:r>
            <w:proofErr w:type="gramEnd"/>
            <w:r>
              <w:t xml:space="preserve">4-Nitrotoluene </w:t>
            </w:r>
            <w:r w:rsidR="00E85840">
              <w:t>[</w:t>
            </w:r>
            <w:r>
              <w:t>para</w:t>
            </w:r>
            <w:r w:rsidR="00E85840">
              <w:t>]</w:t>
            </w:r>
            <w:r>
              <w:t>)</w:t>
            </w:r>
          </w:p>
        </w:tc>
      </w:tr>
      <w:tr w:rsidR="00F43AD5" w:rsidRPr="004C23F4" w14:paraId="196CC8F9" w14:textId="77777777" w:rsidTr="00B76A41">
        <w:trPr>
          <w:cantSplit/>
        </w:trPr>
        <w:tc>
          <w:tcPr>
            <w:tcW w:w="4077" w:type="dxa"/>
          </w:tcPr>
          <w:p w14:paraId="26031A4D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6014CF97" w14:textId="77777777" w:rsidR="00F43AD5" w:rsidRPr="00717D45" w:rsidRDefault="008971B7" w:rsidP="00B76A41">
            <w:pPr>
              <w:pStyle w:val="Tablefont"/>
            </w:pPr>
            <w:proofErr w:type="spellStart"/>
            <w:r>
              <w:t>Mononitrotoluene</w:t>
            </w:r>
            <w:proofErr w:type="spellEnd"/>
            <w:r w:rsidR="00454295">
              <w:t xml:space="preserve">, </w:t>
            </w:r>
            <w:proofErr w:type="spellStart"/>
            <w:r w:rsidR="00454295">
              <w:t>methylnitrobenezene</w:t>
            </w:r>
            <w:proofErr w:type="spellEnd"/>
            <w:r w:rsidR="00454295">
              <w:t xml:space="preserve">, </w:t>
            </w:r>
            <w:proofErr w:type="spellStart"/>
            <w:r w:rsidR="00454295">
              <w:t>nitrotoluol</w:t>
            </w:r>
            <w:proofErr w:type="spellEnd"/>
            <w:r w:rsidR="00454295">
              <w:t xml:space="preserve"> </w:t>
            </w:r>
          </w:p>
        </w:tc>
      </w:tr>
      <w:tr w:rsidR="00F43AD5" w:rsidRPr="004C23F4" w14:paraId="6F37B9F5" w14:textId="77777777" w:rsidTr="00B76A41">
        <w:trPr>
          <w:cantSplit/>
        </w:trPr>
        <w:tc>
          <w:tcPr>
            <w:tcW w:w="4077" w:type="dxa"/>
          </w:tcPr>
          <w:p w14:paraId="7D66A842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651E7D5" w14:textId="77777777" w:rsidR="00F43AD5" w:rsidRPr="00717D45" w:rsidRDefault="00454295" w:rsidP="00B76A41">
            <w:pPr>
              <w:pStyle w:val="Tablefont"/>
            </w:pPr>
            <w:r>
              <w:t>C</w:t>
            </w:r>
            <w:r w:rsidRPr="00454295">
              <w:rPr>
                <w:vertAlign w:val="subscript"/>
              </w:rPr>
              <w:t>7</w:t>
            </w:r>
            <w:r>
              <w:t>H</w:t>
            </w:r>
            <w:r w:rsidRPr="00454295">
              <w:rPr>
                <w:vertAlign w:val="subscript"/>
              </w:rPr>
              <w:t>7</w:t>
            </w:r>
            <w:r>
              <w:t>NO</w:t>
            </w:r>
            <w:r w:rsidRPr="00454295">
              <w:rPr>
                <w:vertAlign w:val="subscript"/>
              </w:rPr>
              <w:t>2</w:t>
            </w:r>
          </w:p>
        </w:tc>
      </w:tr>
      <w:tr w:rsidR="00F43AD5" w:rsidRPr="004C23F4" w14:paraId="0ED8270F" w14:textId="77777777" w:rsidTr="00B76A41">
        <w:trPr>
          <w:cantSplit/>
        </w:trPr>
        <w:tc>
          <w:tcPr>
            <w:tcW w:w="4077" w:type="dxa"/>
          </w:tcPr>
          <w:p w14:paraId="47E5D534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73106A1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155F1264" w14:textId="203C55E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AC3679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5AD8BA14" w14:textId="77777777" w:rsidTr="00E227B0">
        <w:trPr>
          <w:cantSplit/>
          <w:tblHeader/>
        </w:trPr>
        <w:tc>
          <w:tcPr>
            <w:tcW w:w="4005" w:type="dxa"/>
            <w:vAlign w:val="center"/>
          </w:tcPr>
          <w:p w14:paraId="7B5132AF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751251CA" w14:textId="77777777" w:rsidR="002C7AFE" w:rsidRPr="002C3D8E" w:rsidRDefault="00E3146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</w:t>
            </w:r>
            <w:r w:rsidR="002C3D8E">
              <w:rPr>
                <w:b/>
              </w:rPr>
              <w:t xml:space="preserve"> ppm (11 mg/m</w:t>
            </w:r>
            <w:r w:rsidR="002C3D8E">
              <w:rPr>
                <w:b/>
                <w:vertAlign w:val="superscript"/>
              </w:rPr>
              <w:t>3</w:t>
            </w:r>
            <w:r w:rsidR="002C3D8E">
              <w:rPr>
                <w:b/>
              </w:rPr>
              <w:t>)</w:t>
            </w:r>
          </w:p>
        </w:tc>
      </w:tr>
      <w:tr w:rsidR="002C7AFE" w:rsidRPr="004C23F4" w14:paraId="59A5A6B2" w14:textId="77777777" w:rsidTr="00E227B0">
        <w:trPr>
          <w:cantSplit/>
        </w:trPr>
        <w:tc>
          <w:tcPr>
            <w:tcW w:w="4005" w:type="dxa"/>
            <w:vAlign w:val="center"/>
          </w:tcPr>
          <w:p w14:paraId="4767694E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653FBF95" w14:textId="77777777" w:rsidR="002C7AFE" w:rsidRPr="00EB3D1B" w:rsidRDefault="00454295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4885AB3F" w14:textId="77777777" w:rsidTr="00E227B0">
        <w:trPr>
          <w:cantSplit/>
        </w:trPr>
        <w:tc>
          <w:tcPr>
            <w:tcW w:w="4005" w:type="dxa"/>
            <w:vAlign w:val="center"/>
          </w:tcPr>
          <w:p w14:paraId="42F8E643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61A66BE2" w14:textId="77777777" w:rsidR="002C7AFE" w:rsidRPr="00EB3D1B" w:rsidRDefault="00454295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51215D42" w14:textId="77777777" w:rsidTr="00E227B0">
        <w:trPr>
          <w:cantSplit/>
        </w:trPr>
        <w:tc>
          <w:tcPr>
            <w:tcW w:w="4005" w:type="dxa"/>
          </w:tcPr>
          <w:p w14:paraId="4B076A2D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76811577" w14:textId="2446535C" w:rsidR="002C7AFE" w:rsidRPr="00EB3D1B" w:rsidRDefault="00D01EA7" w:rsidP="008A36CF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Sk. </w:t>
            </w:r>
          </w:p>
        </w:tc>
      </w:tr>
      <w:tr w:rsidR="002C7AFE" w:rsidRPr="004C23F4" w14:paraId="7BF56987" w14:textId="77777777" w:rsidTr="00E227B0">
        <w:trPr>
          <w:cantSplit/>
        </w:trPr>
        <w:tc>
          <w:tcPr>
            <w:tcW w:w="4005" w:type="dxa"/>
            <w:vAlign w:val="center"/>
          </w:tcPr>
          <w:p w14:paraId="08037D87" w14:textId="77777777" w:rsidR="00F10C97" w:rsidRPr="002C58FF" w:rsidRDefault="00921DE7" w:rsidP="00E227B0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08F361A3" w14:textId="77777777" w:rsidR="002C7AFE" w:rsidRPr="00EB3D1B" w:rsidRDefault="00D7232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200 ppm</w:t>
            </w:r>
          </w:p>
        </w:tc>
      </w:tr>
      <w:tr w:rsidR="00E227B0" w:rsidRPr="004C23F4" w14:paraId="3B2B2492" w14:textId="77777777" w:rsidTr="00D74AEA">
        <w:trPr>
          <w:cantSplit/>
        </w:trPr>
        <w:tc>
          <w:tcPr>
            <w:tcW w:w="9026" w:type="dxa"/>
            <w:gridSpan w:val="2"/>
            <w:vAlign w:val="center"/>
          </w:tcPr>
          <w:p w14:paraId="10DE4C8B" w14:textId="77777777" w:rsidR="00E227B0" w:rsidRDefault="00E227B0" w:rsidP="00E227B0">
            <w:pPr>
              <w:pStyle w:val="Tablefont"/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F3ED7063648043DA82624157FDE742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0126D819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A3CEF81" w14:textId="77777777" w:rsidR="00E31465" w:rsidRDefault="00E31465" w:rsidP="00E31465">
      <w:pPr>
        <w:rPr>
          <w:rFonts w:cs="Arial"/>
        </w:rPr>
      </w:pPr>
      <w:r w:rsidRPr="00E31465">
        <w:rPr>
          <w:rFonts w:cs="Arial"/>
        </w:rPr>
        <w:t xml:space="preserve">A TWA of </w:t>
      </w:r>
      <w:r w:rsidR="002C3D8E">
        <w:rPr>
          <w:rFonts w:cs="Arial"/>
        </w:rPr>
        <w:t>2 ppm</w:t>
      </w:r>
      <w:r w:rsidRPr="00E31465">
        <w:rPr>
          <w:rFonts w:cs="Arial"/>
        </w:rPr>
        <w:t xml:space="preserve"> (</w:t>
      </w:r>
      <w:r w:rsidR="002C3D8E">
        <w:rPr>
          <w:rFonts w:cs="Arial"/>
        </w:rPr>
        <w:t>11 mg/m</w:t>
      </w:r>
      <w:r w:rsidR="002C3D8E">
        <w:rPr>
          <w:rFonts w:cs="Arial"/>
          <w:vertAlign w:val="superscript"/>
        </w:rPr>
        <w:t>3</w:t>
      </w:r>
      <w:r w:rsidRPr="00E31465">
        <w:rPr>
          <w:rFonts w:cs="Arial"/>
        </w:rPr>
        <w:t xml:space="preserve">) is recommended to protect </w:t>
      </w:r>
      <w:r w:rsidR="002C3D8E">
        <w:rPr>
          <w:rFonts w:cs="Arial"/>
        </w:rPr>
        <w:t xml:space="preserve">for </w:t>
      </w:r>
      <w:r w:rsidR="002C3D8E">
        <w:t>methemoglobinemia</w:t>
      </w:r>
      <w:r w:rsidR="00B57F1E">
        <w:t xml:space="preserve">, reproductive effects and potential effects on the liver, spleen and kidneys effects </w:t>
      </w:r>
      <w:r w:rsidRPr="00E31465">
        <w:rPr>
          <w:rFonts w:cs="Arial"/>
        </w:rPr>
        <w:t xml:space="preserve">in </w:t>
      </w:r>
      <w:r w:rsidR="002C3D8E">
        <w:rPr>
          <w:rFonts w:cs="Arial"/>
        </w:rPr>
        <w:t>exposed workers.</w:t>
      </w:r>
      <w:r w:rsidR="00B57F1E">
        <w:rPr>
          <w:rFonts w:cs="Arial"/>
        </w:rPr>
        <w:t xml:space="preserve"> </w:t>
      </w:r>
    </w:p>
    <w:p w14:paraId="52ACA266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3DF01FD" w14:textId="4E20BF50" w:rsidR="00FB0CF5" w:rsidRDefault="00B57F1E" w:rsidP="006639B4">
      <w:r>
        <w:t xml:space="preserve">This evaluation reviews the available data for </w:t>
      </w:r>
      <w:r w:rsidR="002742D4">
        <w:t>tw</w:t>
      </w:r>
      <w:r w:rsidR="00144708">
        <w:t>o</w:t>
      </w:r>
      <w:r>
        <w:t xml:space="preserve"> </w:t>
      </w:r>
      <w:r w:rsidR="00E45417">
        <w:t>isomers of nitrotoluene:</w:t>
      </w:r>
      <w:r>
        <w:t xml:space="preserve"> 3-nitrotoluene &amp; 4</w:t>
      </w:r>
      <w:r w:rsidR="00565835">
        <w:noBreakHyphen/>
      </w:r>
      <w:r>
        <w:t xml:space="preserve">nitrotoluene. </w:t>
      </w:r>
      <w:r w:rsidR="002742D4">
        <w:t xml:space="preserve">2-nitrotoluene has been evaluated separately. </w:t>
      </w:r>
    </w:p>
    <w:p w14:paraId="5D5C2611" w14:textId="7B41A666" w:rsidR="000B3C36" w:rsidRDefault="00AB5FB6" w:rsidP="006639B4">
      <w:r>
        <w:t xml:space="preserve">3-nitrotoluene </w:t>
      </w:r>
      <w:r w:rsidR="0057771C">
        <w:t xml:space="preserve">is </w:t>
      </w:r>
      <w:r>
        <w:t>used in the manufacture of agricultural and rubber chemicals</w:t>
      </w:r>
      <w:r w:rsidR="008749DC">
        <w:t>. It is also used in</w:t>
      </w:r>
      <w:r>
        <w:t xml:space="preserve"> various dyes for cotton, wool, silk, leather and paper and in azo and </w:t>
      </w:r>
      <w:proofErr w:type="spellStart"/>
      <w:r>
        <w:t>sulfur</w:t>
      </w:r>
      <w:proofErr w:type="spellEnd"/>
      <w:r>
        <w:t xml:space="preserve"> dye. 4-Nitrotoluene is produced in negligible quantities. </w:t>
      </w:r>
    </w:p>
    <w:p w14:paraId="2E0A1FD1" w14:textId="103F277D" w:rsidR="00DE6B38" w:rsidRDefault="00AB5FB6" w:rsidP="006639B4">
      <w:pPr>
        <w:rPr>
          <w:rFonts w:cs="Arial"/>
        </w:rPr>
      </w:pPr>
      <w:r>
        <w:t xml:space="preserve">Critical effects </w:t>
      </w:r>
      <w:r w:rsidR="000B3C36">
        <w:t xml:space="preserve">of </w:t>
      </w:r>
      <w:r>
        <w:t xml:space="preserve">exposure are </w:t>
      </w:r>
      <w:proofErr w:type="spellStart"/>
      <w:r w:rsidR="00DE6B38">
        <w:t>methaemoglobinaemia</w:t>
      </w:r>
      <w:proofErr w:type="spellEnd"/>
      <w:r>
        <w:t xml:space="preserve"> and resultant anoxia and cyanosis. Limited data also indicate a potential for hepatic, renal and reproductive damage of varying degree</w:t>
      </w:r>
      <w:r w:rsidR="00FB0CF5">
        <w:t>s</w:t>
      </w:r>
      <w:r>
        <w:rPr>
          <w:rFonts w:cs="Arial"/>
        </w:rPr>
        <w:t xml:space="preserve">. Carcinogenic effects </w:t>
      </w:r>
      <w:r w:rsidR="00FE77C6">
        <w:rPr>
          <w:rFonts w:cs="Arial"/>
        </w:rPr>
        <w:t xml:space="preserve">in animals are also noted. </w:t>
      </w:r>
      <w:r w:rsidR="000B3C36">
        <w:rPr>
          <w:rFonts w:cs="Arial"/>
        </w:rPr>
        <w:t xml:space="preserve"> </w:t>
      </w:r>
    </w:p>
    <w:p w14:paraId="6C1F61DC" w14:textId="09B2309F" w:rsidR="00AB5FB6" w:rsidRDefault="00AB5FB6" w:rsidP="006639B4">
      <w:r>
        <w:rPr>
          <w:rFonts w:cs="Arial"/>
        </w:rPr>
        <w:t xml:space="preserve">Limited data </w:t>
      </w:r>
      <w:r w:rsidR="00DE6B38">
        <w:rPr>
          <w:rFonts w:cs="Arial"/>
        </w:rPr>
        <w:t xml:space="preserve">is available </w:t>
      </w:r>
      <w:r>
        <w:rPr>
          <w:rFonts w:cs="Arial"/>
        </w:rPr>
        <w:t xml:space="preserve">in humans. </w:t>
      </w:r>
      <w:r>
        <w:t>These chemicals, as aromatic, nitrogen-containing materials, can form meth</w:t>
      </w:r>
      <w:r w:rsidR="00FB0CF5">
        <w:t>a</w:t>
      </w:r>
      <w:r>
        <w:t xml:space="preserve">emoglobin with the potential to induce resultant effects associated with </w:t>
      </w:r>
      <w:proofErr w:type="spellStart"/>
      <w:r w:rsidR="00DE6B38">
        <w:t>methaemoglobinaemia</w:t>
      </w:r>
      <w:proofErr w:type="spellEnd"/>
      <w:r>
        <w:t>. ACGIH (2018) recommend a TWA of 2 ppm for nitrotoluene isomers based on analogy to aniline.</w:t>
      </w:r>
      <w:r w:rsidR="00B57F1E">
        <w:t xml:space="preserve"> </w:t>
      </w:r>
      <w:r w:rsidR="00DE6B38">
        <w:t xml:space="preserve">Effects </w:t>
      </w:r>
      <w:r w:rsidR="00B57F1E">
        <w:t>on the liver, spleen and kidneys to varying degrees</w:t>
      </w:r>
      <w:r w:rsidR="00DE6B38" w:rsidRPr="00DE6B38">
        <w:t xml:space="preserve"> </w:t>
      </w:r>
      <w:r w:rsidR="00DE6B38">
        <w:t>have been identified in oral studies in rats</w:t>
      </w:r>
      <w:r w:rsidR="00B57F1E">
        <w:t xml:space="preserve">. All isomers were associated with impaired testicular function and increased </w:t>
      </w:r>
      <w:r w:rsidR="00DE6B38">
        <w:t xml:space="preserve">time </w:t>
      </w:r>
      <w:r w:rsidR="00B57F1E">
        <w:t xml:space="preserve">of the oestrus cycle in rats (ACGIH, 2018; DFG, 1993; HCOTN, 2004). </w:t>
      </w:r>
      <w:r w:rsidR="005D25A2">
        <w:t>HCOTN (2004) recommend a health-based OEL</w:t>
      </w:r>
      <w:r w:rsidR="00FE77C6">
        <w:t xml:space="preserve"> for 3-Nirotoluene</w:t>
      </w:r>
      <w:r w:rsidR="005D25A2">
        <w:t xml:space="preserve"> of 2 mg/m</w:t>
      </w:r>
      <w:r w:rsidR="005D25A2">
        <w:rPr>
          <w:vertAlign w:val="superscript"/>
        </w:rPr>
        <w:t>3</w:t>
      </w:r>
      <w:r w:rsidR="005D25A2">
        <w:t xml:space="preserve"> (0.4 ppm) based on effects </w:t>
      </w:r>
      <w:r w:rsidR="00D63AA0">
        <w:t>on the</w:t>
      </w:r>
      <w:r w:rsidR="005D25A2">
        <w:t xml:space="preserve"> spleen in rats. </w:t>
      </w:r>
      <w:r w:rsidR="00B57F1E" w:rsidRPr="00B57F1E">
        <w:t xml:space="preserve">Evidence in animals suggest </w:t>
      </w:r>
      <w:r w:rsidR="00E45417">
        <w:t xml:space="preserve">a carcinogenic potential </w:t>
      </w:r>
      <w:r w:rsidR="00B57F1E">
        <w:rPr>
          <w:rFonts w:cs="Arial"/>
        </w:rPr>
        <w:t>(DFG</w:t>
      </w:r>
      <w:r w:rsidR="00834D8F">
        <w:rPr>
          <w:rFonts w:cs="Arial"/>
        </w:rPr>
        <w:t>,</w:t>
      </w:r>
      <w:r w:rsidR="00B57F1E">
        <w:rPr>
          <w:rFonts w:cs="Arial"/>
        </w:rPr>
        <w:t xml:space="preserve"> 1993)</w:t>
      </w:r>
      <w:r w:rsidR="00B57F1E" w:rsidRPr="00B57F1E">
        <w:t xml:space="preserve">. However, the cancers reported in animals are not relevant for humans and there </w:t>
      </w:r>
      <w:r w:rsidR="00DE6B38">
        <w:t>is</w:t>
      </w:r>
      <w:r w:rsidR="00DE6B38" w:rsidRPr="00B57F1E">
        <w:t xml:space="preserve"> </w:t>
      </w:r>
      <w:r w:rsidR="00B57F1E" w:rsidRPr="00B57F1E">
        <w:t xml:space="preserve">a lack of data available to confirm this effect in humans through the inhalational route. Therefore, cancer is </w:t>
      </w:r>
      <w:r w:rsidR="00FE77C6">
        <w:t xml:space="preserve">not </w:t>
      </w:r>
      <w:r w:rsidR="00B57F1E" w:rsidRPr="00B57F1E">
        <w:t xml:space="preserve">a critical effect in recommending a TWA. </w:t>
      </w:r>
    </w:p>
    <w:p w14:paraId="0AFA1DC0" w14:textId="1092C438" w:rsidR="00B57F1E" w:rsidRPr="00B57F1E" w:rsidRDefault="00B57F1E" w:rsidP="006639B4">
      <w:pPr>
        <w:rPr>
          <w:rFonts w:cs="Arial"/>
        </w:rPr>
      </w:pPr>
      <w:r>
        <w:lastRenderedPageBreak/>
        <w:t>The TWA of 2 ppm (11 mg/m</w:t>
      </w:r>
      <w:r>
        <w:rPr>
          <w:vertAlign w:val="superscript"/>
        </w:rPr>
        <w:t>3</w:t>
      </w:r>
      <w:r>
        <w:t xml:space="preserve">) </w:t>
      </w:r>
      <w:r w:rsidR="008F5DB9">
        <w:t xml:space="preserve">by ACGIH (2018) </w:t>
      </w:r>
      <w:r>
        <w:t>is recommended</w:t>
      </w:r>
      <w:r w:rsidR="00FE77C6">
        <w:t xml:space="preserve"> to protect for </w:t>
      </w:r>
      <w:proofErr w:type="spellStart"/>
      <w:r w:rsidR="00FE77C6">
        <w:t>methaemoglobinaemia</w:t>
      </w:r>
      <w:proofErr w:type="spellEnd"/>
      <w:r w:rsidR="00FE77C6">
        <w:t xml:space="preserve"> and resultant anoxia and cyanosis</w:t>
      </w:r>
      <w:r w:rsidR="0085274D">
        <w:t>.</w:t>
      </w:r>
    </w:p>
    <w:p w14:paraId="0A92B4FC" w14:textId="1222BBAA" w:rsidR="00857957" w:rsidRDefault="004529F0" w:rsidP="00144708">
      <w:pPr>
        <w:pStyle w:val="Heading2"/>
      </w:pPr>
      <w:r>
        <w:t>Recommendation for notations</w:t>
      </w:r>
    </w:p>
    <w:p w14:paraId="3935EFDA" w14:textId="5D82B4CA" w:rsidR="00454295" w:rsidRPr="00857957" w:rsidRDefault="00454295" w:rsidP="00857957">
      <w:pPr>
        <w:rPr>
          <w:rFonts w:cs="Arial"/>
        </w:rPr>
      </w:pPr>
      <w:r>
        <w:rPr>
          <w:rFonts w:cs="Arial"/>
        </w:rPr>
        <w:t>3-Nitrotoluene and 4-</w:t>
      </w:r>
      <w:r w:rsidR="008B315B">
        <w:rPr>
          <w:rFonts w:cs="Arial"/>
        </w:rPr>
        <w:t>N</w:t>
      </w:r>
      <w:r>
        <w:rPr>
          <w:rFonts w:cs="Arial"/>
        </w:rPr>
        <w:t>itrotoluene are</w:t>
      </w:r>
      <w:r w:rsidRPr="00D87E5D">
        <w:rPr>
          <w:rFonts w:cs="Arial"/>
        </w:rPr>
        <w:t xml:space="preserve"> </w:t>
      </w:r>
      <w:r>
        <w:rPr>
          <w:rFonts w:cs="Arial"/>
        </w:rPr>
        <w:t>not</w:t>
      </w:r>
      <w:r w:rsidRPr="00857957">
        <w:rPr>
          <w:rFonts w:cs="Arial"/>
        </w:rPr>
        <w:t xml:space="preserve"> classified as carcinogen</w:t>
      </w:r>
      <w:r>
        <w:rPr>
          <w:rFonts w:cs="Arial"/>
        </w:rPr>
        <w:t>s</w:t>
      </w:r>
      <w:r w:rsidRPr="00857957">
        <w:rPr>
          <w:rFonts w:cs="Arial"/>
        </w:rPr>
        <w:t xml:space="preserve"> according to the </w:t>
      </w:r>
      <w:r w:rsidR="002742D4" w:rsidRPr="00857957">
        <w:rPr>
          <w:rFonts w:cs="Arial"/>
        </w:rPr>
        <w:t>Globally Harmonised System of Classification and Labelling o</w:t>
      </w:r>
      <w:r w:rsidR="008F5DB9">
        <w:rPr>
          <w:rFonts w:cs="Arial"/>
        </w:rPr>
        <w:t>f</w:t>
      </w:r>
      <w:r w:rsidR="002742D4" w:rsidRPr="00857957">
        <w:rPr>
          <w:rFonts w:cs="Arial"/>
        </w:rPr>
        <w:t xml:space="preserve"> Chemicals (GHS).</w:t>
      </w:r>
    </w:p>
    <w:p w14:paraId="653F62E6" w14:textId="77777777" w:rsidR="00857957" w:rsidRPr="00857957" w:rsidRDefault="00FB0CF5" w:rsidP="00857957">
      <w:pPr>
        <w:rPr>
          <w:rFonts w:cs="Arial"/>
        </w:rPr>
      </w:pPr>
      <w:r>
        <w:rPr>
          <w:rFonts w:cs="Arial"/>
        </w:rPr>
        <w:t>N</w:t>
      </w:r>
      <w:r w:rsidR="005C57B9">
        <w:rPr>
          <w:rFonts w:cs="Arial"/>
        </w:rPr>
        <w:t xml:space="preserve">ot </w:t>
      </w:r>
      <w:r w:rsidR="00857957" w:rsidRPr="00857957">
        <w:rPr>
          <w:rFonts w:cs="Arial"/>
        </w:rPr>
        <w:t xml:space="preserve">classified as a skin </w:t>
      </w:r>
      <w:r>
        <w:rPr>
          <w:rFonts w:cs="Arial"/>
        </w:rPr>
        <w:t xml:space="preserve">sensitiser </w:t>
      </w:r>
      <w:r w:rsidR="005C57B9">
        <w:rPr>
          <w:rFonts w:cs="Arial"/>
        </w:rPr>
        <w:t xml:space="preserve">or respiratory </w:t>
      </w:r>
      <w:r w:rsidR="00857957" w:rsidRPr="00857957">
        <w:rPr>
          <w:rFonts w:cs="Arial"/>
        </w:rPr>
        <w:t>sensitiser according to the GHS.</w:t>
      </w:r>
    </w:p>
    <w:p w14:paraId="4BC1F030" w14:textId="77777777" w:rsidR="00D01EA7" w:rsidRPr="004C23F4" w:rsidRDefault="00D01EA7" w:rsidP="00D01EA7">
      <w:pPr>
        <w:keepNext/>
        <w:rPr>
          <w:rFonts w:cs="Arial"/>
        </w:rPr>
      </w:pPr>
      <w:r>
        <w:rPr>
          <w:rFonts w:cs="Arial"/>
        </w:rPr>
        <w:t>A skin notation is recommended due to evidence of dermal absorption and contribution to adverse systemic effects and by analogy to structurally similar chemicals.</w:t>
      </w:r>
    </w:p>
    <w:p w14:paraId="6A284B16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6D5692E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430C98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31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62"/>
      </w:tblGrid>
      <w:tr w:rsidR="00C978F0" w:rsidRPr="00DA352E" w14:paraId="25F7C786" w14:textId="77777777" w:rsidTr="00552276">
        <w:trPr>
          <w:trHeight w:val="393"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EB0F6C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BE7E2C6" w14:textId="77777777" w:rsidTr="00552276">
        <w:tc>
          <w:tcPr>
            <w:tcW w:w="5000" w:type="pct"/>
            <w:shd w:val="clear" w:color="auto" w:fill="F2F2F2" w:themeFill="background1" w:themeFillShade="F2"/>
          </w:tcPr>
          <w:p w14:paraId="2DAE1EFF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showingPlcHdr/>
                <w:text/>
              </w:sdtPr>
              <w:sdtEndPr/>
              <w:sdtContent>
                <w:r>
                  <w:rPr>
                    <w:rStyle w:val="PlaceholderText"/>
                    <w:i w:val="0"/>
                  </w:rPr>
                  <w:t>Y</w:t>
                </w:r>
                <w:r w:rsidRPr="003365A5">
                  <w:rPr>
                    <w:rStyle w:val="PlaceholderText"/>
                    <w:i w:val="0"/>
                  </w:rPr>
                  <w:t>ear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762DD2">
                  <w:t>TWA: 2 ppm (11</w:t>
                </w:r>
                <w:r w:rsidR="006A1945">
                  <w:t xml:space="preserve"> </w:t>
                </w:r>
                <w:r w:rsidR="00762DD2">
                  <w:t>mg/m</w:t>
                </w:r>
                <w:r w:rsidR="00762DD2">
                  <w:rPr>
                    <w:vertAlign w:val="superscript"/>
                  </w:rPr>
                  <w:t>3</w:t>
                </w:r>
                <w:r w:rsidR="00762DD2">
                  <w:t>)</w:t>
                </w:r>
              </w:sdtContent>
            </w:sdt>
          </w:p>
        </w:tc>
      </w:tr>
      <w:tr w:rsidR="00C978F0" w:rsidRPr="00DA352E" w14:paraId="6C9C5B6B" w14:textId="77777777" w:rsidTr="00552276">
        <w:tc>
          <w:tcPr>
            <w:tcW w:w="5000" w:type="pct"/>
          </w:tcPr>
          <w:p w14:paraId="73BCAD3B" w14:textId="77777777" w:rsidR="00C978F0" w:rsidRDefault="00EA7549" w:rsidP="003365A5">
            <w:pPr>
              <w:pStyle w:val="Tabletextprimarysource"/>
            </w:pPr>
            <w:r>
              <w:t xml:space="preserve">TWA for </w:t>
            </w:r>
            <w:r w:rsidR="000D74AE">
              <w:t>3-</w:t>
            </w:r>
            <w:r w:rsidRPr="00EA7549">
              <w:t>Nitrotoluene</w:t>
            </w:r>
            <w:r>
              <w:t xml:space="preserve"> (</w:t>
            </w:r>
            <w:r w:rsidR="000D74AE">
              <w:t>99-08-1</w:t>
            </w:r>
            <w:r>
              <w:t>)</w:t>
            </w:r>
            <w:r w:rsidR="000D74AE">
              <w:t xml:space="preserve"> and 4-Nitrotoluene (99-99-0).</w:t>
            </w:r>
          </w:p>
          <w:p w14:paraId="59F37A01" w14:textId="3A51EB4D" w:rsidR="008F5DB9" w:rsidRPr="00DA352E" w:rsidRDefault="008F5DB9" w:rsidP="003365A5">
            <w:pPr>
              <w:pStyle w:val="Tabletextprimarysource"/>
            </w:pPr>
          </w:p>
        </w:tc>
      </w:tr>
      <w:tr w:rsidR="00C978F0" w:rsidRPr="00DA352E" w14:paraId="59E25C54" w14:textId="77777777" w:rsidTr="00552276">
        <w:tc>
          <w:tcPr>
            <w:tcW w:w="5000" w:type="pct"/>
            <w:shd w:val="clear" w:color="auto" w:fill="F2F2F2" w:themeFill="background1" w:themeFillShade="F2"/>
          </w:tcPr>
          <w:p w14:paraId="456BF6A8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762DD2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1194112592"/>
                    <w:placeholder>
                      <w:docPart w:val="52487D2DE58448BB95AC3F4347567CDA"/>
                    </w:placeholder>
                  </w:sdtPr>
                  <w:sdtEndPr/>
                  <w:sdtContent>
                    <w:r w:rsidR="00762DD2">
                      <w:t>TLV-TWA: 2 ppm (11</w:t>
                    </w:r>
                    <w:r w:rsidR="006A1945">
                      <w:t xml:space="preserve"> </w:t>
                    </w:r>
                    <w:r w:rsidR="00762DD2">
                      <w:t>mg/m</w:t>
                    </w:r>
                    <w:r w:rsidR="00762DD2">
                      <w:rPr>
                        <w:vertAlign w:val="superscript"/>
                      </w:rPr>
                      <w:t>3</w:t>
                    </w:r>
                    <w:r w:rsidR="00762DD2">
                      <w:t>)</w:t>
                    </w:r>
                  </w:sdtContent>
                </w:sdt>
              </w:sdtContent>
            </w:sdt>
          </w:p>
        </w:tc>
      </w:tr>
      <w:tr w:rsidR="00C978F0" w:rsidRPr="00DA352E" w14:paraId="4082FED8" w14:textId="77777777" w:rsidTr="00552276">
        <w:tc>
          <w:tcPr>
            <w:tcW w:w="5000" w:type="pct"/>
          </w:tcPr>
          <w:p w14:paraId="5BFCDF6D" w14:textId="69A3D9C1" w:rsidR="00C978F0" w:rsidRDefault="00762DD2" w:rsidP="003365A5">
            <w:pPr>
              <w:pStyle w:val="Tabletextprimarysource"/>
            </w:pPr>
            <w:r>
              <w:t xml:space="preserve">TLV-TWA recommended for </w:t>
            </w:r>
            <w:r w:rsidR="006B6783">
              <w:t>the isomers of nitrotoluene (3-Nitrotoluene &amp; 4</w:t>
            </w:r>
            <w:r w:rsidR="0025081D">
              <w:noBreakHyphen/>
            </w:r>
            <w:r w:rsidR="006B6783">
              <w:t>Nitrotoluene)</w:t>
            </w:r>
            <w:r w:rsidR="00D63AA0">
              <w:t xml:space="preserve"> is </w:t>
            </w:r>
            <w:r w:rsidR="006B6783">
              <w:t xml:space="preserve">intended to protect against </w:t>
            </w:r>
            <w:proofErr w:type="spellStart"/>
            <w:r w:rsidR="00DE6B38">
              <w:t>methaemoglobinaemia</w:t>
            </w:r>
            <w:proofErr w:type="spellEnd"/>
            <w:r w:rsidR="006B6783">
              <w:t xml:space="preserve"> and resultant anoxia and cyanosis</w:t>
            </w:r>
            <w:r w:rsidR="00E54A0C">
              <w:t>.</w:t>
            </w:r>
          </w:p>
          <w:p w14:paraId="0F143B6E" w14:textId="58492824" w:rsidR="00E54A0C" w:rsidRDefault="00E54A0C" w:rsidP="003365A5">
            <w:pPr>
              <w:pStyle w:val="Tabletextprimarysource"/>
            </w:pPr>
            <w:r>
              <w:t xml:space="preserve">Summary of </w:t>
            </w:r>
            <w:r w:rsidR="005A5054">
              <w:t>data</w:t>
            </w:r>
            <w:r>
              <w:t>:</w:t>
            </w:r>
          </w:p>
          <w:p w14:paraId="0995CB44" w14:textId="3347E3AD" w:rsidR="00074B75" w:rsidRDefault="00074B75" w:rsidP="00CE0616">
            <w:pPr>
              <w:pStyle w:val="ListBullet"/>
              <w:spacing w:before="60" w:after="60"/>
              <w:contextualSpacing w:val="0"/>
            </w:pPr>
            <w:r>
              <w:t>Review of ortho-meta, and para isomers of nitrotoluene</w:t>
            </w:r>
            <w:r w:rsidR="00F018C4">
              <w:t xml:space="preserve">. </w:t>
            </w:r>
            <w:r>
              <w:t>TLV set by analogy to the TLV for aniline</w:t>
            </w:r>
            <w:r w:rsidR="0025081D">
              <w:t>.</w:t>
            </w:r>
          </w:p>
          <w:p w14:paraId="1638B4D8" w14:textId="77777777" w:rsidR="00E54A0C" w:rsidRDefault="00E54A0C" w:rsidP="005A5054">
            <w:pPr>
              <w:pStyle w:val="Tabletextprimarysource"/>
            </w:pPr>
            <w:r>
              <w:t>Human data</w:t>
            </w:r>
            <w:r w:rsidR="005A5054">
              <w:t>:</w:t>
            </w:r>
          </w:p>
          <w:p w14:paraId="187E79B2" w14:textId="0B4B5907" w:rsidR="00E54A0C" w:rsidRDefault="00074B75" w:rsidP="00CE0616">
            <w:pPr>
              <w:pStyle w:val="ListBullet"/>
              <w:numPr>
                <w:ilvl w:val="0"/>
                <w:numId w:val="9"/>
              </w:numPr>
              <w:spacing w:before="60" w:after="60"/>
              <w:ind w:left="714" w:hanging="357"/>
              <w:contextualSpacing w:val="0"/>
            </w:pPr>
            <w:r>
              <w:t>Exposure to all isomers has potential for induction of</w:t>
            </w:r>
            <w:r w:rsidR="00E54A0C">
              <w:t xml:space="preserve"> meth</w:t>
            </w:r>
            <w:r w:rsidR="00FB0CF5">
              <w:t>a</w:t>
            </w:r>
            <w:r w:rsidR="00E54A0C">
              <w:t>emoglobin as aromatic, nitrogen-containing compounds</w:t>
            </w:r>
          </w:p>
          <w:p w14:paraId="470F501F" w14:textId="77777777" w:rsidR="00804DA2" w:rsidRDefault="00804DA2" w:rsidP="00CE0616">
            <w:pPr>
              <w:pStyle w:val="ListBullet"/>
              <w:numPr>
                <w:ilvl w:val="0"/>
                <w:numId w:val="9"/>
              </w:numPr>
              <w:spacing w:before="60" w:after="60"/>
              <w:ind w:left="714" w:hanging="357"/>
              <w:contextualSpacing w:val="0"/>
            </w:pPr>
            <w:r>
              <w:t>Cases of poisoning not common</w:t>
            </w:r>
          </w:p>
          <w:p w14:paraId="3181806A" w14:textId="53259DED" w:rsidR="00887F69" w:rsidRDefault="00804DA2" w:rsidP="00CE0616">
            <w:pPr>
              <w:pStyle w:val="ListBullet"/>
              <w:numPr>
                <w:ilvl w:val="0"/>
                <w:numId w:val="9"/>
              </w:numPr>
              <w:spacing w:before="60" w:after="60"/>
              <w:ind w:left="714" w:hanging="357"/>
              <w:contextualSpacing w:val="0"/>
            </w:pPr>
            <w:r>
              <w:t>Consi</w:t>
            </w:r>
            <w:r w:rsidR="00887F69">
              <w:t xml:space="preserve">dered only slightly toxic; relatively low in </w:t>
            </w:r>
            <w:proofErr w:type="spellStart"/>
            <w:r w:rsidR="00887F69">
              <w:t>an</w:t>
            </w:r>
            <w:r w:rsidR="00DE6B38">
              <w:t>a</w:t>
            </w:r>
            <w:r w:rsidR="00887F69">
              <w:t>emiagenic</w:t>
            </w:r>
            <w:proofErr w:type="spellEnd"/>
            <w:r w:rsidR="00887F69">
              <w:t xml:space="preserve"> potential </w:t>
            </w:r>
          </w:p>
          <w:p w14:paraId="50284377" w14:textId="77777777" w:rsidR="00804DA2" w:rsidRDefault="00887F69" w:rsidP="00CE0616">
            <w:pPr>
              <w:pStyle w:val="ListBullet"/>
              <w:numPr>
                <w:ilvl w:val="0"/>
                <w:numId w:val="9"/>
              </w:numPr>
              <w:spacing w:before="60" w:after="60"/>
              <w:ind w:left="714" w:hanging="357"/>
              <w:contextualSpacing w:val="0"/>
            </w:pPr>
            <w:r>
              <w:t xml:space="preserve">Considered </w:t>
            </w:r>
            <w:r w:rsidR="00AB5FB6">
              <w:t>1</w:t>
            </w:r>
            <w:r>
              <w:t>-nitrotoluene to present a lesser hazard than the other isomers</w:t>
            </w:r>
          </w:p>
          <w:p w14:paraId="33B107B8" w14:textId="0606B0FD" w:rsidR="00804DA2" w:rsidRDefault="00804DA2" w:rsidP="00CE0616">
            <w:pPr>
              <w:pStyle w:val="ListBullet"/>
              <w:numPr>
                <w:ilvl w:val="0"/>
                <w:numId w:val="9"/>
              </w:numPr>
              <w:spacing w:before="60" w:after="60"/>
              <w:ind w:left="714" w:hanging="357"/>
              <w:contextualSpacing w:val="0"/>
            </w:pPr>
            <w:r>
              <w:t>TLV-TWA based on</w:t>
            </w:r>
            <w:r w:rsidR="00887F69">
              <w:t xml:space="preserve"> recommendations from </w:t>
            </w:r>
            <w:r w:rsidR="00AD1E41">
              <w:t>a study suggesting</w:t>
            </w:r>
            <w:r w:rsidR="00887F69">
              <w:t xml:space="preserve"> TLV of 5 ppm for the </w:t>
            </w:r>
            <w:r w:rsidR="002846D7">
              <w:t>3</w:t>
            </w:r>
            <w:r w:rsidR="0025081D">
              <w:noBreakHyphen/>
            </w:r>
            <w:r w:rsidR="002846D7">
              <w:t xml:space="preserve">Nitrotoluene &amp; 4-Nitrotoluene; </w:t>
            </w:r>
            <w:r w:rsidR="00887F69">
              <w:t>which in turn was based on</w:t>
            </w:r>
            <w:r>
              <w:t xml:space="preserve"> TLV-TWA for aniline</w:t>
            </w:r>
            <w:r w:rsidR="00887F69">
              <w:t xml:space="preserve"> at the time; no further information</w:t>
            </w:r>
            <w:r w:rsidR="00FB0CF5">
              <w:t>.</w:t>
            </w:r>
          </w:p>
          <w:p w14:paraId="2981EF5E" w14:textId="77777777" w:rsidR="00804DA2" w:rsidRDefault="00804DA2" w:rsidP="005A5054">
            <w:pPr>
              <w:pStyle w:val="Tabletextprimarysource"/>
            </w:pPr>
            <w:r>
              <w:t>Animal</w:t>
            </w:r>
            <w:r w:rsidR="005A5054">
              <w:t xml:space="preserve"> data:</w:t>
            </w:r>
          </w:p>
          <w:p w14:paraId="78C8B499" w14:textId="323B45AC" w:rsidR="005A5054" w:rsidRDefault="00B96753" w:rsidP="00CE0616">
            <w:pPr>
              <w:pStyle w:val="ListBullet"/>
              <w:numPr>
                <w:ilvl w:val="0"/>
                <w:numId w:val="10"/>
              </w:numPr>
              <w:spacing w:before="60" w:after="60"/>
              <w:ind w:left="714" w:hanging="357"/>
              <w:contextualSpacing w:val="0"/>
            </w:pPr>
            <w:r>
              <w:t>Comparative study of nitrotoluene isomers</w:t>
            </w:r>
            <w:r w:rsidR="005A5054">
              <w:t xml:space="preserve">; 0, 625, 1,250, 2,500, 5,000 or 10,000 ppm in the diet of rats and mice for 13 </w:t>
            </w:r>
            <w:proofErr w:type="spellStart"/>
            <w:r w:rsidR="008A435A">
              <w:t>wk</w:t>
            </w:r>
            <w:proofErr w:type="spellEnd"/>
            <w:r w:rsidR="008971B7">
              <w:t>:</w:t>
            </w:r>
          </w:p>
          <w:p w14:paraId="23BF4B5B" w14:textId="5F2553CD" w:rsidR="005A5054" w:rsidRDefault="005A5054" w:rsidP="00CE0616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3-Nitrotoluene: 625 ppm produced renal damage in male rats; </w:t>
            </w:r>
            <w:r>
              <w:rPr>
                <w:rFonts w:cs="Arial"/>
              </w:rPr>
              <w:t>≥</w:t>
            </w:r>
            <w:r>
              <w:t>2,500 ppm histopathologic damage in the spleens of the male and female rats; no effects in mice</w:t>
            </w:r>
          </w:p>
          <w:p w14:paraId="7CBA972E" w14:textId="77777777" w:rsidR="005A5054" w:rsidRDefault="000B3FA2" w:rsidP="00CE0616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4-Nitr</w:t>
            </w:r>
            <w:r w:rsidR="005A5054">
              <w:t>o</w:t>
            </w:r>
            <w:r w:rsidR="008971B7">
              <w:t>to</w:t>
            </w:r>
            <w:r w:rsidR="005A5054">
              <w:t xml:space="preserve">luene: </w:t>
            </w:r>
            <w:r w:rsidR="00B96753">
              <w:t xml:space="preserve">10,000 ppm </w:t>
            </w:r>
            <w:proofErr w:type="spellStart"/>
            <w:r w:rsidR="00FB0CF5">
              <w:t>bw</w:t>
            </w:r>
            <w:proofErr w:type="spellEnd"/>
            <w:r w:rsidR="00B96753">
              <w:t xml:space="preserve"> depression in both species; all dose</w:t>
            </w:r>
            <w:r w:rsidR="00FB0CF5">
              <w:t>s</w:t>
            </w:r>
            <w:r w:rsidR="00B96753">
              <w:t xml:space="preserve"> caused significant lesions in rat kidney and spleen; histopathologic changes in mice</w:t>
            </w:r>
          </w:p>
          <w:p w14:paraId="1D46B799" w14:textId="2327CDE1" w:rsidR="00B96753" w:rsidRDefault="00B96753" w:rsidP="00CE0616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all isomers associated with impaired testicular function </w:t>
            </w:r>
            <w:r w:rsidR="000B3FA2">
              <w:t xml:space="preserve">and increased length of the oestrus cycle in </w:t>
            </w:r>
            <w:proofErr w:type="gramStart"/>
            <w:r w:rsidR="000B3FA2">
              <w:t>rats</w:t>
            </w:r>
            <w:proofErr w:type="gramEnd"/>
            <w:r w:rsidR="000B3FA2">
              <w:t xml:space="preserve"> </w:t>
            </w:r>
            <w:r w:rsidR="00690981">
              <w:t xml:space="preserve">but </w:t>
            </w:r>
            <w:r w:rsidR="000B3FA2">
              <w:t xml:space="preserve">no reproductive effects </w:t>
            </w:r>
            <w:r w:rsidR="00690981">
              <w:t xml:space="preserve">observed </w:t>
            </w:r>
            <w:r w:rsidR="000B3FA2">
              <w:t>in mice</w:t>
            </w:r>
            <w:r w:rsidR="00FB0CF5">
              <w:t>.</w:t>
            </w:r>
          </w:p>
          <w:p w14:paraId="3CFE3409" w14:textId="77777777" w:rsidR="000B3FA2" w:rsidRDefault="000B3FA2" w:rsidP="000B3FA2">
            <w:pPr>
              <w:pStyle w:val="Tabletextprimarysource"/>
            </w:pPr>
            <w:r>
              <w:t>Genotoxicity</w:t>
            </w:r>
          </w:p>
          <w:p w14:paraId="7F1F13BC" w14:textId="360CCDBB" w:rsidR="004F095B" w:rsidRDefault="008971B7" w:rsidP="00CE0616">
            <w:pPr>
              <w:pStyle w:val="ListBullet"/>
              <w:numPr>
                <w:ilvl w:val="0"/>
                <w:numId w:val="10"/>
              </w:numPr>
              <w:spacing w:before="60" w:after="60"/>
              <w:ind w:left="714" w:hanging="357"/>
              <w:contextualSpacing w:val="0"/>
            </w:pPr>
            <w:r>
              <w:t>T</w:t>
            </w:r>
            <w:r w:rsidR="00995D5E">
              <w:t xml:space="preserve">hree isomers not mutagenic in </w:t>
            </w:r>
            <w:r w:rsidR="000B3FA2" w:rsidRPr="003811F3">
              <w:rPr>
                <w:i/>
              </w:rPr>
              <w:t>S.</w:t>
            </w:r>
            <w:r w:rsidR="00995D5E" w:rsidRPr="003811F3">
              <w:rPr>
                <w:i/>
              </w:rPr>
              <w:t xml:space="preserve"> typhimurium</w:t>
            </w:r>
            <w:r w:rsidR="00995D5E" w:rsidRPr="000B3FA2">
              <w:t xml:space="preserve"> </w:t>
            </w:r>
            <w:r w:rsidR="00995D5E">
              <w:t>strains</w:t>
            </w:r>
            <w:r w:rsidR="000B3FA2">
              <w:t xml:space="preserve"> TA100, TA1535, TA1537 and TA98</w:t>
            </w:r>
          </w:p>
          <w:p w14:paraId="664504A9" w14:textId="77777777" w:rsidR="000B3FA2" w:rsidRDefault="000B3FA2" w:rsidP="00CE0616">
            <w:pPr>
              <w:pStyle w:val="ListBullet"/>
              <w:numPr>
                <w:ilvl w:val="0"/>
                <w:numId w:val="10"/>
              </w:numPr>
              <w:spacing w:before="60" w:after="60"/>
              <w:ind w:left="714" w:hanging="357"/>
              <w:contextualSpacing w:val="0"/>
            </w:pPr>
            <w:r>
              <w:t>4-Nitro</w:t>
            </w:r>
            <w:r w:rsidR="008971B7">
              <w:t>tolu</w:t>
            </w:r>
            <w:r>
              <w:t>ene caused mutations in mouse lymphoma L5178Y test with metabolic activation</w:t>
            </w:r>
          </w:p>
          <w:p w14:paraId="00D0C0DC" w14:textId="59AED08D" w:rsidR="000B3FA2" w:rsidRDefault="00144708" w:rsidP="00CE0616">
            <w:pPr>
              <w:pStyle w:val="ListBullet"/>
              <w:numPr>
                <w:ilvl w:val="0"/>
                <w:numId w:val="10"/>
              </w:numPr>
              <w:spacing w:before="60" w:after="60"/>
              <w:ind w:left="714" w:hanging="357"/>
              <w:contextualSpacing w:val="0"/>
            </w:pPr>
            <w:r>
              <w:t>U</w:t>
            </w:r>
            <w:r w:rsidR="00074B75">
              <w:t>nscheduled DNA synthesis not increased in</w:t>
            </w:r>
            <w:r w:rsidR="00A716F9">
              <w:t xml:space="preserve"> male rats given 3-Nitrotoluene or 4</w:t>
            </w:r>
            <w:r w:rsidR="0025081D">
              <w:noBreakHyphen/>
            </w:r>
            <w:r w:rsidR="00A716F9">
              <w:t>Nitrotoluene</w:t>
            </w:r>
          </w:p>
          <w:p w14:paraId="2A8D592B" w14:textId="1EDCD8ED" w:rsidR="00074B75" w:rsidRDefault="00074B75" w:rsidP="00CE0616">
            <w:pPr>
              <w:pStyle w:val="ListBullet"/>
              <w:numPr>
                <w:ilvl w:val="0"/>
                <w:numId w:val="10"/>
              </w:numPr>
              <w:spacing w:before="60" w:after="60"/>
              <w:ind w:left="714" w:hanging="357"/>
              <w:contextualSpacing w:val="0"/>
            </w:pPr>
            <w:r>
              <w:t>Nitrotoluene induced s-phase DNA synthesis in hepatocytes of rats but not in those of mice</w:t>
            </w:r>
            <w:r w:rsidR="008652B0">
              <w:t>.</w:t>
            </w:r>
          </w:p>
          <w:p w14:paraId="20A94CAA" w14:textId="77777777" w:rsidR="00E4737B" w:rsidRDefault="00E4737B" w:rsidP="00242627">
            <w:pPr>
              <w:pStyle w:val="Tabletextprimarysource"/>
            </w:pPr>
          </w:p>
          <w:p w14:paraId="2091EFAB" w14:textId="12AA0C5F" w:rsidR="00242627" w:rsidRDefault="00D01EA7" w:rsidP="00242627">
            <w:pPr>
              <w:pStyle w:val="Tabletextprimarysource"/>
            </w:pPr>
            <w:r>
              <w:t xml:space="preserve">Skin notation assigned due to structural analogy to aniline and nitrobenzene. </w:t>
            </w:r>
            <w:r w:rsidR="00242627">
              <w:t>Insufficient data to recommend sensitiser or carcinogenicity notations or a TLV-STEL.</w:t>
            </w:r>
          </w:p>
          <w:p w14:paraId="638355E4" w14:textId="1C0FADF9" w:rsidR="00E4737B" w:rsidRPr="00DA352E" w:rsidRDefault="00E4737B" w:rsidP="00242627">
            <w:pPr>
              <w:pStyle w:val="Tabletextprimarysource"/>
            </w:pPr>
          </w:p>
        </w:tc>
      </w:tr>
      <w:tr w:rsidR="00C978F0" w:rsidRPr="00DA352E" w14:paraId="0FE1E69D" w14:textId="77777777" w:rsidTr="00552276">
        <w:tc>
          <w:tcPr>
            <w:tcW w:w="5000" w:type="pct"/>
            <w:shd w:val="clear" w:color="auto" w:fill="F2F2F2" w:themeFill="background1" w:themeFillShade="F2"/>
          </w:tcPr>
          <w:p w14:paraId="7C7782CD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6106AC">
                  <w:t>1993</w:t>
                </w:r>
              </w:sdtContent>
            </w:sdt>
            <w:r w:rsidR="00B04B91">
              <w:t xml:space="preserve"> / 2006</w:t>
            </w:r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6106AC">
                  <w:t>MAK: NA</w:t>
                </w:r>
              </w:sdtContent>
            </w:sdt>
          </w:p>
        </w:tc>
      </w:tr>
      <w:tr w:rsidR="00C978F0" w:rsidRPr="00DA352E" w14:paraId="04BE1C98" w14:textId="77777777" w:rsidTr="00552276">
        <w:tc>
          <w:tcPr>
            <w:tcW w:w="5000" w:type="pct"/>
          </w:tcPr>
          <w:p w14:paraId="6858DD7D" w14:textId="77777777" w:rsidR="00C978F0" w:rsidRDefault="006106AC" w:rsidP="003365A5">
            <w:pPr>
              <w:pStyle w:val="Tabletextprimarysource"/>
            </w:pPr>
            <w:r>
              <w:t xml:space="preserve">No MAK value </w:t>
            </w:r>
            <w:r w:rsidR="0070363D">
              <w:t xml:space="preserve">recommended </w:t>
            </w:r>
            <w:r w:rsidR="00EA7549">
              <w:t>due</w:t>
            </w:r>
            <w:r w:rsidR="0070363D">
              <w:t xml:space="preserve"> </w:t>
            </w:r>
            <w:r w:rsidR="00242627">
              <w:t xml:space="preserve">demonstrated </w:t>
            </w:r>
            <w:r w:rsidR="0070363D">
              <w:t>carcinogenic</w:t>
            </w:r>
            <w:r w:rsidR="00242627">
              <w:t>ity in animals</w:t>
            </w:r>
            <w:r w:rsidR="008971B7">
              <w:t>.</w:t>
            </w:r>
          </w:p>
          <w:p w14:paraId="1C4F0252" w14:textId="578BE0F6" w:rsidR="008A435A" w:rsidRPr="008A435A" w:rsidRDefault="008A435A" w:rsidP="008A435A">
            <w:pPr>
              <w:pStyle w:val="Tabletextprimarysource"/>
              <w:rPr>
                <w:b/>
              </w:rPr>
            </w:pPr>
            <w:r>
              <w:rPr>
                <w:b/>
              </w:rPr>
              <w:t>3</w:t>
            </w:r>
            <w:r w:rsidRPr="008A435A">
              <w:rPr>
                <w:b/>
              </w:rPr>
              <w:t>-Nitrotoluene:</w:t>
            </w:r>
          </w:p>
          <w:p w14:paraId="1E18C295" w14:textId="77777777" w:rsidR="00D63560" w:rsidRDefault="00D63560" w:rsidP="00CE0616">
            <w:pPr>
              <w:pStyle w:val="ListBullet"/>
              <w:numPr>
                <w:ilvl w:val="0"/>
                <w:numId w:val="11"/>
              </w:numPr>
              <w:spacing w:before="60" w:after="60"/>
              <w:ind w:left="714" w:hanging="357"/>
              <w:contextualSpacing w:val="0"/>
            </w:pPr>
            <w:r>
              <w:t>O</w:t>
            </w:r>
            <w:r w:rsidRPr="00D63560">
              <w:t xml:space="preserve">dour threshold </w:t>
            </w:r>
            <w:r>
              <w:t>in humans</w:t>
            </w:r>
            <w:r w:rsidRPr="00D63560">
              <w:t xml:space="preserve"> 0.045</w:t>
            </w:r>
            <w:r>
              <w:t xml:space="preserve"> ppm</w:t>
            </w:r>
          </w:p>
          <w:p w14:paraId="36ED89D9" w14:textId="77777777" w:rsidR="00D63560" w:rsidRDefault="00D63560" w:rsidP="00CE0616">
            <w:pPr>
              <w:pStyle w:val="ListBullet"/>
              <w:numPr>
                <w:ilvl w:val="0"/>
                <w:numId w:val="11"/>
              </w:numPr>
              <w:spacing w:before="60" w:after="60"/>
              <w:ind w:left="714" w:hanging="357"/>
              <w:contextualSpacing w:val="0"/>
            </w:pPr>
            <w:r>
              <w:lastRenderedPageBreak/>
              <w:t>Low acute toxicity</w:t>
            </w:r>
          </w:p>
          <w:p w14:paraId="51CE1AC1" w14:textId="3E964D67" w:rsidR="00D63560" w:rsidRPr="00D63560" w:rsidRDefault="00D63560" w:rsidP="00CE0616">
            <w:pPr>
              <w:pStyle w:val="ListBullet"/>
              <w:numPr>
                <w:ilvl w:val="0"/>
                <w:numId w:val="11"/>
              </w:numPr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Single occlusive application at 1,157 mg/kg on the ski</w:t>
            </w:r>
            <w:r w:rsidR="00B04B91">
              <w:rPr>
                <w:rFonts w:cs="Arial"/>
                <w:color w:val="1C1D1E"/>
                <w:shd w:val="clear" w:color="auto" w:fill="FFFFFF"/>
              </w:rPr>
              <w:t>n of male and female rats; 24 h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caused poor general condition but no deaths </w:t>
            </w:r>
          </w:p>
          <w:p w14:paraId="6AE53E8B" w14:textId="77777777" w:rsidR="00D63560" w:rsidRPr="006A1945" w:rsidRDefault="00D63560" w:rsidP="00CE0616">
            <w:pPr>
              <w:pStyle w:val="ListBullet"/>
              <w:numPr>
                <w:ilvl w:val="0"/>
                <w:numId w:val="11"/>
              </w:numPr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Slightly increased res</w:t>
            </w:r>
            <w:r w:rsidR="00B04B91">
              <w:rPr>
                <w:rFonts w:cs="Arial"/>
                <w:color w:val="1C1D1E"/>
                <w:shd w:val="clear" w:color="auto" w:fill="FFFFFF"/>
              </w:rPr>
              <w:t>piration rate in 1 rabbit, 50 h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after single occlusive application at 532 mg/kg</w:t>
            </w:r>
          </w:p>
          <w:p w14:paraId="7DD79894" w14:textId="272440D6" w:rsidR="008652B0" w:rsidRPr="00D63560" w:rsidRDefault="006A1945" w:rsidP="00CE0616">
            <w:pPr>
              <w:pStyle w:val="ListBullet"/>
              <w:numPr>
                <w:ilvl w:val="0"/>
                <w:numId w:val="11"/>
              </w:numPr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Model calculated dermal absorption of 0.006 mg/cm</w:t>
            </w:r>
            <w:r w:rsidR="00B04B91" w:rsidRPr="00B04B91">
              <w:rPr>
                <w:rFonts w:cs="Arial"/>
                <w:color w:val="1C1D1E"/>
                <w:shd w:val="clear" w:color="auto" w:fill="FFFFFF"/>
                <w:vertAlign w:val="superscript"/>
              </w:rPr>
              <w:t>2</w:t>
            </w:r>
            <w:r>
              <w:rPr>
                <w:rFonts w:cs="Arial"/>
                <w:color w:val="1C1D1E"/>
                <w:shd w:val="clear" w:color="auto" w:fill="FFFFFF"/>
              </w:rPr>
              <w:t>/h</w:t>
            </w:r>
          </w:p>
          <w:p w14:paraId="6CC2752E" w14:textId="38491332" w:rsidR="008652B0" w:rsidRDefault="00074B75" w:rsidP="00CE0616">
            <w:pPr>
              <w:pStyle w:val="ListBullet"/>
              <w:numPr>
                <w:ilvl w:val="0"/>
                <w:numId w:val="11"/>
              </w:numPr>
              <w:spacing w:before="60" w:after="60"/>
              <w:ind w:left="714" w:hanging="357"/>
              <w:contextualSpacing w:val="0"/>
            </w:pPr>
            <w:r w:rsidRPr="008652B0">
              <w:rPr>
                <w:rFonts w:cs="Arial"/>
                <w:color w:val="1C1D1E"/>
                <w:shd w:val="clear" w:color="auto" w:fill="FFFFFF"/>
              </w:rPr>
              <w:t>No carcinogenicity study with 3</w:t>
            </w:r>
            <w:r w:rsidRPr="008652B0">
              <w:rPr>
                <w:rFonts w:ascii="Cambria Math" w:hAnsi="Cambria Math" w:cs="Cambria Math"/>
                <w:color w:val="1C1D1E"/>
                <w:shd w:val="clear" w:color="auto" w:fill="FFFFFF"/>
              </w:rPr>
              <w:t>‐</w:t>
            </w:r>
            <w:r w:rsidRPr="008652B0">
              <w:rPr>
                <w:rFonts w:cs="Arial"/>
                <w:color w:val="1C1D1E"/>
                <w:shd w:val="clear" w:color="auto" w:fill="FFFFFF"/>
              </w:rPr>
              <w:t>nitrotoluene available</w:t>
            </w:r>
            <w:r w:rsidR="00DE6B38">
              <w:t xml:space="preserve">: </w:t>
            </w:r>
            <w:r>
              <w:t>however</w:t>
            </w:r>
            <w:r w:rsidR="00DE6B38">
              <w:t>,</w:t>
            </w:r>
            <w:r>
              <w:t xml:space="preserve"> it is </w:t>
            </w:r>
            <w:r w:rsidR="00144708">
              <w:t>c</w:t>
            </w:r>
            <w:r w:rsidR="00D63560" w:rsidRPr="008652B0">
              <w:rPr>
                <w:rFonts w:cs="Arial"/>
                <w:color w:val="1C1D1E"/>
                <w:shd w:val="clear" w:color="auto" w:fill="FFFFFF"/>
              </w:rPr>
              <w:t>lassified analogous to 4</w:t>
            </w:r>
            <w:r w:rsidR="00D63560" w:rsidRPr="008652B0">
              <w:rPr>
                <w:rFonts w:ascii="Cambria Math" w:hAnsi="Cambria Math" w:cs="Cambria Math"/>
                <w:color w:val="1C1D1E"/>
                <w:shd w:val="clear" w:color="auto" w:fill="FFFFFF"/>
              </w:rPr>
              <w:t>‐</w:t>
            </w:r>
            <w:r w:rsidR="00D63560" w:rsidRPr="008652B0">
              <w:rPr>
                <w:rFonts w:cs="Arial"/>
                <w:color w:val="1C1D1E"/>
                <w:shd w:val="clear" w:color="auto" w:fill="FFFFFF"/>
              </w:rPr>
              <w:t xml:space="preserve">nitrotoluene in </w:t>
            </w:r>
            <w:r w:rsidR="00144708">
              <w:t>c</w:t>
            </w:r>
            <w:r w:rsidR="00D63560">
              <w:t xml:space="preserve">arcinogen </w:t>
            </w:r>
            <w:r w:rsidR="00144708" w:rsidRPr="008652B0">
              <w:rPr>
                <w:rFonts w:cs="Arial"/>
                <w:color w:val="1C1D1E"/>
                <w:shd w:val="clear" w:color="auto" w:fill="FFFFFF"/>
              </w:rPr>
              <w:t>c</w:t>
            </w:r>
            <w:r w:rsidR="00D63560">
              <w:t>ategory 3B</w:t>
            </w:r>
          </w:p>
          <w:p w14:paraId="75739297" w14:textId="55F2DDC1" w:rsidR="008652B0" w:rsidRPr="00144708" w:rsidRDefault="006A1945" w:rsidP="00CE0616">
            <w:pPr>
              <w:pStyle w:val="ListBullet"/>
              <w:numPr>
                <w:ilvl w:val="0"/>
                <w:numId w:val="11"/>
              </w:numPr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 xml:space="preserve">No MAK due to suspected carcinogenicity </w:t>
            </w:r>
          </w:p>
          <w:p w14:paraId="1B53E507" w14:textId="1D957FF4" w:rsidR="006A1945" w:rsidRPr="00482BB5" w:rsidRDefault="00074B75" w:rsidP="00CE0616">
            <w:pPr>
              <w:pStyle w:val="ListBullet"/>
              <w:numPr>
                <w:ilvl w:val="0"/>
                <w:numId w:val="11"/>
              </w:numPr>
              <w:spacing w:before="60" w:after="60"/>
              <w:ind w:left="714" w:hanging="357"/>
              <w:contextualSpacing w:val="0"/>
            </w:pPr>
            <w:r w:rsidRPr="008652B0">
              <w:rPr>
                <w:rFonts w:cs="Arial"/>
                <w:color w:val="1C1D1E"/>
                <w:shd w:val="clear" w:color="auto" w:fill="FFFFFF"/>
              </w:rPr>
              <w:t>A</w:t>
            </w:r>
            <w:r w:rsidR="006A1945" w:rsidRPr="008652B0">
              <w:rPr>
                <w:rFonts w:cs="Arial"/>
                <w:color w:val="1C1D1E"/>
                <w:shd w:val="clear" w:color="auto" w:fill="FFFFFF"/>
              </w:rPr>
              <w:t xml:space="preserve">dditional carcinogenic risk </w:t>
            </w:r>
            <w:r w:rsidRPr="008652B0">
              <w:rPr>
                <w:rFonts w:cs="Arial"/>
                <w:color w:val="1C1D1E"/>
                <w:shd w:val="clear" w:color="auto" w:fill="FFFFFF"/>
              </w:rPr>
              <w:t xml:space="preserve">is assumed </w:t>
            </w:r>
            <w:r w:rsidR="006A1945" w:rsidRPr="008652B0">
              <w:rPr>
                <w:rFonts w:cs="Arial"/>
                <w:color w:val="1C1D1E"/>
                <w:shd w:val="clear" w:color="auto" w:fill="FFFFFF"/>
              </w:rPr>
              <w:t xml:space="preserve">based on calculated absorption quantities and the demonstrated dermal penetration </w:t>
            </w:r>
            <w:r w:rsidR="006A1945" w:rsidRPr="008652B0">
              <w:rPr>
                <w:rFonts w:cs="Arial"/>
                <w:i/>
                <w:color w:val="1C1D1E"/>
                <w:shd w:val="clear" w:color="auto" w:fill="FFFFFF"/>
              </w:rPr>
              <w:t>in vivo</w:t>
            </w:r>
            <w:r w:rsidR="00B04B91" w:rsidRPr="008652B0">
              <w:rPr>
                <w:rFonts w:cs="Arial"/>
                <w:i/>
                <w:color w:val="1C1D1E"/>
                <w:shd w:val="clear" w:color="auto" w:fill="FFFFFF"/>
              </w:rPr>
              <w:t>.</w:t>
            </w:r>
          </w:p>
          <w:p w14:paraId="7C85FBF4" w14:textId="77777777" w:rsidR="00482BB5" w:rsidRPr="008A435A" w:rsidRDefault="00482BB5" w:rsidP="00482BB5">
            <w:pPr>
              <w:pStyle w:val="Tabletextprimarysource"/>
              <w:rPr>
                <w:b/>
              </w:rPr>
            </w:pPr>
            <w:r>
              <w:rPr>
                <w:b/>
              </w:rPr>
              <w:t>4</w:t>
            </w:r>
            <w:r w:rsidRPr="008A435A">
              <w:rPr>
                <w:b/>
              </w:rPr>
              <w:t>-Nitrotoluene:</w:t>
            </w:r>
          </w:p>
          <w:p w14:paraId="3B1FCB9B" w14:textId="6F878CA4" w:rsidR="008A7A40" w:rsidRPr="00AC006F" w:rsidRDefault="008A7A40" w:rsidP="00CE0616">
            <w:pPr>
              <w:pStyle w:val="ListBullet"/>
              <w:numPr>
                <w:ilvl w:val="0"/>
                <w:numId w:val="12"/>
              </w:numPr>
              <w:spacing w:before="60" w:after="60"/>
              <w:ind w:left="714" w:hanging="357"/>
              <w:contextualSpacing w:val="0"/>
            </w:pPr>
            <w:r w:rsidRPr="00AC006F">
              <w:t xml:space="preserve">2-yr study in diet in rats; </w:t>
            </w:r>
            <w:r w:rsidRPr="00AC006F">
              <w:rPr>
                <w:rFonts w:cs="Arial"/>
                <w:shd w:val="clear" w:color="auto" w:fill="FFFFFF"/>
              </w:rPr>
              <w:t xml:space="preserve">equivocal evidence </w:t>
            </w:r>
            <w:r w:rsidR="00690981" w:rsidRPr="00AC006F">
              <w:rPr>
                <w:rFonts w:cs="Arial"/>
                <w:shd w:val="clear" w:color="auto" w:fill="FFFFFF"/>
              </w:rPr>
              <w:t xml:space="preserve">of carcinogenic activity </w:t>
            </w:r>
            <w:r w:rsidRPr="00AC006F">
              <w:rPr>
                <w:rFonts w:cs="Arial"/>
                <w:shd w:val="clear" w:color="auto" w:fill="FFFFFF"/>
              </w:rPr>
              <w:t>in the male rats and some evidence in the females</w:t>
            </w:r>
            <w:r w:rsidR="00E4737B" w:rsidRPr="00AC006F">
              <w:rPr>
                <w:rFonts w:cs="Arial"/>
                <w:shd w:val="clear" w:color="auto" w:fill="FFFFFF"/>
              </w:rPr>
              <w:t>:</w:t>
            </w:r>
          </w:p>
          <w:p w14:paraId="4DD2DED6" w14:textId="77777777" w:rsidR="008A7A40" w:rsidRPr="00AC006F" w:rsidRDefault="008A7A40" w:rsidP="00CE0616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  <w:rPr>
                <w:szCs w:val="20"/>
              </w:rPr>
            </w:pPr>
            <w:r w:rsidRPr="00AC006F">
              <w:rPr>
                <w:szCs w:val="20"/>
              </w:rPr>
              <w:t>0</w:t>
            </w:r>
            <w:r w:rsidRPr="00AC006F">
              <w:rPr>
                <w:rFonts w:cs="Arial"/>
                <w:szCs w:val="20"/>
                <w:shd w:val="clear" w:color="auto" w:fill="FFFFFF"/>
              </w:rPr>
              <w:t>, 55, 110, 240 mg/kg/d males; subcutaneous tumours</w:t>
            </w:r>
            <w:r w:rsidR="00D00C80" w:rsidRPr="00AC006F">
              <w:rPr>
                <w:rFonts w:cs="Arial"/>
                <w:szCs w:val="20"/>
                <w:shd w:val="clear" w:color="auto" w:fill="FFFFFF"/>
              </w:rPr>
              <w:t>, intermediate but not high dose</w:t>
            </w:r>
          </w:p>
          <w:p w14:paraId="298026D6" w14:textId="5613D84B" w:rsidR="00AC006F" w:rsidRPr="00AC006F" w:rsidRDefault="008A7A40" w:rsidP="00CE0616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  <w:rPr>
                <w:szCs w:val="20"/>
              </w:rPr>
            </w:pPr>
            <w:r w:rsidRPr="00AC006F">
              <w:rPr>
                <w:rFonts w:cs="Arial"/>
                <w:szCs w:val="20"/>
                <w:shd w:val="clear" w:color="auto" w:fill="FFFFFF"/>
              </w:rPr>
              <w:t>0, 60, 125, 265 mg/kg/d females; clitoral gland tumours</w:t>
            </w:r>
            <w:r w:rsidR="00D00C80" w:rsidRPr="00AC006F">
              <w:rPr>
                <w:rFonts w:cs="Arial"/>
                <w:szCs w:val="20"/>
                <w:shd w:val="clear" w:color="auto" w:fill="FFFFFF"/>
              </w:rPr>
              <w:t>, intermediate but not high dose</w:t>
            </w:r>
          </w:p>
          <w:p w14:paraId="1081EAA8" w14:textId="77777777" w:rsidR="008A7A40" w:rsidRPr="00AC006F" w:rsidRDefault="008A7A40" w:rsidP="00AC006F">
            <w:pPr>
              <w:pStyle w:val="ListBullet"/>
              <w:numPr>
                <w:ilvl w:val="0"/>
                <w:numId w:val="12"/>
              </w:numPr>
              <w:spacing w:before="60" w:after="60"/>
              <w:ind w:left="304" w:firstLine="0"/>
              <w:contextualSpacing w:val="0"/>
            </w:pPr>
            <w:r w:rsidRPr="00AC006F">
              <w:t>2-yr study in diet in mice:</w:t>
            </w:r>
          </w:p>
          <w:p w14:paraId="6313EAF9" w14:textId="77777777" w:rsidR="008A7A40" w:rsidRPr="00AC006F" w:rsidRDefault="008A7A40" w:rsidP="00CE0616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</w:pPr>
            <w:r w:rsidRPr="00AC006F">
              <w:rPr>
                <w:rFonts w:cs="Arial"/>
                <w:shd w:val="clear" w:color="auto" w:fill="FFFFFF"/>
              </w:rPr>
              <w:t>0, 170, 345, 690 mg/kg/d males</w:t>
            </w:r>
            <w:r w:rsidR="00D00C80" w:rsidRPr="00AC006F">
              <w:rPr>
                <w:rFonts w:cs="Arial"/>
                <w:shd w:val="clear" w:color="auto" w:fill="FFFFFF"/>
              </w:rPr>
              <w:t>; highest concentration increased the incidence of alveolar or bronchiolar tumours</w:t>
            </w:r>
          </w:p>
          <w:p w14:paraId="5895DE11" w14:textId="77777777" w:rsidR="00FD7CF6" w:rsidRPr="00AC006F" w:rsidRDefault="008A7A40" w:rsidP="00CE0616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</w:pPr>
            <w:r w:rsidRPr="00AC006F">
              <w:rPr>
                <w:rFonts w:cs="Arial"/>
                <w:shd w:val="clear" w:color="auto" w:fill="FFFFFF"/>
              </w:rPr>
              <w:t>0, 155, 315, 660 mg/kg/d females</w:t>
            </w:r>
            <w:r w:rsidR="00B04B91" w:rsidRPr="00AC006F">
              <w:rPr>
                <w:rFonts w:cs="Arial"/>
                <w:shd w:val="clear" w:color="auto" w:fill="FFFFFF"/>
              </w:rPr>
              <w:t>; no carcinogenic effects</w:t>
            </w:r>
          </w:p>
          <w:p w14:paraId="67D45648" w14:textId="2E35ECCD" w:rsidR="008A7A40" w:rsidRPr="00AC006F" w:rsidRDefault="00FD7CF6" w:rsidP="00CE0616">
            <w:pPr>
              <w:pStyle w:val="ListBullet"/>
              <w:numPr>
                <w:ilvl w:val="0"/>
                <w:numId w:val="8"/>
              </w:numPr>
              <w:spacing w:before="60" w:after="60"/>
              <w:ind w:left="714" w:hanging="357"/>
              <w:contextualSpacing w:val="0"/>
            </w:pPr>
            <w:r w:rsidRPr="00AC006F">
              <w:t xml:space="preserve">No mutagenic effects in valid mutagenicity tests using different strains of </w:t>
            </w:r>
            <w:r w:rsidR="00144708" w:rsidRPr="00AC006F">
              <w:rPr>
                <w:i/>
              </w:rPr>
              <w:t>S.</w:t>
            </w:r>
            <w:r w:rsidRPr="00AC006F">
              <w:rPr>
                <w:i/>
              </w:rPr>
              <w:t xml:space="preserve"> typhimurium</w:t>
            </w:r>
            <w:r w:rsidRPr="00AC006F">
              <w:t xml:space="preserve"> and </w:t>
            </w:r>
            <w:r w:rsidRPr="00AC006F">
              <w:rPr>
                <w:i/>
              </w:rPr>
              <w:t>E</w:t>
            </w:r>
            <w:r w:rsidR="00144708" w:rsidRPr="00AC006F">
              <w:rPr>
                <w:i/>
              </w:rPr>
              <w:t>.</w:t>
            </w:r>
            <w:r w:rsidRPr="00AC006F">
              <w:rPr>
                <w:i/>
              </w:rPr>
              <w:t xml:space="preserve"> coli</w:t>
            </w:r>
            <w:r w:rsidRPr="00AC006F">
              <w:t xml:space="preserve"> in the presence and absence of a metabolic activation system</w:t>
            </w:r>
          </w:p>
          <w:p w14:paraId="578EF570" w14:textId="77777777" w:rsidR="00D064C7" w:rsidRPr="00AC006F" w:rsidRDefault="00D064C7" w:rsidP="00CE0616">
            <w:pPr>
              <w:pStyle w:val="ListBullet"/>
              <w:numPr>
                <w:ilvl w:val="0"/>
                <w:numId w:val="8"/>
              </w:numPr>
              <w:spacing w:before="60" w:after="60"/>
              <w:ind w:left="714" w:hanging="357"/>
              <w:contextualSpacing w:val="0"/>
            </w:pPr>
            <w:r w:rsidRPr="00AC006F">
              <w:t>UDS test negative in primary rat hepatocytes and rat spermatocytes</w:t>
            </w:r>
          </w:p>
          <w:p w14:paraId="0AB1A79E" w14:textId="77777777" w:rsidR="00D064C7" w:rsidRPr="00AC006F" w:rsidRDefault="00144708" w:rsidP="00CE0616">
            <w:pPr>
              <w:pStyle w:val="ListBullet"/>
              <w:numPr>
                <w:ilvl w:val="0"/>
                <w:numId w:val="8"/>
              </w:numPr>
              <w:spacing w:before="60" w:after="60"/>
              <w:ind w:left="714" w:hanging="357"/>
              <w:contextualSpacing w:val="0"/>
            </w:pPr>
            <w:r w:rsidRPr="00AC006F">
              <w:t>I</w:t>
            </w:r>
            <w:r w:rsidR="00D064C7" w:rsidRPr="00AC006F">
              <w:t xml:space="preserve">nactive in </w:t>
            </w:r>
            <w:proofErr w:type="gramStart"/>
            <w:r w:rsidR="00D064C7" w:rsidRPr="00AC006F">
              <w:t>a number of</w:t>
            </w:r>
            <w:proofErr w:type="gramEnd"/>
            <w:r w:rsidR="00D064C7" w:rsidRPr="00AC006F">
              <w:t xml:space="preserve"> valid </w:t>
            </w:r>
            <w:proofErr w:type="gramStart"/>
            <w:r w:rsidR="00D064C7" w:rsidRPr="00AC006F">
              <w:rPr>
                <w:i/>
              </w:rPr>
              <w:t>ex</w:t>
            </w:r>
            <w:proofErr w:type="gramEnd"/>
            <w:r w:rsidR="00D064C7" w:rsidRPr="00AC006F">
              <w:rPr>
                <w:i/>
              </w:rPr>
              <w:t xml:space="preserve"> vivo</w:t>
            </w:r>
            <w:r w:rsidR="00D064C7" w:rsidRPr="00AC006F">
              <w:t xml:space="preserve"> UDS tests in rats</w:t>
            </w:r>
            <w:r w:rsidRPr="00AC006F">
              <w:t>.</w:t>
            </w:r>
          </w:p>
          <w:p w14:paraId="0E2A384A" w14:textId="64F79F93" w:rsidR="00E4737B" w:rsidRPr="00DA352E" w:rsidRDefault="00E4737B" w:rsidP="00CE0616">
            <w:pPr>
              <w:pStyle w:val="ListBullet"/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31F19987" w14:textId="77777777" w:rsidTr="00552276">
        <w:tc>
          <w:tcPr>
            <w:tcW w:w="5000" w:type="pct"/>
            <w:shd w:val="clear" w:color="auto" w:fill="F2F2F2" w:themeFill="background1" w:themeFillShade="F2"/>
          </w:tcPr>
          <w:p w14:paraId="0C5B9F0E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BF296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BF2960">
                  <w:t>NA</w:t>
                </w:r>
                <w:proofErr w:type="spellEnd"/>
              </w:sdtContent>
            </w:sdt>
          </w:p>
        </w:tc>
      </w:tr>
      <w:tr w:rsidR="00C978F0" w:rsidRPr="00DA352E" w14:paraId="1A809866" w14:textId="77777777" w:rsidTr="00552276">
        <w:tc>
          <w:tcPr>
            <w:tcW w:w="5000" w:type="pct"/>
          </w:tcPr>
          <w:p w14:paraId="1C9BA7C9" w14:textId="77777777" w:rsidR="00C978F0" w:rsidRPr="00DA352E" w:rsidRDefault="00BF2960" w:rsidP="003365A5">
            <w:pPr>
              <w:pStyle w:val="Tabletextprimarysource"/>
            </w:pPr>
            <w:r>
              <w:t>No report</w:t>
            </w:r>
            <w:r w:rsidR="008971B7">
              <w:t>.</w:t>
            </w:r>
          </w:p>
        </w:tc>
      </w:tr>
      <w:tr w:rsidR="00DA352E" w:rsidRPr="00DA352E" w14:paraId="42DD5756" w14:textId="77777777" w:rsidTr="00552276">
        <w:tc>
          <w:tcPr>
            <w:tcW w:w="5000" w:type="pct"/>
            <w:shd w:val="clear" w:color="auto" w:fill="F2F2F2" w:themeFill="background1" w:themeFillShade="F2"/>
          </w:tcPr>
          <w:p w14:paraId="52633461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BF296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BF2960">
                  <w:t>NA</w:t>
                </w:r>
                <w:proofErr w:type="spellEnd"/>
              </w:sdtContent>
            </w:sdt>
          </w:p>
        </w:tc>
      </w:tr>
      <w:tr w:rsidR="00DA352E" w:rsidRPr="00DA352E" w14:paraId="18A6E1DB" w14:textId="77777777" w:rsidTr="00552276">
        <w:tc>
          <w:tcPr>
            <w:tcW w:w="5000" w:type="pct"/>
          </w:tcPr>
          <w:p w14:paraId="406C5FE0" w14:textId="77777777" w:rsidR="00DA352E" w:rsidRPr="00DA352E" w:rsidRDefault="00BF2960" w:rsidP="003365A5">
            <w:pPr>
              <w:pStyle w:val="Tabletextprimarysource"/>
            </w:pPr>
            <w:r>
              <w:t>No report</w:t>
            </w:r>
            <w:r w:rsidR="008971B7">
              <w:t>.</w:t>
            </w:r>
          </w:p>
        </w:tc>
      </w:tr>
      <w:tr w:rsidR="00DA352E" w:rsidRPr="00DA352E" w14:paraId="296AF11A" w14:textId="77777777" w:rsidTr="00552276">
        <w:tc>
          <w:tcPr>
            <w:tcW w:w="5000" w:type="pct"/>
            <w:shd w:val="clear" w:color="auto" w:fill="F2F2F2" w:themeFill="background1" w:themeFillShade="F2"/>
          </w:tcPr>
          <w:p w14:paraId="55333AFD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0C7072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0C7072">
                  <w:t>1 ppm (6 mg/m</w:t>
                </w:r>
                <w:r w:rsidR="000C7072">
                  <w:rPr>
                    <w:vertAlign w:val="superscript"/>
                  </w:rPr>
                  <w:t>3</w:t>
                </w:r>
                <w:r w:rsidR="000C7072">
                  <w:t>) 3-Nitrotoluene</w:t>
                </w:r>
              </w:sdtContent>
            </w:sdt>
          </w:p>
        </w:tc>
      </w:tr>
      <w:tr w:rsidR="00DA352E" w:rsidRPr="00DA352E" w14:paraId="5D066308" w14:textId="77777777" w:rsidTr="00552276">
        <w:tc>
          <w:tcPr>
            <w:tcW w:w="5000" w:type="pct"/>
          </w:tcPr>
          <w:p w14:paraId="1FFB9C5F" w14:textId="399F01D5" w:rsidR="00FE77C6" w:rsidRDefault="00FE77C6" w:rsidP="003365A5">
            <w:pPr>
              <w:pStyle w:val="Tabletextprimarysource"/>
            </w:pPr>
            <w:r>
              <w:t>3-Nitrotoluene</w:t>
            </w:r>
          </w:p>
          <w:p w14:paraId="06B02939" w14:textId="4ED6C2CA" w:rsidR="00DA352E" w:rsidRDefault="00DA7708" w:rsidP="003365A5">
            <w:pPr>
              <w:pStyle w:val="Tabletextprimarysource"/>
            </w:pPr>
            <w:r>
              <w:t xml:space="preserve">Administrative </w:t>
            </w:r>
            <w:proofErr w:type="gramStart"/>
            <w:r>
              <w:t>OEL;</w:t>
            </w:r>
            <w:proofErr w:type="gramEnd"/>
            <w:r>
              <w:t xml:space="preserve"> health-based OEL</w:t>
            </w:r>
            <w:r w:rsidR="003811F3">
              <w:t xml:space="preserve"> (HBROEL)</w:t>
            </w:r>
            <w:r>
              <w:t xml:space="preserve"> of 2 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 w:rsidR="002C3D8E">
              <w:t xml:space="preserve">(0.4 ppm) </w:t>
            </w:r>
            <w:r>
              <w:t>recommended based on effects in spleen in rats</w:t>
            </w:r>
          </w:p>
          <w:p w14:paraId="2F2A1AB8" w14:textId="77777777" w:rsidR="00DA7708" w:rsidRDefault="00DA7708" w:rsidP="003365A5">
            <w:pPr>
              <w:pStyle w:val="Tabletextprimarysource"/>
            </w:pPr>
            <w:r>
              <w:t>Summary of additional data:</w:t>
            </w:r>
          </w:p>
          <w:p w14:paraId="7D4FC25B" w14:textId="77777777" w:rsidR="00DA7708" w:rsidRDefault="00DA7708" w:rsidP="00CE0616">
            <w:pPr>
              <w:pStyle w:val="ListBullet"/>
              <w:numPr>
                <w:ilvl w:val="0"/>
                <w:numId w:val="13"/>
              </w:numPr>
              <w:spacing w:before="60" w:after="60"/>
              <w:ind w:left="714" w:hanging="357"/>
              <w:contextualSpacing w:val="0"/>
            </w:pPr>
            <w:r>
              <w:t>13-wk oral diet study in rats reported a LOAEL of 48 mg/kg/d (lowest dose) for spleen lesions</w:t>
            </w:r>
          </w:p>
          <w:p w14:paraId="77E02221" w14:textId="31958C5E" w:rsidR="002C3D8E" w:rsidRDefault="00DA7708" w:rsidP="00CE0616">
            <w:pPr>
              <w:pStyle w:val="ListBullet"/>
              <w:numPr>
                <w:ilvl w:val="0"/>
                <w:numId w:val="13"/>
              </w:numPr>
              <w:spacing w:before="60" w:after="60"/>
              <w:ind w:left="714" w:hanging="357"/>
              <w:contextualSpacing w:val="0"/>
            </w:pPr>
            <w:r>
              <w:t>Adjusted by 7/5 for continuous feeding study to 5-d work week</w:t>
            </w:r>
            <w:r w:rsidR="000F7E58">
              <w:t xml:space="preserve"> </w:t>
            </w:r>
            <w:r w:rsidR="002C3D8E">
              <w:t>=63 mg/kg/d</w:t>
            </w:r>
          </w:p>
          <w:p w14:paraId="6C8A3C9A" w14:textId="5CFAD708" w:rsidR="002C3D8E" w:rsidRDefault="002C3D8E" w:rsidP="00CE0616">
            <w:pPr>
              <w:pStyle w:val="ListBullet"/>
              <w:numPr>
                <w:ilvl w:val="0"/>
                <w:numId w:val="13"/>
              </w:numPr>
              <w:spacing w:before="60" w:after="60"/>
              <w:ind w:left="714" w:hanging="357"/>
              <w:contextualSpacing w:val="0"/>
            </w:pPr>
            <w:r>
              <w:t>Factor of 4 for allometric scaling from rats to humans and overall factor of 36 to account for absence of a NOAEL, inter- and intraspecies variation, differences between experimental conditions and exposu</w:t>
            </w:r>
            <w:r w:rsidR="003811F3">
              <w:t>re pattern of the worker= 0.44 </w:t>
            </w:r>
            <w:r>
              <w:t>mg/kg/d</w:t>
            </w:r>
          </w:p>
          <w:p w14:paraId="6BFD55D0" w14:textId="465F16D6" w:rsidR="00DA7708" w:rsidRDefault="002C3D8E" w:rsidP="00CE0616">
            <w:pPr>
              <w:pStyle w:val="ListBullet"/>
              <w:numPr>
                <w:ilvl w:val="0"/>
                <w:numId w:val="13"/>
              </w:numPr>
              <w:spacing w:before="60" w:after="60"/>
              <w:ind w:left="714" w:hanging="357"/>
              <w:contextualSpacing w:val="0"/>
            </w:pPr>
            <w:r>
              <w:t>Applie</w:t>
            </w:r>
            <w:r w:rsidR="008971B7">
              <w:t>d to</w:t>
            </w:r>
            <w:r>
              <w:t xml:space="preserve"> 70 kg worker inhaling 10 m</w:t>
            </w:r>
            <w:r>
              <w:rPr>
                <w:vertAlign w:val="superscript"/>
              </w:rPr>
              <w:t>3</w:t>
            </w:r>
            <w:r w:rsidR="008971B7">
              <w:t xml:space="preserve"> of air over 8-h</w:t>
            </w:r>
            <w:r>
              <w:t>,</w:t>
            </w:r>
            <w:r w:rsidR="00065395">
              <w:t xml:space="preserve"> </w:t>
            </w:r>
            <w:r>
              <w:t xml:space="preserve">100% retention and </w:t>
            </w:r>
            <w:r w:rsidR="00065395">
              <w:t xml:space="preserve">rounding according to HCOTN methodology </w:t>
            </w:r>
            <w:r w:rsidR="003811F3">
              <w:rPr>
                <w:rFonts w:cs="Arial"/>
              </w:rPr>
              <w:t>≡</w:t>
            </w:r>
            <w:r>
              <w:t>2 mg/m</w:t>
            </w:r>
            <w:r>
              <w:rPr>
                <w:vertAlign w:val="superscript"/>
              </w:rPr>
              <w:t>3</w:t>
            </w:r>
            <w:r w:rsidR="00DA7708">
              <w:t xml:space="preserve"> </w:t>
            </w:r>
            <w:r>
              <w:t>(0.4 ppm)</w:t>
            </w:r>
            <w:r w:rsidR="008971B7">
              <w:t>.</w:t>
            </w:r>
          </w:p>
          <w:p w14:paraId="0E43E073" w14:textId="41A82E19" w:rsidR="00E4737B" w:rsidRPr="00DA7708" w:rsidRDefault="00E4737B" w:rsidP="00CE0616">
            <w:pPr>
              <w:pStyle w:val="ListBullet"/>
              <w:spacing w:before="60" w:after="60"/>
              <w:ind w:left="360" w:hanging="360"/>
              <w:contextualSpacing w:val="0"/>
            </w:pPr>
          </w:p>
        </w:tc>
      </w:tr>
    </w:tbl>
    <w:p w14:paraId="59122024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p w14:paraId="201B72AA" w14:textId="10D58EEE" w:rsidR="007E2A4B" w:rsidRDefault="00144708">
      <w:r>
        <w:t xml:space="preserve">NIL. </w:t>
      </w:r>
    </w:p>
    <w:bookmarkEnd w:id="0"/>
    <w:p w14:paraId="580A9B04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8"/>
        <w:gridCol w:w="2428"/>
      </w:tblGrid>
      <w:tr w:rsidR="002E0D61" w14:paraId="318C51F3" w14:textId="77777777" w:rsidTr="002C3D8E">
        <w:trPr>
          <w:trHeight w:val="454"/>
          <w:tblHeader/>
        </w:trPr>
        <w:tc>
          <w:tcPr>
            <w:tcW w:w="6598" w:type="dxa"/>
            <w:vAlign w:val="center"/>
          </w:tcPr>
          <w:p w14:paraId="29E9D3F0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8" w:type="dxa"/>
                <w:vAlign w:val="center"/>
              </w:tcPr>
              <w:p w14:paraId="0A747A81" w14:textId="77777777" w:rsidR="002E0D61" w:rsidRDefault="002C3D8E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0CD0E0AB" w14:textId="77777777" w:rsidTr="002C3D8E">
        <w:trPr>
          <w:trHeight w:val="454"/>
        </w:trPr>
        <w:tc>
          <w:tcPr>
            <w:tcW w:w="6598" w:type="dxa"/>
            <w:vAlign w:val="center"/>
          </w:tcPr>
          <w:p w14:paraId="6F309BC2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8" w:type="dxa"/>
                <w:vAlign w:val="center"/>
              </w:tcPr>
              <w:p w14:paraId="36D4626E" w14:textId="77777777" w:rsidR="008A36CF" w:rsidRDefault="002C3D8E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7959C9A4" w14:textId="77777777" w:rsidTr="002C3D8E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8" w:type="dxa"/>
                <w:vAlign w:val="center"/>
              </w:tcPr>
              <w:p w14:paraId="4447B745" w14:textId="77777777" w:rsidR="008A36CF" w:rsidRPr="006901A2" w:rsidRDefault="002C3D8E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28" w:type="dxa"/>
            <w:vAlign w:val="center"/>
          </w:tcPr>
          <w:p w14:paraId="0E4E9FEC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04999F87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07C13A5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489B6C4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23543F1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C01BCE2" w14:textId="77777777" w:rsidTr="00812887">
        <w:trPr>
          <w:cantSplit/>
        </w:trPr>
        <w:tc>
          <w:tcPr>
            <w:tcW w:w="3227" w:type="dxa"/>
          </w:tcPr>
          <w:p w14:paraId="430A8965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645BA1E" w14:textId="77777777" w:rsidR="00687890" w:rsidRPr="00DD2F9B" w:rsidRDefault="007A58DE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74F1BD32" w14:textId="77777777" w:rsidTr="00812887">
        <w:trPr>
          <w:cantSplit/>
        </w:trPr>
        <w:tc>
          <w:tcPr>
            <w:tcW w:w="3227" w:type="dxa"/>
          </w:tcPr>
          <w:p w14:paraId="29B7F57B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0C7FDA39" w14:textId="25EED804" w:rsidR="007925F0" w:rsidRDefault="005D25A2" w:rsidP="003C41E8">
            <w:pPr>
              <w:pStyle w:val="Tablefont"/>
            </w:pPr>
            <w:r>
              <w:t>—</w:t>
            </w:r>
            <w:proofErr w:type="gramStart"/>
            <w:r w:rsidDel="005D25A2">
              <w:t xml:space="preserve"> </w:t>
            </w:r>
            <w:r w:rsidR="0025081D">
              <w:t xml:space="preserve">  </w:t>
            </w:r>
            <w:r w:rsidR="008971B7">
              <w:t>(</w:t>
            </w:r>
            <w:proofErr w:type="gramEnd"/>
            <w:r w:rsidR="00FE77C6">
              <w:t>4</w:t>
            </w:r>
            <w:r w:rsidR="008971B7">
              <w:t>-Nitrotoluene)</w:t>
            </w:r>
          </w:p>
          <w:p w14:paraId="11513F30" w14:textId="6486A6F2" w:rsidR="00FE77C6" w:rsidRPr="00DD2F9B" w:rsidRDefault="00FE77C6" w:rsidP="003C41E8">
            <w:pPr>
              <w:pStyle w:val="Tablefont"/>
            </w:pPr>
            <w:proofErr w:type="gramStart"/>
            <w:r>
              <w:t xml:space="preserve">NA </w:t>
            </w:r>
            <w:r w:rsidR="0025081D">
              <w:t xml:space="preserve"> </w:t>
            </w:r>
            <w:r>
              <w:t>(</w:t>
            </w:r>
            <w:proofErr w:type="gramEnd"/>
            <w:r>
              <w:t>3-Nitrotoluene)</w:t>
            </w:r>
          </w:p>
        </w:tc>
      </w:tr>
      <w:tr w:rsidR="00AF483F" w:rsidRPr="004C23F4" w14:paraId="6955061E" w14:textId="77777777" w:rsidTr="00812887">
        <w:trPr>
          <w:cantSplit/>
        </w:trPr>
        <w:tc>
          <w:tcPr>
            <w:tcW w:w="3227" w:type="dxa"/>
          </w:tcPr>
          <w:p w14:paraId="78F4202C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8831F4F" w14:textId="50A148BD" w:rsidR="00AF483F" w:rsidRPr="00DD2F9B" w:rsidRDefault="00FE77C6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7C57FA9" w14:textId="77777777" w:rsidTr="00812887">
        <w:trPr>
          <w:cantSplit/>
        </w:trPr>
        <w:tc>
          <w:tcPr>
            <w:tcW w:w="3227" w:type="dxa"/>
          </w:tcPr>
          <w:p w14:paraId="7DD8A6BA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B813B1B" w14:textId="77777777" w:rsidR="00687890" w:rsidRPr="00DD2F9B" w:rsidRDefault="003811F3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275DD11F" w14:textId="77777777" w:rsidTr="00812887">
        <w:trPr>
          <w:cantSplit/>
        </w:trPr>
        <w:tc>
          <w:tcPr>
            <w:tcW w:w="3227" w:type="dxa"/>
          </w:tcPr>
          <w:p w14:paraId="5EBF2BD1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700DE52" w14:textId="77777777" w:rsidR="00E41A26" w:rsidRPr="00DD2F9B" w:rsidRDefault="003811F3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660A4805" w14:textId="77777777" w:rsidTr="00812887">
        <w:trPr>
          <w:cantSplit/>
        </w:trPr>
        <w:tc>
          <w:tcPr>
            <w:tcW w:w="3227" w:type="dxa"/>
          </w:tcPr>
          <w:p w14:paraId="552C6A3A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3F4165A" w14:textId="77777777" w:rsidR="002E0D61" w:rsidRPr="00DD2F9B" w:rsidRDefault="003811F3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588E986A" w14:textId="77777777" w:rsidTr="00812887">
        <w:trPr>
          <w:cantSplit/>
        </w:trPr>
        <w:tc>
          <w:tcPr>
            <w:tcW w:w="3227" w:type="dxa"/>
          </w:tcPr>
          <w:p w14:paraId="3379D30A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3A1FDB3" w14:textId="15460CC1" w:rsidR="002E0D61" w:rsidRPr="00DD2F9B" w:rsidRDefault="00B04B91" w:rsidP="006D06BC">
            <w:pPr>
              <w:pStyle w:val="Tablefont"/>
            </w:pPr>
            <w:r>
              <w:t>Carcinogenicity 3B</w:t>
            </w:r>
            <w:r w:rsidR="009D6D40">
              <w:t xml:space="preserve">, </w:t>
            </w:r>
            <w:r w:rsidR="00FB0CF5">
              <w:t>H (skin)</w:t>
            </w:r>
            <w:r w:rsidR="003811F3">
              <w:t xml:space="preserve"> </w:t>
            </w:r>
          </w:p>
        </w:tc>
      </w:tr>
      <w:tr w:rsidR="002E0D61" w:rsidRPr="004C23F4" w14:paraId="54283FE7" w14:textId="77777777" w:rsidTr="00812887">
        <w:trPr>
          <w:cantSplit/>
        </w:trPr>
        <w:tc>
          <w:tcPr>
            <w:tcW w:w="3227" w:type="dxa"/>
          </w:tcPr>
          <w:p w14:paraId="7179F2EC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E692E75" w14:textId="77777777" w:rsidR="002E0D61" w:rsidRPr="00DD2F9B" w:rsidRDefault="003811F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A2E4A45" w14:textId="77777777" w:rsidTr="00812887">
        <w:trPr>
          <w:cantSplit/>
        </w:trPr>
        <w:tc>
          <w:tcPr>
            <w:tcW w:w="3227" w:type="dxa"/>
          </w:tcPr>
          <w:p w14:paraId="2728756F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62DE81B" w14:textId="77777777" w:rsidR="002E0D61" w:rsidRPr="00DD2F9B" w:rsidRDefault="003811F3" w:rsidP="003811F3">
            <w:pPr>
              <w:pStyle w:val="Tablefont"/>
              <w:numPr>
                <w:ilvl w:val="0"/>
                <w:numId w:val="6"/>
              </w:numPr>
              <w:ind w:left="431"/>
            </w:pPr>
            <w:r>
              <w:t xml:space="preserve">(3-Nitrotoluene) </w:t>
            </w:r>
          </w:p>
        </w:tc>
      </w:tr>
      <w:tr w:rsidR="00386093" w:rsidRPr="004C23F4" w14:paraId="606F7D4C" w14:textId="77777777" w:rsidTr="00812887">
        <w:trPr>
          <w:cantSplit/>
        </w:trPr>
        <w:tc>
          <w:tcPr>
            <w:tcW w:w="3227" w:type="dxa"/>
          </w:tcPr>
          <w:p w14:paraId="1CE41994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5B5F471" w14:textId="0A575F10" w:rsidR="00386093" w:rsidRPr="00DD2F9B" w:rsidRDefault="00FE77C6" w:rsidP="003811F3">
            <w:pPr>
              <w:pStyle w:val="Tablefont"/>
              <w:ind w:left="6"/>
            </w:pPr>
            <w:r>
              <w:t>NA</w:t>
            </w:r>
          </w:p>
        </w:tc>
      </w:tr>
      <w:tr w:rsidR="00386093" w:rsidRPr="004C23F4" w14:paraId="642DEC3D" w14:textId="77777777" w:rsidTr="00812887">
        <w:trPr>
          <w:cantSplit/>
        </w:trPr>
        <w:tc>
          <w:tcPr>
            <w:tcW w:w="3227" w:type="dxa"/>
          </w:tcPr>
          <w:p w14:paraId="3026BC54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5913B5AF" w14:textId="77777777" w:rsidR="00386093" w:rsidRPr="00DD2F9B" w:rsidRDefault="003811F3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50CCCF0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C301F54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840E694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D2ED227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758F92F8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331"/>
              <w:gridCol w:w="984"/>
              <w:gridCol w:w="984"/>
              <w:gridCol w:w="3511"/>
            </w:tblGrid>
            <w:tr w:rsidR="00B57F1E" w:rsidRPr="00B57F1E" w14:paraId="51FA6581" w14:textId="77777777" w:rsidTr="00E227B0">
              <w:trPr>
                <w:trHeight w:val="336"/>
              </w:trPr>
              <w:tc>
                <w:tcPr>
                  <w:tcW w:w="33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DA8F62" w14:textId="77777777" w:rsidR="00B57F1E" w:rsidRPr="00B57F1E" w:rsidRDefault="00B57F1E" w:rsidP="00B57F1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7F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BB97B6" w14:textId="77777777" w:rsidR="00B57F1E" w:rsidRPr="00B57F1E" w:rsidRDefault="00B57F1E" w:rsidP="00B57F1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7F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B81DBA" w14:textId="77777777" w:rsidR="00B57F1E" w:rsidRPr="00B57F1E" w:rsidRDefault="00B57F1E" w:rsidP="00B57F1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57F1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591EAC" w14:textId="77777777" w:rsidR="00B57F1E" w:rsidRPr="00B57F1E" w:rsidRDefault="00B57F1E" w:rsidP="00B57F1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7F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57F1E" w:rsidRPr="00B57F1E" w14:paraId="3D62CAD3" w14:textId="77777777" w:rsidTr="00E227B0">
              <w:trPr>
                <w:trHeight w:val="336"/>
              </w:trPr>
              <w:tc>
                <w:tcPr>
                  <w:tcW w:w="33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14E879" w14:textId="77777777" w:rsidR="00B57F1E" w:rsidRPr="00B57F1E" w:rsidRDefault="00B57F1E" w:rsidP="00B57F1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7F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B57F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57F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271EEE" w14:textId="77777777" w:rsidR="00B57F1E" w:rsidRPr="00B57F1E" w:rsidRDefault="00B57F1E" w:rsidP="00B57F1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7F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DA7A69" w14:textId="77777777" w:rsidR="00B57F1E" w:rsidRPr="00B57F1E" w:rsidRDefault="00B57F1E" w:rsidP="00B57F1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57F1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96E1D7" w14:textId="77777777" w:rsidR="00B57F1E" w:rsidRPr="00B57F1E" w:rsidRDefault="00B57F1E" w:rsidP="00B57F1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7F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57F1E" w:rsidRPr="00B57F1E" w14:paraId="4E52E330" w14:textId="77777777" w:rsidTr="00E227B0">
              <w:trPr>
                <w:trHeight w:val="336"/>
              </w:trPr>
              <w:tc>
                <w:tcPr>
                  <w:tcW w:w="33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0BD2B4" w14:textId="77777777" w:rsidR="00B57F1E" w:rsidRPr="00B57F1E" w:rsidRDefault="00B57F1E" w:rsidP="00B57F1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7F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9EF2E5" w14:textId="77777777" w:rsidR="00B57F1E" w:rsidRPr="00B57F1E" w:rsidRDefault="00B57F1E" w:rsidP="00B57F1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7F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D91B2C" w14:textId="77777777" w:rsidR="00B57F1E" w:rsidRPr="00B57F1E" w:rsidRDefault="00B57F1E" w:rsidP="00B57F1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57F1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F45AFA" w14:textId="77777777" w:rsidR="00B57F1E" w:rsidRPr="00B57F1E" w:rsidRDefault="00B57F1E" w:rsidP="00B57F1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7F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57F1E" w:rsidRPr="00B57F1E" w14:paraId="4641C2D5" w14:textId="77777777" w:rsidTr="00E227B0">
              <w:trPr>
                <w:trHeight w:val="336"/>
              </w:trPr>
              <w:tc>
                <w:tcPr>
                  <w:tcW w:w="33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E29562" w14:textId="77777777" w:rsidR="00B57F1E" w:rsidRPr="00B57F1E" w:rsidRDefault="00B57F1E" w:rsidP="00B57F1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7F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B57F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57F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B57F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57F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89AE7C" w14:textId="77777777" w:rsidR="00B57F1E" w:rsidRPr="00B57F1E" w:rsidRDefault="00B57F1E" w:rsidP="00B57F1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7F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F7BBBD" w14:textId="77777777" w:rsidR="00B57F1E" w:rsidRPr="00B57F1E" w:rsidRDefault="00B57F1E" w:rsidP="00B57F1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57F1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EA22B2" w14:textId="77777777" w:rsidR="00B57F1E" w:rsidRPr="00B57F1E" w:rsidRDefault="00B57F1E" w:rsidP="00B57F1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7F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57F1E" w:rsidRPr="00B57F1E" w14:paraId="23B6097B" w14:textId="77777777" w:rsidTr="00E227B0">
              <w:trPr>
                <w:trHeight w:val="336"/>
              </w:trPr>
              <w:tc>
                <w:tcPr>
                  <w:tcW w:w="33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DC39BF" w14:textId="77777777" w:rsidR="00B57F1E" w:rsidRPr="00B57F1E" w:rsidRDefault="00B57F1E" w:rsidP="00B57F1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7F1E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B57F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A04276" w14:textId="77777777" w:rsidR="00B57F1E" w:rsidRPr="00B57F1E" w:rsidRDefault="00B57F1E" w:rsidP="00B57F1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7F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2255D3" w14:textId="77777777" w:rsidR="00B57F1E" w:rsidRPr="00B57F1E" w:rsidRDefault="00B57F1E" w:rsidP="00B57F1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57F1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4358E5" w14:textId="77777777" w:rsidR="00B57F1E" w:rsidRPr="00B57F1E" w:rsidRDefault="00B57F1E" w:rsidP="00B57F1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7F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57F1E" w:rsidRPr="00B57F1E" w14:paraId="15ED2451" w14:textId="77777777" w:rsidTr="00E227B0">
              <w:trPr>
                <w:trHeight w:val="336"/>
              </w:trPr>
              <w:tc>
                <w:tcPr>
                  <w:tcW w:w="33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9687AE" w14:textId="77777777" w:rsidR="00B57F1E" w:rsidRPr="00B57F1E" w:rsidRDefault="00B57F1E" w:rsidP="00B57F1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7F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3EDFE970" w14:textId="77777777" w:rsidR="00B57F1E" w:rsidRPr="00B57F1E" w:rsidRDefault="00B57F1E" w:rsidP="00B57F1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B57F1E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0B559D" w14:textId="77777777" w:rsidR="00B57F1E" w:rsidRPr="00B57F1E" w:rsidRDefault="00B57F1E" w:rsidP="00B57F1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57F1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2.00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E03F66" w14:textId="77777777" w:rsidR="00B57F1E" w:rsidRPr="00B57F1E" w:rsidRDefault="00B57F1E" w:rsidP="00B57F1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7F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227B0" w:rsidRPr="00B57F1E" w14:paraId="32F2B206" w14:textId="77777777" w:rsidTr="00E227B0">
              <w:trPr>
                <w:trHeight w:val="336"/>
              </w:trPr>
              <w:tc>
                <w:tcPr>
                  <w:tcW w:w="33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96FF5B" w14:textId="77777777" w:rsidR="00E227B0" w:rsidRPr="00B57F1E" w:rsidRDefault="00E227B0" w:rsidP="00B57F1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7F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CF2E49" w14:textId="77777777" w:rsidR="00E227B0" w:rsidRPr="00B57F1E" w:rsidRDefault="00E227B0" w:rsidP="00B57F1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7F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49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2F7365" w14:textId="77777777" w:rsidR="00E227B0" w:rsidRPr="00B57F1E" w:rsidRDefault="00E227B0" w:rsidP="00B57F1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57F1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</w:t>
                  </w:r>
                </w:p>
                <w:p w14:paraId="0E6AD178" w14:textId="77777777" w:rsidR="00E227B0" w:rsidRPr="00B57F1E" w:rsidRDefault="00E227B0" w:rsidP="00B57F1E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7F1E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insufficient data to assign a skin notation</w:t>
                  </w:r>
                </w:p>
              </w:tc>
            </w:tr>
          </w:tbl>
          <w:p w14:paraId="23A46A52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2006235D" w14:textId="77777777" w:rsidR="00EB3D1B" w:rsidRDefault="00EB3D1B" w:rsidP="00EB3D1B">
      <w:pPr>
        <w:pStyle w:val="Heading3"/>
      </w:pPr>
      <w:r>
        <w:lastRenderedPageBreak/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EB33D2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6877696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5DD1D21" w14:textId="77777777" w:rsidR="00EB3D1B" w:rsidRDefault="00D72320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3D3DC38E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4A60D6F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583F608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2824369" w14:textId="77777777" w:rsidR="001B79E5" w:rsidRDefault="00E227B0" w:rsidP="001B79E5">
                <w:pPr>
                  <w:pStyle w:val="Tablefont"/>
                </w:pPr>
                <w:r>
                  <w:t>137.13</w:t>
                </w:r>
              </w:p>
            </w:tc>
          </w:sdtContent>
        </w:sdt>
      </w:tr>
      <w:tr w:rsidR="00A31D99" w:rsidRPr="004C23F4" w14:paraId="5D46A0E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023373F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20B0EE0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9BDAA7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997E455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31F7AFA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246C5CE" w14:textId="77777777" w:rsidTr="00EA6243">
        <w:trPr>
          <w:cantSplit/>
        </w:trPr>
        <w:tc>
          <w:tcPr>
            <w:tcW w:w="4077" w:type="dxa"/>
            <w:vAlign w:val="center"/>
          </w:tcPr>
          <w:p w14:paraId="7C40F19D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2820D58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24A49C1" w14:textId="77777777" w:rsidTr="00EA6243">
        <w:trPr>
          <w:cantSplit/>
        </w:trPr>
        <w:tc>
          <w:tcPr>
            <w:tcW w:w="4077" w:type="dxa"/>
            <w:vAlign w:val="center"/>
          </w:tcPr>
          <w:p w14:paraId="601F4BB2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BA7E00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7CD44A3" w14:textId="77777777" w:rsidTr="00EA6243">
        <w:trPr>
          <w:cantSplit/>
        </w:trPr>
        <w:tc>
          <w:tcPr>
            <w:tcW w:w="4077" w:type="dxa"/>
            <w:vAlign w:val="center"/>
          </w:tcPr>
          <w:p w14:paraId="56FC4974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79AC6E7" w14:textId="77777777" w:rsidR="00E06F40" w:rsidRPr="00A006A0" w:rsidRDefault="00E7718D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227B0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8CF0E5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A8196FB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A64D885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9D34EC4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A1FD44E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88A1CF7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585D3EC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220B0CA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B2B2A46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EB2E828" w14:textId="77777777" w:rsidR="00B04B91" w:rsidRDefault="00B04B91" w:rsidP="00084859">
      <w:r w:rsidRPr="001A17A6">
        <w:t xml:space="preserve">Deutsche </w:t>
      </w:r>
      <w:proofErr w:type="spellStart"/>
      <w:r w:rsidRPr="001A17A6">
        <w:t>Forschungsgemeinschaft</w:t>
      </w:r>
      <w:proofErr w:type="spellEnd"/>
      <w:r w:rsidRPr="001A17A6">
        <w:t xml:space="preserve"> (DFG) (</w:t>
      </w:r>
      <w:r>
        <w:t>2006</w:t>
      </w:r>
      <w:r w:rsidRPr="001A17A6">
        <w:t xml:space="preserve">) </w:t>
      </w:r>
      <w:r>
        <w:t>3</w:t>
      </w:r>
      <w:r w:rsidRPr="001A17A6">
        <w:t>-Nitrotoluene – MAK value documentation.</w:t>
      </w:r>
    </w:p>
    <w:p w14:paraId="608128E9" w14:textId="77777777" w:rsidR="00B04B91" w:rsidRDefault="00B04B91" w:rsidP="00084859">
      <w:r w:rsidRPr="001A17A6">
        <w:t xml:space="preserve">Deutsche </w:t>
      </w:r>
      <w:proofErr w:type="spellStart"/>
      <w:r w:rsidRPr="001A17A6">
        <w:t>Forschungsgemeinschaft</w:t>
      </w:r>
      <w:proofErr w:type="spellEnd"/>
      <w:r w:rsidRPr="001A17A6">
        <w:t xml:space="preserve"> (DFG) (</w:t>
      </w:r>
      <w:r>
        <w:t>2006</w:t>
      </w:r>
      <w:r w:rsidRPr="001A17A6">
        <w:t xml:space="preserve">) </w:t>
      </w:r>
      <w:r>
        <w:t>4</w:t>
      </w:r>
      <w:r w:rsidRPr="001A17A6">
        <w:t>-Nitrotoluene – MAK value documentation.</w:t>
      </w:r>
    </w:p>
    <w:p w14:paraId="560B5F84" w14:textId="77777777" w:rsidR="00517B47" w:rsidRDefault="00517B47" w:rsidP="00517B47">
      <w:r w:rsidRPr="00DB0A36">
        <w:t>Health Council of the Netherlands (HCOTN) (</w:t>
      </w:r>
      <w:r>
        <w:t>2004</w:t>
      </w:r>
      <w:r w:rsidRPr="00DB0A36">
        <w:t xml:space="preserve">) </w:t>
      </w:r>
      <w:r>
        <w:t>3-Nitrotoluene</w:t>
      </w:r>
      <w:r w:rsidRPr="00DB0A36">
        <w:t>. Health-based recommendation on occupational exposure limits. The Hague: Health Council of the N</w:t>
      </w:r>
      <w:r>
        <w:t>etherlands; publication no. 2000/15OSH/135</w:t>
      </w:r>
      <w:r w:rsidRPr="00DB0A36">
        <w:t>.</w:t>
      </w:r>
    </w:p>
    <w:p w14:paraId="6C6953A8" w14:textId="77777777" w:rsidR="00F815D7" w:rsidRPr="00F815D7" w:rsidRDefault="00F815D7" w:rsidP="00084859">
      <w:r w:rsidRPr="00F815D7">
        <w:t>US National Institute for Occupational Safety and Health (NIOSH) (1994) Immediately dangerous to life or health concentrations – Nitrotoluene (o-, m-, p-isomers).</w:t>
      </w:r>
    </w:p>
    <w:p w14:paraId="1FBB361D" w14:textId="77777777" w:rsidR="001A17A6" w:rsidRPr="00351FE0" w:rsidRDefault="001A17A6" w:rsidP="00084859"/>
    <w:sectPr w:rsidR="001A17A6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AA205" w14:textId="77777777" w:rsidR="004A68EC" w:rsidRDefault="004A68EC" w:rsidP="00F43AD5">
      <w:pPr>
        <w:spacing w:after="0" w:line="240" w:lineRule="auto"/>
      </w:pPr>
      <w:r>
        <w:separator/>
      </w:r>
    </w:p>
  </w:endnote>
  <w:endnote w:type="continuationSeparator" w:id="0">
    <w:p w14:paraId="4524481F" w14:textId="77777777" w:rsidR="004A68EC" w:rsidRDefault="004A68EC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C1DA5" w14:textId="77777777" w:rsidR="005B4CF9" w:rsidRDefault="005B4C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0E7D82D" w14:textId="6E6028AC" w:rsidR="00AB5FB6" w:rsidRDefault="00AB5FB6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Nitrotoluene</w:t>
        </w:r>
        <w:r w:rsidR="008971B7">
          <w:rPr>
            <w:b/>
            <w:sz w:val="18"/>
            <w:szCs w:val="18"/>
          </w:rPr>
          <w:t xml:space="preserve">, </w:t>
        </w:r>
        <w:r w:rsidR="009D6D40">
          <w:rPr>
            <w:b/>
            <w:sz w:val="18"/>
            <w:szCs w:val="18"/>
          </w:rPr>
          <w:t>3- and 4-</w:t>
        </w:r>
        <w:r w:rsidR="008971B7">
          <w:rPr>
            <w:b/>
            <w:sz w:val="18"/>
            <w:szCs w:val="18"/>
          </w:rPr>
          <w:t>isomers</w:t>
        </w:r>
        <w:r>
          <w:rPr>
            <w:b/>
            <w:sz w:val="18"/>
            <w:szCs w:val="18"/>
          </w:rPr>
          <w:t xml:space="preserve"> (</w:t>
        </w:r>
        <w:r w:rsidR="00A10FBB" w:rsidRPr="00A10FBB">
          <w:rPr>
            <w:b/>
            <w:sz w:val="18"/>
            <w:szCs w:val="18"/>
          </w:rPr>
          <w:t>99-08-1</w:t>
        </w:r>
        <w:r w:rsidR="00A10FBB">
          <w:rPr>
            <w:b/>
            <w:sz w:val="18"/>
            <w:szCs w:val="18"/>
          </w:rPr>
          <w:t>;</w:t>
        </w:r>
        <w:r w:rsidR="00A10FBB" w:rsidRPr="00A10FBB">
          <w:rPr>
            <w:b/>
            <w:sz w:val="18"/>
            <w:szCs w:val="18"/>
          </w:rPr>
          <w:t xml:space="preserve"> 99-99-0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="008971B7">
          <w:rPr>
            <w:sz w:val="18"/>
            <w:szCs w:val="18"/>
          </w:rPr>
          <w:t xml:space="preserve"> 2020</w:t>
        </w:r>
      </w:p>
      <w:p w14:paraId="595CE6D3" w14:textId="4C101D21" w:rsidR="00AB5FB6" w:rsidRPr="00F43AD5" w:rsidRDefault="00AB5FB6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4321AD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667F0" w14:textId="77777777" w:rsidR="005B4CF9" w:rsidRDefault="005B4C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B386B" w14:textId="77777777" w:rsidR="004A68EC" w:rsidRDefault="004A68EC" w:rsidP="00F43AD5">
      <w:pPr>
        <w:spacing w:after="0" w:line="240" w:lineRule="auto"/>
      </w:pPr>
      <w:r>
        <w:separator/>
      </w:r>
    </w:p>
  </w:footnote>
  <w:footnote w:type="continuationSeparator" w:id="0">
    <w:p w14:paraId="63173C99" w14:textId="77777777" w:rsidR="004A68EC" w:rsidRDefault="004A68EC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1BD64" w14:textId="77777777" w:rsidR="005B4CF9" w:rsidRDefault="005B4C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F981C" w14:textId="5A27BA7F" w:rsidR="005B4CF9" w:rsidRDefault="005B4CF9" w:rsidP="005B4CF9">
    <w:pPr>
      <w:pStyle w:val="Header"/>
      <w:jc w:val="right"/>
    </w:pPr>
    <w:r>
      <w:rPr>
        <w:noProof/>
        <w:lang w:eastAsia="en-AU"/>
      </w:rPr>
      <w:drawing>
        <wp:inline distT="0" distB="0" distL="0" distR="0" wp14:anchorId="65A4A520" wp14:editId="201A891F">
          <wp:extent cx="2943225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F93309" w14:textId="630B44FF" w:rsidR="00AB5FB6" w:rsidRPr="005B4CF9" w:rsidRDefault="00AB5FB6" w:rsidP="005B4CF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B38A7" w14:textId="77777777" w:rsidR="005B4CF9" w:rsidRDefault="005B4CF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4A340" w14:textId="3ADC9369" w:rsidR="005B4CF9" w:rsidRDefault="005B4CF9" w:rsidP="005B4CF9">
    <w:pPr>
      <w:pStyle w:val="Header"/>
      <w:jc w:val="right"/>
    </w:pPr>
    <w:r>
      <w:rPr>
        <w:noProof/>
        <w:lang w:eastAsia="en-AU"/>
      </w:rPr>
      <w:drawing>
        <wp:inline distT="0" distB="0" distL="0" distR="0" wp14:anchorId="1DC62B82" wp14:editId="5BE09EAC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D56A60" w14:textId="77777777" w:rsidR="00AB5FB6" w:rsidRDefault="00AB5FB6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C090003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</w:abstractNum>
  <w:abstractNum w:abstractNumId="1" w15:restartNumberingAfterBreak="0">
    <w:nsid w:val="066E571E"/>
    <w:multiLevelType w:val="hybridMultilevel"/>
    <w:tmpl w:val="D0EC881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5272C8"/>
    <w:multiLevelType w:val="hybridMultilevel"/>
    <w:tmpl w:val="1286ED86"/>
    <w:lvl w:ilvl="0" w:tplc="0C090001">
      <w:start w:val="1"/>
      <w:numFmt w:val="bullet"/>
      <w:lvlText w:val=""/>
      <w:lvlJc w:val="left"/>
      <w:pPr>
        <w:ind w:left="14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326B60DE"/>
    <w:multiLevelType w:val="hybridMultilevel"/>
    <w:tmpl w:val="00BECDC2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3BAB5E94"/>
    <w:multiLevelType w:val="hybridMultilevel"/>
    <w:tmpl w:val="4702640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31E25BB"/>
    <w:multiLevelType w:val="hybridMultilevel"/>
    <w:tmpl w:val="6A00FC46"/>
    <w:lvl w:ilvl="0" w:tplc="04090003">
      <w:start w:val="1"/>
      <w:numFmt w:val="bullet"/>
      <w:lvlText w:val="o"/>
      <w:lvlJc w:val="left"/>
      <w:pPr>
        <w:ind w:left="1048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6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8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0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2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4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6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8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08" w:hanging="360"/>
      </w:pPr>
      <w:rPr>
        <w:rFonts w:ascii="Wingdings" w:hAnsi="Wingdings" w:hint="default"/>
      </w:rPr>
    </w:lvl>
  </w:abstractNum>
  <w:abstractNum w:abstractNumId="6" w15:restartNumberingAfterBreak="0">
    <w:nsid w:val="44F81DE1"/>
    <w:multiLevelType w:val="hybridMultilevel"/>
    <w:tmpl w:val="26C0D5B2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4C8B47F6"/>
    <w:multiLevelType w:val="hybridMultilevel"/>
    <w:tmpl w:val="5CF4661C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E8917D8"/>
    <w:multiLevelType w:val="hybridMultilevel"/>
    <w:tmpl w:val="F856BF3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72728B4"/>
    <w:multiLevelType w:val="hybridMultilevel"/>
    <w:tmpl w:val="42C018F2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5F033E0C"/>
    <w:multiLevelType w:val="hybridMultilevel"/>
    <w:tmpl w:val="2C6A24E4"/>
    <w:lvl w:ilvl="0" w:tplc="D18458E8">
      <w:start w:val="2"/>
      <w:numFmt w:val="bullet"/>
      <w:lvlText w:val="—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7373638A"/>
    <w:multiLevelType w:val="hybridMultilevel"/>
    <w:tmpl w:val="71484918"/>
    <w:lvl w:ilvl="0" w:tplc="04090003">
      <w:start w:val="1"/>
      <w:numFmt w:val="bullet"/>
      <w:lvlText w:val="o"/>
      <w:lvlJc w:val="left"/>
      <w:pPr>
        <w:ind w:left="1048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6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8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0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2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4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6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8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08" w:hanging="360"/>
      </w:pPr>
      <w:rPr>
        <w:rFonts w:ascii="Wingdings" w:hAnsi="Wingdings" w:hint="default"/>
      </w:rPr>
    </w:lvl>
  </w:abstractNum>
  <w:abstractNum w:abstractNumId="12" w15:restartNumberingAfterBreak="0">
    <w:nsid w:val="7A490DB7"/>
    <w:multiLevelType w:val="hybridMultilevel"/>
    <w:tmpl w:val="A036BB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1167392">
    <w:abstractNumId w:val="0"/>
  </w:num>
  <w:num w:numId="2" w16cid:durableId="54864868">
    <w:abstractNumId w:val="8"/>
  </w:num>
  <w:num w:numId="3" w16cid:durableId="119806290">
    <w:abstractNumId w:val="4"/>
  </w:num>
  <w:num w:numId="4" w16cid:durableId="1804106806">
    <w:abstractNumId w:val="11"/>
  </w:num>
  <w:num w:numId="5" w16cid:durableId="2046825532">
    <w:abstractNumId w:val="5"/>
  </w:num>
  <w:num w:numId="6" w16cid:durableId="621041034">
    <w:abstractNumId w:val="10"/>
  </w:num>
  <w:num w:numId="7" w16cid:durableId="494611943">
    <w:abstractNumId w:val="1"/>
  </w:num>
  <w:num w:numId="8" w16cid:durableId="2094548224">
    <w:abstractNumId w:val="12"/>
  </w:num>
  <w:num w:numId="9" w16cid:durableId="1007363739">
    <w:abstractNumId w:val="9"/>
  </w:num>
  <w:num w:numId="10" w16cid:durableId="598021999">
    <w:abstractNumId w:val="6"/>
  </w:num>
  <w:num w:numId="11" w16cid:durableId="647367159">
    <w:abstractNumId w:val="7"/>
  </w:num>
  <w:num w:numId="12" w16cid:durableId="1641495732">
    <w:abstractNumId w:val="3"/>
  </w:num>
  <w:num w:numId="13" w16cid:durableId="2818819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5395"/>
    <w:rsid w:val="00067F32"/>
    <w:rsid w:val="00071807"/>
    <w:rsid w:val="00074B75"/>
    <w:rsid w:val="000803E1"/>
    <w:rsid w:val="00084513"/>
    <w:rsid w:val="00084859"/>
    <w:rsid w:val="00092D94"/>
    <w:rsid w:val="000B0868"/>
    <w:rsid w:val="000B3C36"/>
    <w:rsid w:val="000B3E12"/>
    <w:rsid w:val="000B3E78"/>
    <w:rsid w:val="000B3FA2"/>
    <w:rsid w:val="000B7B48"/>
    <w:rsid w:val="000C096D"/>
    <w:rsid w:val="000C139A"/>
    <w:rsid w:val="000C2053"/>
    <w:rsid w:val="000C248C"/>
    <w:rsid w:val="000C3A09"/>
    <w:rsid w:val="000C7072"/>
    <w:rsid w:val="000D291C"/>
    <w:rsid w:val="000D6B60"/>
    <w:rsid w:val="000D74AE"/>
    <w:rsid w:val="000E5A54"/>
    <w:rsid w:val="000E63D3"/>
    <w:rsid w:val="000E67CF"/>
    <w:rsid w:val="000F7E58"/>
    <w:rsid w:val="00103498"/>
    <w:rsid w:val="0010461E"/>
    <w:rsid w:val="00106FAA"/>
    <w:rsid w:val="00113443"/>
    <w:rsid w:val="001269A7"/>
    <w:rsid w:val="00131092"/>
    <w:rsid w:val="00140E6A"/>
    <w:rsid w:val="00144708"/>
    <w:rsid w:val="00146545"/>
    <w:rsid w:val="00146B75"/>
    <w:rsid w:val="0015266D"/>
    <w:rsid w:val="0015288A"/>
    <w:rsid w:val="00160F47"/>
    <w:rsid w:val="00177929"/>
    <w:rsid w:val="00177CA1"/>
    <w:rsid w:val="00183823"/>
    <w:rsid w:val="00183942"/>
    <w:rsid w:val="00187EE9"/>
    <w:rsid w:val="001A009E"/>
    <w:rsid w:val="001A1287"/>
    <w:rsid w:val="001A17A6"/>
    <w:rsid w:val="001A3859"/>
    <w:rsid w:val="001A3C9D"/>
    <w:rsid w:val="001A43F8"/>
    <w:rsid w:val="001B79E5"/>
    <w:rsid w:val="001D56F0"/>
    <w:rsid w:val="001D663B"/>
    <w:rsid w:val="001D7B41"/>
    <w:rsid w:val="001E2878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07175"/>
    <w:rsid w:val="00213640"/>
    <w:rsid w:val="00221547"/>
    <w:rsid w:val="002216FC"/>
    <w:rsid w:val="00222533"/>
    <w:rsid w:val="00222F30"/>
    <w:rsid w:val="00224EE2"/>
    <w:rsid w:val="00227EC7"/>
    <w:rsid w:val="00242627"/>
    <w:rsid w:val="00244AD1"/>
    <w:rsid w:val="002463BC"/>
    <w:rsid w:val="002465CE"/>
    <w:rsid w:val="00247FF5"/>
    <w:rsid w:val="0025081D"/>
    <w:rsid w:val="0025734A"/>
    <w:rsid w:val="00263255"/>
    <w:rsid w:val="002742D4"/>
    <w:rsid w:val="00276494"/>
    <w:rsid w:val="00277B0C"/>
    <w:rsid w:val="002846D7"/>
    <w:rsid w:val="00285658"/>
    <w:rsid w:val="002B1A2C"/>
    <w:rsid w:val="002C34F2"/>
    <w:rsid w:val="002C3D8E"/>
    <w:rsid w:val="002C58FF"/>
    <w:rsid w:val="002C7AFE"/>
    <w:rsid w:val="002D05D2"/>
    <w:rsid w:val="002D3631"/>
    <w:rsid w:val="002E0D61"/>
    <w:rsid w:val="002E4C7B"/>
    <w:rsid w:val="002E6B38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11F3"/>
    <w:rsid w:val="00386093"/>
    <w:rsid w:val="003904A4"/>
    <w:rsid w:val="00391841"/>
    <w:rsid w:val="00391B6D"/>
    <w:rsid w:val="00394922"/>
    <w:rsid w:val="003A0E32"/>
    <w:rsid w:val="003A2B94"/>
    <w:rsid w:val="003B387D"/>
    <w:rsid w:val="003B71AA"/>
    <w:rsid w:val="003C0D58"/>
    <w:rsid w:val="003C41E8"/>
    <w:rsid w:val="003D4FA3"/>
    <w:rsid w:val="003E0807"/>
    <w:rsid w:val="003E51FB"/>
    <w:rsid w:val="003E6B39"/>
    <w:rsid w:val="003F07E1"/>
    <w:rsid w:val="003F3141"/>
    <w:rsid w:val="004030BC"/>
    <w:rsid w:val="00403F7D"/>
    <w:rsid w:val="00406785"/>
    <w:rsid w:val="004079B4"/>
    <w:rsid w:val="00417A56"/>
    <w:rsid w:val="00420957"/>
    <w:rsid w:val="00422A10"/>
    <w:rsid w:val="00430179"/>
    <w:rsid w:val="00431701"/>
    <w:rsid w:val="004321AD"/>
    <w:rsid w:val="004414B5"/>
    <w:rsid w:val="00444482"/>
    <w:rsid w:val="00444B42"/>
    <w:rsid w:val="00445E44"/>
    <w:rsid w:val="004463E5"/>
    <w:rsid w:val="004509E2"/>
    <w:rsid w:val="004515EE"/>
    <w:rsid w:val="004529F0"/>
    <w:rsid w:val="00454295"/>
    <w:rsid w:val="00460A03"/>
    <w:rsid w:val="00472A11"/>
    <w:rsid w:val="00472AAD"/>
    <w:rsid w:val="00474E33"/>
    <w:rsid w:val="00476803"/>
    <w:rsid w:val="00482BB5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A68EC"/>
    <w:rsid w:val="004C1E3F"/>
    <w:rsid w:val="004C23F4"/>
    <w:rsid w:val="004C3475"/>
    <w:rsid w:val="004C58B6"/>
    <w:rsid w:val="004D16A3"/>
    <w:rsid w:val="004D4AA1"/>
    <w:rsid w:val="004D6D68"/>
    <w:rsid w:val="004E5EDD"/>
    <w:rsid w:val="004F095B"/>
    <w:rsid w:val="004F448A"/>
    <w:rsid w:val="004F493D"/>
    <w:rsid w:val="004F65E8"/>
    <w:rsid w:val="0050005E"/>
    <w:rsid w:val="00502B88"/>
    <w:rsid w:val="005142C4"/>
    <w:rsid w:val="0051509C"/>
    <w:rsid w:val="00517B47"/>
    <w:rsid w:val="005272E2"/>
    <w:rsid w:val="0053108F"/>
    <w:rsid w:val="00532B56"/>
    <w:rsid w:val="00534B10"/>
    <w:rsid w:val="005446A2"/>
    <w:rsid w:val="00544D2F"/>
    <w:rsid w:val="00551BD8"/>
    <w:rsid w:val="00552276"/>
    <w:rsid w:val="00565835"/>
    <w:rsid w:val="00575D82"/>
    <w:rsid w:val="0057771C"/>
    <w:rsid w:val="00581055"/>
    <w:rsid w:val="00591E38"/>
    <w:rsid w:val="005A19C5"/>
    <w:rsid w:val="005A3034"/>
    <w:rsid w:val="005A462D"/>
    <w:rsid w:val="005A5054"/>
    <w:rsid w:val="005B253B"/>
    <w:rsid w:val="005B4CF9"/>
    <w:rsid w:val="005B771D"/>
    <w:rsid w:val="005C57B9"/>
    <w:rsid w:val="005C5D16"/>
    <w:rsid w:val="005D25A2"/>
    <w:rsid w:val="005D3193"/>
    <w:rsid w:val="005D4A6E"/>
    <w:rsid w:val="005E19C5"/>
    <w:rsid w:val="005E6979"/>
    <w:rsid w:val="005E75CB"/>
    <w:rsid w:val="006013C1"/>
    <w:rsid w:val="00603FBC"/>
    <w:rsid w:val="0060669E"/>
    <w:rsid w:val="006106AC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981"/>
    <w:rsid w:val="00690B53"/>
    <w:rsid w:val="00695B72"/>
    <w:rsid w:val="006A1945"/>
    <w:rsid w:val="006B160A"/>
    <w:rsid w:val="006B4E6C"/>
    <w:rsid w:val="006B50B6"/>
    <w:rsid w:val="006B6783"/>
    <w:rsid w:val="006D06BC"/>
    <w:rsid w:val="006D79EA"/>
    <w:rsid w:val="006E5D05"/>
    <w:rsid w:val="00701053"/>
    <w:rsid w:val="00701507"/>
    <w:rsid w:val="0070363D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2DD2"/>
    <w:rsid w:val="00763240"/>
    <w:rsid w:val="00765F14"/>
    <w:rsid w:val="00770E31"/>
    <w:rsid w:val="007770F1"/>
    <w:rsid w:val="00783EA3"/>
    <w:rsid w:val="00783FB1"/>
    <w:rsid w:val="00785CDD"/>
    <w:rsid w:val="00791847"/>
    <w:rsid w:val="007925F0"/>
    <w:rsid w:val="007939B3"/>
    <w:rsid w:val="0079509C"/>
    <w:rsid w:val="00796708"/>
    <w:rsid w:val="007A58DE"/>
    <w:rsid w:val="007B1B42"/>
    <w:rsid w:val="007C30EB"/>
    <w:rsid w:val="007D20FE"/>
    <w:rsid w:val="007E063C"/>
    <w:rsid w:val="007E2A4B"/>
    <w:rsid w:val="007E307D"/>
    <w:rsid w:val="007E3FA7"/>
    <w:rsid w:val="007E6A4E"/>
    <w:rsid w:val="007E6C94"/>
    <w:rsid w:val="007F0C97"/>
    <w:rsid w:val="007F1005"/>
    <w:rsid w:val="007F25E0"/>
    <w:rsid w:val="007F5328"/>
    <w:rsid w:val="00804DA2"/>
    <w:rsid w:val="00804F5A"/>
    <w:rsid w:val="0080683A"/>
    <w:rsid w:val="00810C6D"/>
    <w:rsid w:val="00812887"/>
    <w:rsid w:val="00812D1B"/>
    <w:rsid w:val="00826F21"/>
    <w:rsid w:val="00834CC8"/>
    <w:rsid w:val="00834D8F"/>
    <w:rsid w:val="00835E00"/>
    <w:rsid w:val="00837113"/>
    <w:rsid w:val="008414E4"/>
    <w:rsid w:val="00843E21"/>
    <w:rsid w:val="0084508E"/>
    <w:rsid w:val="0085274D"/>
    <w:rsid w:val="00857957"/>
    <w:rsid w:val="00857A8A"/>
    <w:rsid w:val="008630EE"/>
    <w:rsid w:val="00864D13"/>
    <w:rsid w:val="008652B0"/>
    <w:rsid w:val="00871CD5"/>
    <w:rsid w:val="008745A2"/>
    <w:rsid w:val="008749DC"/>
    <w:rsid w:val="008768A8"/>
    <w:rsid w:val="0088798F"/>
    <w:rsid w:val="00887E4B"/>
    <w:rsid w:val="00887F69"/>
    <w:rsid w:val="008915C8"/>
    <w:rsid w:val="008971B7"/>
    <w:rsid w:val="008977E8"/>
    <w:rsid w:val="008A36CF"/>
    <w:rsid w:val="008A3BC4"/>
    <w:rsid w:val="008A435A"/>
    <w:rsid w:val="008A7A40"/>
    <w:rsid w:val="008B315B"/>
    <w:rsid w:val="008B403C"/>
    <w:rsid w:val="008B5662"/>
    <w:rsid w:val="008B7983"/>
    <w:rsid w:val="008C2511"/>
    <w:rsid w:val="008D026D"/>
    <w:rsid w:val="008D23AB"/>
    <w:rsid w:val="008D3C27"/>
    <w:rsid w:val="008D4B8B"/>
    <w:rsid w:val="008D5A78"/>
    <w:rsid w:val="008E7B64"/>
    <w:rsid w:val="008F3AC5"/>
    <w:rsid w:val="008F5DB9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360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85DB4"/>
    <w:rsid w:val="0099303A"/>
    <w:rsid w:val="00995D5E"/>
    <w:rsid w:val="009971C2"/>
    <w:rsid w:val="009A1254"/>
    <w:rsid w:val="009A7AF0"/>
    <w:rsid w:val="009B2FF2"/>
    <w:rsid w:val="009B380C"/>
    <w:rsid w:val="009B4843"/>
    <w:rsid w:val="009B5570"/>
    <w:rsid w:val="009B6543"/>
    <w:rsid w:val="009C199D"/>
    <w:rsid w:val="009C278F"/>
    <w:rsid w:val="009C2B94"/>
    <w:rsid w:val="009C5874"/>
    <w:rsid w:val="009D3B5A"/>
    <w:rsid w:val="009D6D40"/>
    <w:rsid w:val="009E0C05"/>
    <w:rsid w:val="009E0D1C"/>
    <w:rsid w:val="009E2214"/>
    <w:rsid w:val="009E355A"/>
    <w:rsid w:val="009E63E2"/>
    <w:rsid w:val="009F05CF"/>
    <w:rsid w:val="009F0F3A"/>
    <w:rsid w:val="00A01D0C"/>
    <w:rsid w:val="00A0643F"/>
    <w:rsid w:val="00A067EE"/>
    <w:rsid w:val="00A07357"/>
    <w:rsid w:val="00A10FBB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670AD"/>
    <w:rsid w:val="00A716F9"/>
    <w:rsid w:val="00A84504"/>
    <w:rsid w:val="00A8672F"/>
    <w:rsid w:val="00A93057"/>
    <w:rsid w:val="00A968B0"/>
    <w:rsid w:val="00AB2672"/>
    <w:rsid w:val="00AB2817"/>
    <w:rsid w:val="00AB43C4"/>
    <w:rsid w:val="00AB5FB6"/>
    <w:rsid w:val="00AC006F"/>
    <w:rsid w:val="00AC32E7"/>
    <w:rsid w:val="00AC3679"/>
    <w:rsid w:val="00AC3A9F"/>
    <w:rsid w:val="00AC6D2F"/>
    <w:rsid w:val="00AD1E41"/>
    <w:rsid w:val="00AE2745"/>
    <w:rsid w:val="00AE2F64"/>
    <w:rsid w:val="00AF42CB"/>
    <w:rsid w:val="00AF483F"/>
    <w:rsid w:val="00AF5E07"/>
    <w:rsid w:val="00AF5F06"/>
    <w:rsid w:val="00B00A25"/>
    <w:rsid w:val="00B01127"/>
    <w:rsid w:val="00B04B91"/>
    <w:rsid w:val="00B1422A"/>
    <w:rsid w:val="00B1765C"/>
    <w:rsid w:val="00B213C4"/>
    <w:rsid w:val="00B40C60"/>
    <w:rsid w:val="00B479A9"/>
    <w:rsid w:val="00B52EDF"/>
    <w:rsid w:val="00B57F1E"/>
    <w:rsid w:val="00B61E3E"/>
    <w:rsid w:val="00B71188"/>
    <w:rsid w:val="00B76A41"/>
    <w:rsid w:val="00B804F1"/>
    <w:rsid w:val="00B87D4C"/>
    <w:rsid w:val="00B93646"/>
    <w:rsid w:val="00B96753"/>
    <w:rsid w:val="00BA0B38"/>
    <w:rsid w:val="00BA1DBB"/>
    <w:rsid w:val="00BA4510"/>
    <w:rsid w:val="00BA529A"/>
    <w:rsid w:val="00BB612A"/>
    <w:rsid w:val="00BD499F"/>
    <w:rsid w:val="00BD56DE"/>
    <w:rsid w:val="00BF2406"/>
    <w:rsid w:val="00BF2960"/>
    <w:rsid w:val="00C16315"/>
    <w:rsid w:val="00C3091E"/>
    <w:rsid w:val="00C35D94"/>
    <w:rsid w:val="00C40FF1"/>
    <w:rsid w:val="00C419E2"/>
    <w:rsid w:val="00C5020E"/>
    <w:rsid w:val="00C57452"/>
    <w:rsid w:val="00C61EDF"/>
    <w:rsid w:val="00C6239D"/>
    <w:rsid w:val="00C6594B"/>
    <w:rsid w:val="00C67FFB"/>
    <w:rsid w:val="00C707F6"/>
    <w:rsid w:val="00C7155E"/>
    <w:rsid w:val="00C71707"/>
    <w:rsid w:val="00C71D1E"/>
    <w:rsid w:val="00C71D7D"/>
    <w:rsid w:val="00C729CA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0616"/>
    <w:rsid w:val="00CE5AD6"/>
    <w:rsid w:val="00CE617F"/>
    <w:rsid w:val="00CE78EF"/>
    <w:rsid w:val="00D00C80"/>
    <w:rsid w:val="00D01EA7"/>
    <w:rsid w:val="00D048F7"/>
    <w:rsid w:val="00D0517E"/>
    <w:rsid w:val="00D064C7"/>
    <w:rsid w:val="00D140FC"/>
    <w:rsid w:val="00D21D8C"/>
    <w:rsid w:val="00D31357"/>
    <w:rsid w:val="00D33220"/>
    <w:rsid w:val="00D334D1"/>
    <w:rsid w:val="00D424E4"/>
    <w:rsid w:val="00D44C89"/>
    <w:rsid w:val="00D504F8"/>
    <w:rsid w:val="00D516CD"/>
    <w:rsid w:val="00D63560"/>
    <w:rsid w:val="00D63AA0"/>
    <w:rsid w:val="00D668E6"/>
    <w:rsid w:val="00D70670"/>
    <w:rsid w:val="00D72320"/>
    <w:rsid w:val="00D74D80"/>
    <w:rsid w:val="00D76624"/>
    <w:rsid w:val="00D87570"/>
    <w:rsid w:val="00D87E5D"/>
    <w:rsid w:val="00D91CB9"/>
    <w:rsid w:val="00D97989"/>
    <w:rsid w:val="00D97D8D"/>
    <w:rsid w:val="00DA352E"/>
    <w:rsid w:val="00DA75CC"/>
    <w:rsid w:val="00DA7708"/>
    <w:rsid w:val="00DC7694"/>
    <w:rsid w:val="00DD1BF6"/>
    <w:rsid w:val="00DD2F9B"/>
    <w:rsid w:val="00DE2513"/>
    <w:rsid w:val="00DE26E8"/>
    <w:rsid w:val="00DE6B38"/>
    <w:rsid w:val="00DF6F36"/>
    <w:rsid w:val="00E0084C"/>
    <w:rsid w:val="00E025AB"/>
    <w:rsid w:val="00E02B23"/>
    <w:rsid w:val="00E06F40"/>
    <w:rsid w:val="00E07CE8"/>
    <w:rsid w:val="00E2139D"/>
    <w:rsid w:val="00E227B0"/>
    <w:rsid w:val="00E26A07"/>
    <w:rsid w:val="00E31465"/>
    <w:rsid w:val="00E32595"/>
    <w:rsid w:val="00E37CFD"/>
    <w:rsid w:val="00E41A26"/>
    <w:rsid w:val="00E45417"/>
    <w:rsid w:val="00E46BCB"/>
    <w:rsid w:val="00E4737B"/>
    <w:rsid w:val="00E51CAF"/>
    <w:rsid w:val="00E54A0C"/>
    <w:rsid w:val="00E60F04"/>
    <w:rsid w:val="00E62AAC"/>
    <w:rsid w:val="00E67C2F"/>
    <w:rsid w:val="00E67EF5"/>
    <w:rsid w:val="00E7718D"/>
    <w:rsid w:val="00E804EA"/>
    <w:rsid w:val="00E80A71"/>
    <w:rsid w:val="00E82337"/>
    <w:rsid w:val="00E85840"/>
    <w:rsid w:val="00E92499"/>
    <w:rsid w:val="00E949AF"/>
    <w:rsid w:val="00E96077"/>
    <w:rsid w:val="00EA0A06"/>
    <w:rsid w:val="00EA6243"/>
    <w:rsid w:val="00EA74AB"/>
    <w:rsid w:val="00EA7549"/>
    <w:rsid w:val="00EB2882"/>
    <w:rsid w:val="00EB3D1B"/>
    <w:rsid w:val="00EB3E4C"/>
    <w:rsid w:val="00ED1D89"/>
    <w:rsid w:val="00ED66BC"/>
    <w:rsid w:val="00EF233A"/>
    <w:rsid w:val="00EF303E"/>
    <w:rsid w:val="00EF3A40"/>
    <w:rsid w:val="00EF7F78"/>
    <w:rsid w:val="00F018C4"/>
    <w:rsid w:val="00F01B08"/>
    <w:rsid w:val="00F01C4D"/>
    <w:rsid w:val="00F053FA"/>
    <w:rsid w:val="00F078C6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15D7"/>
    <w:rsid w:val="00F87D92"/>
    <w:rsid w:val="00F90AA7"/>
    <w:rsid w:val="00F92498"/>
    <w:rsid w:val="00F9496B"/>
    <w:rsid w:val="00F970C9"/>
    <w:rsid w:val="00FA06A8"/>
    <w:rsid w:val="00FA3DF5"/>
    <w:rsid w:val="00FA741F"/>
    <w:rsid w:val="00FB0CF5"/>
    <w:rsid w:val="00FB4E07"/>
    <w:rsid w:val="00FB755A"/>
    <w:rsid w:val="00FC60A2"/>
    <w:rsid w:val="00FD1871"/>
    <w:rsid w:val="00FD3110"/>
    <w:rsid w:val="00FD7CF6"/>
    <w:rsid w:val="00FE77C6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32678A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E54A0C"/>
    <w:p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B3C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3C3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3C36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3C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3C36"/>
    <w:rPr>
      <w:b/>
      <w:bCs/>
      <w:szCs w:val="20"/>
    </w:rPr>
  </w:style>
  <w:style w:type="paragraph" w:styleId="Revision">
    <w:name w:val="Revision"/>
    <w:hidden/>
    <w:uiPriority w:val="99"/>
    <w:semiHidden/>
    <w:rsid w:val="001447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52487D2DE58448BB95AC3F4347567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823D08-A32F-46C3-B208-7AF6CB5A8D5D}"/>
      </w:docPartPr>
      <w:docPartBody>
        <w:p w:rsidR="00F63DC0" w:rsidRDefault="001E660F" w:rsidP="001E660F">
          <w:pPr>
            <w:pStyle w:val="52487D2DE58448BB95AC3F4347567CD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3ED7063648043DA82624157FDE742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2E56D6-EF4B-40B1-90DD-0AED1D0163E3}"/>
      </w:docPartPr>
      <w:docPartBody>
        <w:p w:rsidR="00613A70" w:rsidRDefault="0092769E" w:rsidP="0092769E">
          <w:pPr>
            <w:pStyle w:val="F3ED7063648043DA82624157FDE742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E660F"/>
    <w:rsid w:val="001F2019"/>
    <w:rsid w:val="00613A70"/>
    <w:rsid w:val="00620BDB"/>
    <w:rsid w:val="00705C32"/>
    <w:rsid w:val="0092769E"/>
    <w:rsid w:val="00C35D94"/>
    <w:rsid w:val="00D21A9F"/>
    <w:rsid w:val="00D504F8"/>
    <w:rsid w:val="00EF55D8"/>
    <w:rsid w:val="00F6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2769E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52487D2DE58448BB95AC3F4347567CDA">
    <w:name w:val="52487D2DE58448BB95AC3F4347567CDA"/>
    <w:rsid w:val="001E660F"/>
  </w:style>
  <w:style w:type="paragraph" w:customStyle="1" w:styleId="F3ED7063648043DA82624157FDE7422C">
    <w:name w:val="F3ED7063648043DA82624157FDE7422C"/>
    <w:rsid w:val="009276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89D999B-7306-4FF6-9564-179768B082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A8047A-4B20-454B-BA85-8240E44112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823D8D-3041-42FF-97FC-F4FC55F8971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F23841-7ECD-45F0-9613-63046F70EAAE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a0509f21-ed56-4150-9955-96be669e5f2d"/>
    <ds:schemaRef ds:uri="1c567317-0c4d-4a62-8516-c22afd1b5354"/>
    <ds:schemaRef ds:uri="http://www.w3.org/XML/1998/namespace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1482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2020-01-22T05:39:00Z</dcterms:created>
  <dcterms:modified xsi:type="dcterms:W3CDTF">2026-01-09T00:11:00Z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2026-01-02T03:19:01Z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6d371142-19e6-4d36-a197-48d0bbc8918a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