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0562C89" w14:textId="77777777" w:rsidR="00BD499F" w:rsidRPr="004C23F4" w:rsidRDefault="00FD312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nicotine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7E2E3E3B" w14:textId="77777777" w:rsidTr="00B76A41">
        <w:trPr>
          <w:cantSplit/>
          <w:tblHeader/>
        </w:trPr>
        <w:tc>
          <w:tcPr>
            <w:tcW w:w="4077" w:type="dxa"/>
          </w:tcPr>
          <w:p w14:paraId="74F7633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1A691A5" w14:textId="77777777" w:rsidR="00F43AD5" w:rsidRPr="00717D45" w:rsidRDefault="00F85398" w:rsidP="00B76A41">
            <w:pPr>
              <w:pStyle w:val="Tablefont"/>
            </w:pPr>
            <w:r>
              <w:t>54-11-5</w:t>
            </w:r>
          </w:p>
        </w:tc>
      </w:tr>
      <w:tr w:rsidR="00F43AD5" w:rsidRPr="004C23F4" w14:paraId="4466189D" w14:textId="77777777" w:rsidTr="00B76A41">
        <w:trPr>
          <w:cantSplit/>
        </w:trPr>
        <w:tc>
          <w:tcPr>
            <w:tcW w:w="4077" w:type="dxa"/>
          </w:tcPr>
          <w:p w14:paraId="4F164EB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5D701A0" w14:textId="6DA0C113" w:rsidR="00F43AD5" w:rsidRPr="00717D45" w:rsidRDefault="00A039C0" w:rsidP="00DF7793">
            <w:pPr>
              <w:pStyle w:val="Tablefont"/>
            </w:pPr>
            <w:r>
              <w:t>1-Methyl-2-(3-</w:t>
            </w:r>
            <w:proofErr w:type="gramStart"/>
            <w:r>
              <w:t>pyridyl)pyrrolidine</w:t>
            </w:r>
            <w:proofErr w:type="gramEnd"/>
            <w:r w:rsidR="00DF7793">
              <w:t xml:space="preserve">, </w:t>
            </w:r>
            <w:r w:rsidR="00F57D14">
              <w:br/>
            </w:r>
            <w:r w:rsidR="00DF7793" w:rsidRPr="00DF7793">
              <w:t>(S)-3-(1-methylpyrrolidin-2-</w:t>
            </w:r>
            <w:proofErr w:type="gramStart"/>
            <w:r w:rsidR="00DF7793" w:rsidRPr="00DF7793">
              <w:t>yl)pyridine</w:t>
            </w:r>
            <w:proofErr w:type="gramEnd"/>
            <w:r w:rsidR="00DF7793">
              <w:t xml:space="preserve">, </w:t>
            </w:r>
            <w:r w:rsidR="00F57D14">
              <w:br/>
            </w:r>
            <w:r w:rsidR="00DF7793">
              <w:t>(S)-3-(1-methyl-2-</w:t>
            </w:r>
            <w:proofErr w:type="gramStart"/>
            <w:r w:rsidR="00DF7793">
              <w:t>pyrrolidinyl)pyridine</w:t>
            </w:r>
            <w:proofErr w:type="gramEnd"/>
            <w:r w:rsidR="00DF7793">
              <w:t xml:space="preserve">, </w:t>
            </w:r>
            <w:r w:rsidR="00F57D14">
              <w:br/>
            </w:r>
            <w:r w:rsidR="00DF7793">
              <w:t>β-pyridyl-α-N-methylpyrrolidine</w:t>
            </w:r>
          </w:p>
        </w:tc>
      </w:tr>
      <w:tr w:rsidR="00F43AD5" w:rsidRPr="004C23F4" w14:paraId="42205687" w14:textId="77777777" w:rsidTr="00B76A41">
        <w:trPr>
          <w:cantSplit/>
        </w:trPr>
        <w:tc>
          <w:tcPr>
            <w:tcW w:w="4077" w:type="dxa"/>
          </w:tcPr>
          <w:p w14:paraId="1BCB0F7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81BEB57" w14:textId="77777777" w:rsidR="00F43AD5" w:rsidRPr="00717D45" w:rsidRDefault="00A039C0" w:rsidP="00B76A41">
            <w:pPr>
              <w:pStyle w:val="Tablefont"/>
            </w:pPr>
            <w:r>
              <w:t>C</w:t>
            </w:r>
            <w:r w:rsidRPr="00A039C0">
              <w:rPr>
                <w:vertAlign w:val="subscript"/>
              </w:rPr>
              <w:t>10</w:t>
            </w:r>
            <w:r>
              <w:t>H</w:t>
            </w:r>
            <w:r w:rsidRPr="00A039C0">
              <w:rPr>
                <w:vertAlign w:val="subscript"/>
              </w:rPr>
              <w:t>14</w:t>
            </w:r>
            <w:r>
              <w:t>N</w:t>
            </w:r>
            <w:r w:rsidRPr="00A039C0">
              <w:rPr>
                <w:vertAlign w:val="subscript"/>
              </w:rPr>
              <w:t>2</w:t>
            </w:r>
          </w:p>
        </w:tc>
      </w:tr>
      <w:tr w:rsidR="00F43AD5" w:rsidRPr="004C23F4" w14:paraId="64918E3E" w14:textId="77777777" w:rsidTr="00B76A41">
        <w:trPr>
          <w:cantSplit/>
        </w:trPr>
        <w:tc>
          <w:tcPr>
            <w:tcW w:w="4077" w:type="dxa"/>
          </w:tcPr>
          <w:p w14:paraId="6DA43E6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0FBBD14" w14:textId="77777777" w:rsidR="00F43AD5" w:rsidRPr="00B40C60" w:rsidRDefault="00A039C0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F0AC288" w14:textId="269E1B3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D312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120AD84" w14:textId="77777777" w:rsidTr="00A039C0">
        <w:trPr>
          <w:cantSplit/>
          <w:tblHeader/>
        </w:trPr>
        <w:tc>
          <w:tcPr>
            <w:tcW w:w="4010" w:type="dxa"/>
            <w:vAlign w:val="center"/>
          </w:tcPr>
          <w:p w14:paraId="1AD5A55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1359EFB" w14:textId="4B1BE279" w:rsidR="002C7AFE" w:rsidRPr="00FD3121" w:rsidRDefault="00FD312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1A0A85">
              <w:rPr>
                <w:b/>
              </w:rPr>
              <w:t xml:space="preserve">5 </w:t>
            </w:r>
            <w:r>
              <w:rPr>
                <w:b/>
              </w:rPr>
              <w:t>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A039C0" w:rsidRPr="004C23F4" w14:paraId="61719C3D" w14:textId="77777777" w:rsidTr="00A039C0">
        <w:trPr>
          <w:cantSplit/>
        </w:trPr>
        <w:tc>
          <w:tcPr>
            <w:tcW w:w="4010" w:type="dxa"/>
            <w:vAlign w:val="center"/>
          </w:tcPr>
          <w:p w14:paraId="6DAD92D7" w14:textId="77777777" w:rsidR="00A039C0" w:rsidRPr="002C58FF" w:rsidRDefault="00A039C0" w:rsidP="00A039C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6E745E8" w14:textId="77777777" w:rsidR="00A039C0" w:rsidRPr="00A039C0" w:rsidRDefault="00A039C0" w:rsidP="00A039C0">
            <w:pPr>
              <w:pStyle w:val="Tablefont"/>
              <w:rPr>
                <w:b/>
              </w:rPr>
            </w:pPr>
            <w:r w:rsidRPr="00E511D0">
              <w:rPr>
                <w:b/>
              </w:rPr>
              <w:t>—</w:t>
            </w:r>
          </w:p>
        </w:tc>
      </w:tr>
      <w:tr w:rsidR="00A039C0" w:rsidRPr="004C23F4" w14:paraId="19A3EC1C" w14:textId="77777777" w:rsidTr="00A039C0">
        <w:trPr>
          <w:cantSplit/>
        </w:trPr>
        <w:tc>
          <w:tcPr>
            <w:tcW w:w="4010" w:type="dxa"/>
            <w:vAlign w:val="center"/>
          </w:tcPr>
          <w:p w14:paraId="5E83AA86" w14:textId="77777777" w:rsidR="00A039C0" w:rsidRPr="002C58FF" w:rsidRDefault="00A039C0" w:rsidP="00A039C0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C31B2C3" w14:textId="77777777" w:rsidR="00A039C0" w:rsidRPr="00A039C0" w:rsidRDefault="00A039C0" w:rsidP="00A039C0">
            <w:pPr>
              <w:pStyle w:val="Tablefont"/>
              <w:rPr>
                <w:b/>
              </w:rPr>
            </w:pPr>
            <w:r w:rsidRPr="00E511D0">
              <w:rPr>
                <w:b/>
              </w:rPr>
              <w:t>—</w:t>
            </w:r>
          </w:p>
        </w:tc>
      </w:tr>
      <w:tr w:rsidR="00A039C0" w:rsidRPr="004C23F4" w14:paraId="14E42B5A" w14:textId="77777777" w:rsidTr="00A039C0">
        <w:trPr>
          <w:cantSplit/>
        </w:trPr>
        <w:tc>
          <w:tcPr>
            <w:tcW w:w="4010" w:type="dxa"/>
          </w:tcPr>
          <w:p w14:paraId="40A5BF05" w14:textId="77777777" w:rsidR="00A039C0" w:rsidRPr="002C58FF" w:rsidRDefault="00A039C0" w:rsidP="00A039C0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19DFC48" w14:textId="0758CFD8" w:rsidR="00A039C0" w:rsidRPr="00A039C0" w:rsidRDefault="00FD3121" w:rsidP="00A039C0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A039C0" w:rsidRPr="004C23F4" w14:paraId="3AD2F702" w14:textId="77777777" w:rsidTr="00A039C0">
        <w:trPr>
          <w:cantSplit/>
        </w:trPr>
        <w:tc>
          <w:tcPr>
            <w:tcW w:w="4010" w:type="dxa"/>
            <w:vAlign w:val="center"/>
          </w:tcPr>
          <w:p w14:paraId="105FE354" w14:textId="77777777" w:rsidR="00A039C0" w:rsidRPr="002C58FF" w:rsidRDefault="00A039C0" w:rsidP="00A039C0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9A0D9DE" w14:textId="50CE71E8" w:rsidR="00A039C0" w:rsidRPr="00A039C0" w:rsidRDefault="00F345C6" w:rsidP="00A039C0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 w:rsidRPr="00F345C6">
              <w:rPr>
                <w:b/>
                <w:vertAlign w:val="superscript"/>
              </w:rPr>
              <w:t>3</w:t>
            </w:r>
          </w:p>
        </w:tc>
      </w:tr>
      <w:tr w:rsidR="00FD3121" w:rsidRPr="004C23F4" w14:paraId="718F5E92" w14:textId="77777777" w:rsidTr="001A0B07">
        <w:trPr>
          <w:cantSplit/>
        </w:trPr>
        <w:tc>
          <w:tcPr>
            <w:tcW w:w="9026" w:type="dxa"/>
            <w:gridSpan w:val="2"/>
            <w:vAlign w:val="center"/>
          </w:tcPr>
          <w:p w14:paraId="1D6973E2" w14:textId="4AB42EE5" w:rsidR="00FD3121" w:rsidRPr="00A039C0" w:rsidRDefault="00FD3121" w:rsidP="00A039C0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FA4204ED61E4A349351EF0EC9B5EB0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42BED1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433747B" w14:textId="4291C3E1" w:rsidR="006639B4" w:rsidRDefault="00FD3121" w:rsidP="000C139A">
      <w:pPr>
        <w:rPr>
          <w:rFonts w:cs="Arial"/>
        </w:rPr>
      </w:pPr>
      <w:r w:rsidRPr="00FD3121">
        <w:rPr>
          <w:rFonts w:cs="Arial"/>
        </w:rPr>
        <w:t xml:space="preserve">A TWA of </w:t>
      </w:r>
      <w:r>
        <w:rPr>
          <w:rFonts w:cs="Arial"/>
        </w:rPr>
        <w:t>0.</w:t>
      </w:r>
      <w:r w:rsidR="001A0A85">
        <w:rPr>
          <w:rFonts w:cs="Arial"/>
        </w:rPr>
        <w:t>5</w:t>
      </w:r>
      <w:r w:rsidR="001A0A85" w:rsidRPr="00FD3121">
        <w:rPr>
          <w:rFonts w:cs="Arial"/>
        </w:rPr>
        <w:t xml:space="preserve"> </w:t>
      </w:r>
      <w:r w:rsidRPr="00FD3121">
        <w:rPr>
          <w:rFonts w:cs="Arial"/>
        </w:rPr>
        <w:t>mg/m</w:t>
      </w:r>
      <w:r w:rsidRPr="00FD3121">
        <w:rPr>
          <w:rFonts w:cs="Arial"/>
          <w:vertAlign w:val="superscript"/>
        </w:rPr>
        <w:t>3</w:t>
      </w:r>
      <w:r>
        <w:rPr>
          <w:rFonts w:cs="Arial"/>
        </w:rPr>
        <w:t xml:space="preserve"> i</w:t>
      </w:r>
      <w:r w:rsidRPr="00FD3121">
        <w:rPr>
          <w:rFonts w:cs="Arial"/>
        </w:rPr>
        <w:t xml:space="preserve">s </w:t>
      </w:r>
      <w:r>
        <w:rPr>
          <w:rFonts w:cs="Arial"/>
        </w:rPr>
        <w:t>recommended</w:t>
      </w:r>
      <w:r w:rsidRPr="00FD3121">
        <w:rPr>
          <w:rFonts w:cs="Arial"/>
        </w:rPr>
        <w:t xml:space="preserve"> to protect for </w:t>
      </w:r>
      <w:r>
        <w:rPr>
          <w:rFonts w:cs="Arial"/>
        </w:rPr>
        <w:t>headache and nausea</w:t>
      </w:r>
      <w:r w:rsidRPr="00FD3121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10E72FDB" w14:textId="77777777" w:rsidR="00373D57" w:rsidRPr="00373D57" w:rsidRDefault="00373D57" w:rsidP="00373D57">
      <w:pPr>
        <w:rPr>
          <w:rFonts w:cs="Arial"/>
        </w:rPr>
      </w:pPr>
      <w:r w:rsidRPr="00373D57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0508667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DA76D45" w14:textId="6D145DC9" w:rsidR="00CD33EC" w:rsidRDefault="00FD3121" w:rsidP="006639B4">
      <w:pPr>
        <w:rPr>
          <w:rFonts w:cs="Arial"/>
        </w:rPr>
      </w:pPr>
      <w:r>
        <w:rPr>
          <w:rFonts w:cs="Arial"/>
        </w:rPr>
        <w:t xml:space="preserve">Nicotine is used as an insecticide, tranquilising agent and therapeutic medicine. </w:t>
      </w:r>
    </w:p>
    <w:p w14:paraId="5BD3010F" w14:textId="77777777" w:rsidR="001F6133" w:rsidRDefault="00FD3121" w:rsidP="00FD3121">
      <w:r>
        <w:rPr>
          <w:rFonts w:cs="Arial"/>
        </w:rPr>
        <w:t>Critical effects</w:t>
      </w:r>
      <w:r w:rsidR="00CD33EC">
        <w:rPr>
          <w:rFonts w:cs="Arial"/>
        </w:rPr>
        <w:t xml:space="preserve"> of exposure</w:t>
      </w:r>
      <w:r>
        <w:rPr>
          <w:rFonts w:cs="Arial"/>
        </w:rPr>
        <w:t xml:space="preserve"> are headache </w:t>
      </w:r>
      <w:r w:rsidR="00AD4BCC">
        <w:rPr>
          <w:rFonts w:cs="Arial"/>
        </w:rPr>
        <w:t xml:space="preserve">and </w:t>
      </w:r>
      <w:r>
        <w:rPr>
          <w:rFonts w:cs="Arial"/>
        </w:rPr>
        <w:t>nausea.</w:t>
      </w:r>
      <w:r w:rsidR="00CD33EC">
        <w:t xml:space="preserve"> </w:t>
      </w:r>
    </w:p>
    <w:p w14:paraId="2E4F4CD4" w14:textId="46427507" w:rsidR="006639B4" w:rsidRDefault="00D40EA8" w:rsidP="00FD3121">
      <w:r>
        <w:t>Adverse central nervous system (CNS) effects were associated with air concentrations of 1.18 mg/m</w:t>
      </w:r>
      <w:r>
        <w:rPr>
          <w:vertAlign w:val="superscript"/>
        </w:rPr>
        <w:t>3</w:t>
      </w:r>
      <w:r>
        <w:t xml:space="preserve"> at the workplace (HCOTN, 2005). </w:t>
      </w:r>
      <w:r w:rsidR="00FD3121">
        <w:t xml:space="preserve">Slight to moderate increases in respiration, heart rate and blood pressure </w:t>
      </w:r>
      <w:r>
        <w:t xml:space="preserve">were </w:t>
      </w:r>
      <w:r w:rsidR="00FD3121">
        <w:t xml:space="preserve">reported for intravenous doses at 0.6 mg in a volunteer study with </w:t>
      </w:r>
      <w:r w:rsidR="009866B1">
        <w:t xml:space="preserve">some </w:t>
      </w:r>
      <w:r w:rsidR="00FD3121">
        <w:t xml:space="preserve">complaints of nausea and headache at 3 mg (ACGIH, 2018). </w:t>
      </w:r>
      <w:r w:rsidR="00FA1CBD">
        <w:t>Impaired foetal brain development</w:t>
      </w:r>
      <w:r w:rsidR="00FD3121">
        <w:t xml:space="preserve"> </w:t>
      </w:r>
      <w:r>
        <w:t>was</w:t>
      </w:r>
      <w:r w:rsidR="00B10CA3">
        <w:t xml:space="preserve"> suggested </w:t>
      </w:r>
      <w:r w:rsidR="00FD3121">
        <w:t xml:space="preserve">in </w:t>
      </w:r>
      <w:r w:rsidR="00B10CA3">
        <w:t>studies of women exposed to cigarette smoke containing nicotine</w:t>
      </w:r>
      <w:r w:rsidR="00FD3121">
        <w:t xml:space="preserve"> </w:t>
      </w:r>
      <w:r w:rsidR="00B10CA3">
        <w:t>(HCOTN, 2005)</w:t>
      </w:r>
      <w:r>
        <w:t xml:space="preserve">, which is </w:t>
      </w:r>
      <w:r w:rsidR="00FA1CBD">
        <w:t>supported by evidence for developmental toxicity in rats administered su</w:t>
      </w:r>
      <w:r w:rsidR="00B10CA3">
        <w:t xml:space="preserve">bcutaneous doses </w:t>
      </w:r>
      <w:r w:rsidR="003D0B67">
        <w:t>at</w:t>
      </w:r>
      <w:r w:rsidR="00B10CA3">
        <w:t xml:space="preserve"> </w:t>
      </w:r>
      <w:r w:rsidR="00FD3121">
        <w:t>0.1</w:t>
      </w:r>
      <w:r w:rsidR="00FA1CBD">
        <w:t> </w:t>
      </w:r>
      <w:r w:rsidR="00FD3121">
        <w:t>mg/kg (DFG, 2003). A LOAE</w:t>
      </w:r>
      <w:r w:rsidR="00D6512B">
        <w:t>C</w:t>
      </w:r>
      <w:r w:rsidR="00FD3121">
        <w:t xml:space="preserve"> of </w:t>
      </w:r>
      <w:r w:rsidR="00AD4BCC">
        <w:t>10 </w:t>
      </w:r>
      <w:r w:rsidR="00FD3121" w:rsidRPr="00FD3121">
        <w:t>mg/m</w:t>
      </w:r>
      <w:r w:rsidR="00FD3121" w:rsidRPr="00FD3121">
        <w:rPr>
          <w:vertAlign w:val="superscript"/>
        </w:rPr>
        <w:t>3</w:t>
      </w:r>
      <w:r w:rsidR="00FD3121" w:rsidRPr="00FD3121">
        <w:t xml:space="preserve"> for </w:t>
      </w:r>
      <w:r w:rsidR="00FD3121">
        <w:t xml:space="preserve">adverse liver, thymus, adrenal and uterine effects </w:t>
      </w:r>
      <w:r>
        <w:t xml:space="preserve">was </w:t>
      </w:r>
      <w:r w:rsidR="00FD3121">
        <w:t>reported in a sub</w:t>
      </w:r>
      <w:r w:rsidR="001F6133">
        <w:t>-</w:t>
      </w:r>
      <w:r w:rsidR="00FD3121">
        <w:t xml:space="preserve">chronic combined inhalation </w:t>
      </w:r>
      <w:r w:rsidR="00AD4BCC">
        <w:t xml:space="preserve">and </w:t>
      </w:r>
      <w:r w:rsidR="00FD3121">
        <w:t xml:space="preserve">reproductive study </w:t>
      </w:r>
      <w:r w:rsidR="00F57D14">
        <w:t>in</w:t>
      </w:r>
      <w:r w:rsidR="00FD3121">
        <w:t xml:space="preserve"> rats (ECHA, 2019).</w:t>
      </w:r>
    </w:p>
    <w:p w14:paraId="539934CD" w14:textId="4FAB0A4B" w:rsidR="00FD3121" w:rsidRDefault="003D567A" w:rsidP="00FD3121">
      <w:pPr>
        <w:rPr>
          <w:rFonts w:cs="Arial"/>
        </w:rPr>
      </w:pPr>
      <w:r>
        <w:rPr>
          <w:rFonts w:cs="Arial"/>
        </w:rPr>
        <w:t>DFG (2003) did not recommend a MAK because of</w:t>
      </w:r>
      <w:r w:rsidR="00445041">
        <w:rPr>
          <w:rFonts w:cs="Arial"/>
        </w:rPr>
        <w:t xml:space="preserve"> absence of suitable chronic exposure</w:t>
      </w:r>
      <w:r w:rsidR="00D40EA8">
        <w:rPr>
          <w:rFonts w:cs="Arial"/>
        </w:rPr>
        <w:t xml:space="preserve"> data</w:t>
      </w:r>
      <w:r w:rsidR="00856301">
        <w:rPr>
          <w:rFonts w:cs="Arial"/>
        </w:rPr>
        <w:t>. While</w:t>
      </w:r>
      <w:r w:rsidR="00D40EA8">
        <w:rPr>
          <w:rFonts w:cs="Arial"/>
        </w:rPr>
        <w:t xml:space="preserve"> ACGIH (2018) recommend </w:t>
      </w:r>
      <w:r>
        <w:rPr>
          <w:rFonts w:cs="Arial"/>
        </w:rPr>
        <w:t xml:space="preserve">a </w:t>
      </w:r>
      <w:r w:rsidR="00F427D5">
        <w:rPr>
          <w:rFonts w:cs="Arial"/>
        </w:rPr>
        <w:t xml:space="preserve">TLV-TWA </w:t>
      </w:r>
      <w:r>
        <w:rPr>
          <w:rFonts w:cs="Arial"/>
        </w:rPr>
        <w:t>of 0.5 mg/m</w:t>
      </w:r>
      <w:r>
        <w:rPr>
          <w:rFonts w:cs="Arial"/>
          <w:vertAlign w:val="superscript"/>
        </w:rPr>
        <w:t>3</w:t>
      </w:r>
      <w:r w:rsidRPr="00FD3121">
        <w:rPr>
          <w:rFonts w:cs="Arial"/>
        </w:rPr>
        <w:t xml:space="preserve"> </w:t>
      </w:r>
      <w:r w:rsidR="00F427D5">
        <w:rPr>
          <w:rFonts w:cs="Arial"/>
        </w:rPr>
        <w:t xml:space="preserve">based </w:t>
      </w:r>
      <w:r w:rsidR="00D40EA8">
        <w:rPr>
          <w:rFonts w:cs="Arial"/>
        </w:rPr>
        <w:t>on</w:t>
      </w:r>
      <w:r w:rsidR="00445041">
        <w:rPr>
          <w:rFonts w:cs="Arial"/>
        </w:rPr>
        <w:t xml:space="preserve"> a</w:t>
      </w:r>
      <w:r w:rsidR="000B7164">
        <w:rPr>
          <w:rFonts w:cs="Arial"/>
        </w:rPr>
        <w:t>n</w:t>
      </w:r>
      <w:r w:rsidR="00445041">
        <w:rPr>
          <w:rFonts w:cs="Arial"/>
        </w:rPr>
        <w:t xml:space="preserve"> </w:t>
      </w:r>
      <w:r w:rsidR="000B7164">
        <w:rPr>
          <w:rFonts w:cs="Arial"/>
        </w:rPr>
        <w:t xml:space="preserve">intravenous dose study in </w:t>
      </w:r>
      <w:r w:rsidR="00445041">
        <w:rPr>
          <w:rFonts w:cs="Arial"/>
        </w:rPr>
        <w:t>volunteer</w:t>
      </w:r>
      <w:r w:rsidR="000B7164">
        <w:rPr>
          <w:rFonts w:cs="Arial"/>
        </w:rPr>
        <w:t>s</w:t>
      </w:r>
      <w:r w:rsidR="00410AAA">
        <w:rPr>
          <w:rFonts w:cs="Arial"/>
        </w:rPr>
        <w:t>.</w:t>
      </w:r>
      <w:r w:rsidR="00411882">
        <w:rPr>
          <w:rFonts w:cs="Arial"/>
        </w:rPr>
        <w:t xml:space="preserve"> T</w:t>
      </w:r>
      <w:r w:rsidR="00445041">
        <w:rPr>
          <w:rFonts w:cs="Arial"/>
        </w:rPr>
        <w:t xml:space="preserve">he current administrative </w:t>
      </w:r>
      <w:r w:rsidR="00C17987">
        <w:rPr>
          <w:rFonts w:cs="Arial"/>
        </w:rPr>
        <w:t>occupational exposure limit (</w:t>
      </w:r>
      <w:r w:rsidR="00445041">
        <w:rPr>
          <w:rFonts w:cs="Arial"/>
        </w:rPr>
        <w:t>OEL</w:t>
      </w:r>
      <w:r w:rsidR="00C17987">
        <w:rPr>
          <w:rFonts w:cs="Arial"/>
        </w:rPr>
        <w:t>)</w:t>
      </w:r>
      <w:r w:rsidR="00445041">
        <w:rPr>
          <w:rFonts w:cs="Arial"/>
        </w:rPr>
        <w:t xml:space="preserve"> by HCOTN (2005) </w:t>
      </w:r>
      <w:r w:rsidR="00856301">
        <w:rPr>
          <w:rFonts w:cs="Arial"/>
        </w:rPr>
        <w:t xml:space="preserve">is </w:t>
      </w:r>
      <w:r w:rsidR="00445041">
        <w:rPr>
          <w:rFonts w:cs="Arial"/>
        </w:rPr>
        <w:t>presumably adopted from the TLV-TWA.</w:t>
      </w:r>
      <w:r w:rsidR="00D40EA8">
        <w:rPr>
          <w:rFonts w:cs="Arial"/>
        </w:rPr>
        <w:t xml:space="preserve"> </w:t>
      </w:r>
      <w:r w:rsidR="009627BF">
        <w:rPr>
          <w:rFonts w:cs="Arial"/>
        </w:rPr>
        <w:t xml:space="preserve">Despite the present recommendations of ACGIH (2018) and HCOTN (2005), </w:t>
      </w:r>
      <w:r>
        <w:rPr>
          <w:rFonts w:cs="Arial"/>
        </w:rPr>
        <w:t xml:space="preserve">it is unclear if </w:t>
      </w:r>
      <w:r w:rsidR="009627BF">
        <w:rPr>
          <w:rFonts w:cs="Arial"/>
        </w:rPr>
        <w:t>an air concentration of 0.5 mg/m</w:t>
      </w:r>
      <w:r w:rsidR="009627BF">
        <w:rPr>
          <w:rFonts w:cs="Arial"/>
          <w:vertAlign w:val="superscript"/>
        </w:rPr>
        <w:t>3</w:t>
      </w:r>
      <w:r w:rsidR="009627BF" w:rsidRPr="00FD3121">
        <w:rPr>
          <w:rFonts w:cs="Arial"/>
        </w:rPr>
        <w:t xml:space="preserve"> </w:t>
      </w:r>
      <w:r>
        <w:rPr>
          <w:rFonts w:cs="Arial"/>
        </w:rPr>
        <w:t>is</w:t>
      </w:r>
      <w:r w:rsidR="00A148E2">
        <w:rPr>
          <w:rFonts w:cs="Arial"/>
        </w:rPr>
        <w:t xml:space="preserve"> sufficiently low </w:t>
      </w:r>
      <w:r w:rsidR="009627BF">
        <w:rPr>
          <w:rFonts w:cs="Arial"/>
        </w:rPr>
        <w:t xml:space="preserve">to </w:t>
      </w:r>
      <w:r w:rsidR="00A148E2">
        <w:rPr>
          <w:rFonts w:cs="Arial"/>
        </w:rPr>
        <w:t xml:space="preserve">protect for </w:t>
      </w:r>
      <w:r w:rsidR="009627BF">
        <w:rPr>
          <w:rFonts w:cs="Arial"/>
        </w:rPr>
        <w:t xml:space="preserve">headaches and nausea observed at 3 mg in the </w:t>
      </w:r>
      <w:r w:rsidR="00A148E2">
        <w:rPr>
          <w:rFonts w:cs="Arial"/>
        </w:rPr>
        <w:t xml:space="preserve">intravenous dose study of </w:t>
      </w:r>
      <w:r w:rsidR="009627BF">
        <w:rPr>
          <w:rFonts w:cs="Arial"/>
        </w:rPr>
        <w:t>volunteer</w:t>
      </w:r>
      <w:r w:rsidR="00A148E2">
        <w:rPr>
          <w:rFonts w:cs="Arial"/>
        </w:rPr>
        <w:t>s</w:t>
      </w:r>
      <w:r w:rsidR="009627BF">
        <w:rPr>
          <w:rFonts w:cs="Arial"/>
        </w:rPr>
        <w:t>.</w:t>
      </w:r>
      <w:r w:rsidR="001A0A85">
        <w:rPr>
          <w:rFonts w:cs="Arial"/>
        </w:rPr>
        <w:t xml:space="preserve"> </w:t>
      </w:r>
      <w:r w:rsidR="00856301">
        <w:rPr>
          <w:rFonts w:cs="Arial"/>
        </w:rPr>
        <w:t>Although</w:t>
      </w:r>
      <w:r>
        <w:rPr>
          <w:rFonts w:cs="Arial"/>
        </w:rPr>
        <w:t>,</w:t>
      </w:r>
      <w:r w:rsidR="00A148E2">
        <w:rPr>
          <w:rFonts w:cs="Arial"/>
        </w:rPr>
        <w:t xml:space="preserve"> it </w:t>
      </w:r>
      <w:r w:rsidR="00A148E2">
        <w:rPr>
          <w:rFonts w:cs="Arial"/>
        </w:rPr>
        <w:lastRenderedPageBreak/>
        <w:t>should be noted that</w:t>
      </w:r>
      <w:r w:rsidR="00856301">
        <w:rPr>
          <w:rFonts w:cs="Arial"/>
        </w:rPr>
        <w:t xml:space="preserve"> </w:t>
      </w:r>
      <w:r w:rsidR="00A148E2">
        <w:rPr>
          <w:rFonts w:cs="Arial"/>
        </w:rPr>
        <w:t xml:space="preserve">the adaptive nature of these effects </w:t>
      </w:r>
      <w:r>
        <w:rPr>
          <w:rFonts w:cs="Arial"/>
        </w:rPr>
        <w:t xml:space="preserve">from intravenous route </w:t>
      </w:r>
      <w:r w:rsidR="00A148E2">
        <w:rPr>
          <w:rFonts w:cs="Arial"/>
        </w:rPr>
        <w:t xml:space="preserve">is unclear </w:t>
      </w:r>
      <w:r w:rsidR="00856301">
        <w:rPr>
          <w:rFonts w:cs="Arial"/>
        </w:rPr>
        <w:t>i</w:t>
      </w:r>
      <w:r w:rsidR="009866B1">
        <w:rPr>
          <w:rFonts w:cs="Arial"/>
        </w:rPr>
        <w:t>n the absence of chronic exposure data.</w:t>
      </w:r>
      <w:r w:rsidR="00C03574">
        <w:rPr>
          <w:rFonts w:cs="Arial"/>
        </w:rPr>
        <w:t xml:space="preserve"> Furthermore, suitable inhalational studies </w:t>
      </w:r>
      <w:r w:rsidR="00C17987">
        <w:rPr>
          <w:rFonts w:cs="Arial"/>
        </w:rPr>
        <w:t xml:space="preserve">are not available </w:t>
      </w:r>
      <w:r w:rsidR="00C03574">
        <w:rPr>
          <w:rFonts w:cs="Arial"/>
        </w:rPr>
        <w:t xml:space="preserve">to </w:t>
      </w:r>
      <w:r w:rsidR="00C17987">
        <w:rPr>
          <w:rFonts w:cs="Arial"/>
        </w:rPr>
        <w:t>derive</w:t>
      </w:r>
      <w:r w:rsidR="00C03574">
        <w:rPr>
          <w:rFonts w:cs="Arial"/>
        </w:rPr>
        <w:t xml:space="preserve"> an </w:t>
      </w:r>
      <w:r w:rsidR="00C17987">
        <w:rPr>
          <w:rFonts w:cs="Arial"/>
        </w:rPr>
        <w:t>OEL</w:t>
      </w:r>
      <w:r w:rsidR="00C03574">
        <w:rPr>
          <w:rFonts w:cs="Arial"/>
        </w:rPr>
        <w:t xml:space="preserve">. </w:t>
      </w:r>
      <w:r w:rsidR="009627BF">
        <w:rPr>
          <w:rFonts w:cs="Arial"/>
        </w:rPr>
        <w:t>Due to th</w:t>
      </w:r>
      <w:r w:rsidR="00C03574">
        <w:rPr>
          <w:rFonts w:cs="Arial"/>
        </w:rPr>
        <w:t>e</w:t>
      </w:r>
      <w:r w:rsidR="009627BF">
        <w:rPr>
          <w:rFonts w:cs="Arial"/>
        </w:rPr>
        <w:t>s</w:t>
      </w:r>
      <w:r w:rsidR="00C03574">
        <w:rPr>
          <w:rFonts w:cs="Arial"/>
        </w:rPr>
        <w:t>e</w:t>
      </w:r>
      <w:r w:rsidR="009627BF">
        <w:rPr>
          <w:rFonts w:cs="Arial"/>
        </w:rPr>
        <w:t xml:space="preserve"> uncertaint</w:t>
      </w:r>
      <w:r w:rsidR="00C03574">
        <w:rPr>
          <w:rFonts w:cs="Arial"/>
        </w:rPr>
        <w:t>ies</w:t>
      </w:r>
      <w:r w:rsidR="009627BF">
        <w:rPr>
          <w:rFonts w:cs="Arial"/>
        </w:rPr>
        <w:t>, the current TWA of 0.5 mg/m</w:t>
      </w:r>
      <w:r w:rsidR="009627BF">
        <w:rPr>
          <w:rFonts w:cs="Arial"/>
          <w:vertAlign w:val="superscript"/>
        </w:rPr>
        <w:t>3</w:t>
      </w:r>
      <w:r w:rsidR="009627BF">
        <w:rPr>
          <w:rFonts w:cs="Arial"/>
        </w:rPr>
        <w:t xml:space="preserve"> is </w:t>
      </w:r>
      <w:r w:rsidR="00934B3B">
        <w:rPr>
          <w:rFonts w:cs="Arial"/>
        </w:rPr>
        <w:t xml:space="preserve">recommended </w:t>
      </w:r>
      <w:r w:rsidR="0042796D">
        <w:rPr>
          <w:rFonts w:cs="Arial"/>
        </w:rPr>
        <w:t xml:space="preserve">to </w:t>
      </w:r>
      <w:r w:rsidR="00104FE8">
        <w:rPr>
          <w:rFonts w:cs="Arial"/>
        </w:rPr>
        <w:t xml:space="preserve">be retained </w:t>
      </w:r>
      <w:r w:rsidR="009627BF">
        <w:rPr>
          <w:rFonts w:cs="Arial"/>
        </w:rPr>
        <w:t>in the interim</w:t>
      </w:r>
      <w:r w:rsidR="00C17987">
        <w:rPr>
          <w:rFonts w:cs="Arial"/>
        </w:rPr>
        <w:t>.</w:t>
      </w:r>
      <w:r w:rsidR="009627BF">
        <w:rPr>
          <w:rFonts w:cs="Arial"/>
        </w:rPr>
        <w:t xml:space="preserve"> </w:t>
      </w:r>
      <w:r w:rsidR="00C17987">
        <w:rPr>
          <w:rFonts w:cs="Arial"/>
        </w:rPr>
        <w:t>F</w:t>
      </w:r>
      <w:r w:rsidR="009627BF">
        <w:rPr>
          <w:rFonts w:cs="Arial"/>
        </w:rPr>
        <w:t>urther assessment of additional source material is recommended during subsequent reviews</w:t>
      </w:r>
      <w:r w:rsidR="00C17987">
        <w:rPr>
          <w:rFonts w:cs="Arial"/>
        </w:rPr>
        <w:t xml:space="preserve"> to identify inhalation and chronic exposure</w:t>
      </w:r>
      <w:r w:rsidR="00C17987" w:rsidDel="00C17987">
        <w:rPr>
          <w:rFonts w:cs="Arial"/>
        </w:rPr>
        <w:t xml:space="preserve"> </w:t>
      </w:r>
      <w:r w:rsidR="00C17987">
        <w:rPr>
          <w:rFonts w:cs="Arial"/>
        </w:rPr>
        <w:t>studies</w:t>
      </w:r>
      <w:r w:rsidR="009627BF">
        <w:rPr>
          <w:rFonts w:cs="Arial"/>
        </w:rPr>
        <w:t>.</w:t>
      </w:r>
    </w:p>
    <w:p w14:paraId="33432EF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36CA9CB" w14:textId="77777777" w:rsidR="00F85398" w:rsidRPr="00FD3121" w:rsidRDefault="00F85398" w:rsidP="00F85398">
      <w:pPr>
        <w:rPr>
          <w:rFonts w:cs="Arial"/>
        </w:rPr>
      </w:pPr>
      <w:r w:rsidRPr="00FD3121">
        <w:rPr>
          <w:rFonts w:cs="Arial"/>
        </w:rPr>
        <w:t xml:space="preserve">Not classified as a carcinogen according to the Globally Harmonized System of Classification and Labelling on Chemicals (GHS). </w:t>
      </w:r>
    </w:p>
    <w:p w14:paraId="312E2E0C" w14:textId="155D9C2B" w:rsidR="00F57D14" w:rsidRPr="00FD3121" w:rsidRDefault="00F85398" w:rsidP="00F57D14">
      <w:pPr>
        <w:rPr>
          <w:rFonts w:cs="Arial"/>
        </w:rPr>
      </w:pPr>
      <w:r w:rsidRPr="00FD3121">
        <w:rPr>
          <w:rFonts w:cs="Arial"/>
        </w:rPr>
        <w:t>Not classified as a skin or respiratory sensitiser according to the GHS.</w:t>
      </w:r>
      <w:r w:rsidR="00F57D14">
        <w:rPr>
          <w:rFonts w:cs="Arial"/>
        </w:rPr>
        <w:t xml:space="preserve"> A dermal sensitiser notation is recommended by US NIOSH (2015) in addition to a dermal absorption notation based on cases of sensitisation in therapeutic patch studies with humans. These reports are also cited in the evaluations of ACGIH (2018) and DFG (2003</w:t>
      </w:r>
      <w:r w:rsidR="001F6133">
        <w:rPr>
          <w:rFonts w:cs="Arial"/>
        </w:rPr>
        <w:t>) but</w:t>
      </w:r>
      <w:r w:rsidR="00F57D14">
        <w:rPr>
          <w:rFonts w:cs="Arial"/>
        </w:rPr>
        <w:t xml:space="preserve"> are considered insufficient to assign a notation. A review of the sensitisation classification is recommended.</w:t>
      </w:r>
    </w:p>
    <w:p w14:paraId="5C994F5D" w14:textId="13C3B87F" w:rsidR="00FD3121" w:rsidRPr="00FD3121" w:rsidRDefault="00034363" w:rsidP="00FD3121">
      <w:pPr>
        <w:rPr>
          <w:rFonts w:cs="Arial"/>
        </w:rPr>
      </w:pPr>
      <w:r>
        <w:rPr>
          <w:rFonts w:cs="Arial"/>
        </w:rPr>
        <w:t xml:space="preserve">A skin notation is </w:t>
      </w:r>
      <w:r w:rsidR="00F57D14">
        <w:rPr>
          <w:rFonts w:cs="Arial"/>
        </w:rPr>
        <w:t>recommend</w:t>
      </w:r>
      <w:r>
        <w:rPr>
          <w:rFonts w:cs="Arial"/>
        </w:rPr>
        <w:t xml:space="preserve">ed based on evidence for </w:t>
      </w:r>
      <w:r w:rsidR="00FD3121" w:rsidRPr="00FD3121">
        <w:rPr>
          <w:rFonts w:cs="Arial"/>
        </w:rPr>
        <w:t>rapid absorption through the skin and reports of acute poisonings in the workplace.</w:t>
      </w:r>
    </w:p>
    <w:p w14:paraId="39DFB4D2" w14:textId="77777777" w:rsidR="0025734A" w:rsidRPr="004C23F4" w:rsidRDefault="0025734A">
      <w:pPr>
        <w:rPr>
          <w:rFonts w:cs="Arial"/>
        </w:rPr>
      </w:pPr>
    </w:p>
    <w:p w14:paraId="5628B7A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3195F1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F612F9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A0BF9E4" w14:textId="77777777" w:rsidTr="00593E5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E6BD66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5D7F4C3" w14:textId="77777777" w:rsidTr="00593E5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87E719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D312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92FF7">
                  <w:t>TWA: 0.5 mg/m</w:t>
                </w:r>
                <w:r w:rsidR="00C92FF7" w:rsidRPr="00C92FF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7725E0A" w14:textId="77777777" w:rsidTr="00593E5B">
        <w:trPr>
          <w:gridAfter w:val="1"/>
          <w:wAfter w:w="8" w:type="pct"/>
        </w:trPr>
        <w:tc>
          <w:tcPr>
            <w:tcW w:w="4992" w:type="pct"/>
          </w:tcPr>
          <w:p w14:paraId="38D5A6F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DE1F27D" w14:textId="77777777" w:rsidTr="00593E5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98E947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D312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1716E">
                  <w:t>TLV-</w:t>
                </w:r>
                <w:r w:rsidR="00F1716E" w:rsidRPr="00F1716E">
                  <w:t>TWA: 0.5 mg/m</w:t>
                </w:r>
                <w:r w:rsidR="00F1716E" w:rsidRPr="00F1716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0084393" w14:textId="77777777" w:rsidTr="00593E5B">
        <w:trPr>
          <w:gridAfter w:val="1"/>
          <w:wAfter w:w="8" w:type="pct"/>
        </w:trPr>
        <w:tc>
          <w:tcPr>
            <w:tcW w:w="4992" w:type="pct"/>
          </w:tcPr>
          <w:p w14:paraId="0216BF2A" w14:textId="791B86BE" w:rsidR="00F57D14" w:rsidRPr="00D05E0E" w:rsidRDefault="00103597" w:rsidP="003365A5">
            <w:pPr>
              <w:pStyle w:val="Tabletextprimarysource"/>
            </w:pPr>
            <w:r w:rsidRPr="00D05E0E">
              <w:t>TLV-TWA intended to protect for nausea, vomiting, diarrh</w:t>
            </w:r>
            <w:r w:rsidR="001E6498" w:rsidRPr="00D05E0E">
              <w:t>o</w:t>
            </w:r>
            <w:r w:rsidRPr="00D05E0E">
              <w:t xml:space="preserve">ea, </w:t>
            </w:r>
            <w:r w:rsidR="001E6498" w:rsidRPr="00D05E0E">
              <w:t>gastritis</w:t>
            </w:r>
            <w:r w:rsidRPr="00D05E0E">
              <w:t xml:space="preserve">, increased blood pressure and heart rate and adverse </w:t>
            </w:r>
            <w:r w:rsidR="001E6498" w:rsidRPr="00D05E0E">
              <w:t>CNS</w:t>
            </w:r>
            <w:r w:rsidRPr="00D05E0E">
              <w:t xml:space="preserve"> effects. </w:t>
            </w:r>
          </w:p>
          <w:p w14:paraId="3B2CBB27" w14:textId="1F079CCA" w:rsidR="00C978F0" w:rsidRPr="00D05E0E" w:rsidRDefault="00103597" w:rsidP="003365A5">
            <w:pPr>
              <w:pStyle w:val="Tabletextprimarysource"/>
            </w:pPr>
            <w:r w:rsidRPr="00D05E0E">
              <w:t>Skin notation warranted based on systemic uptake from dermal exposure in workers.</w:t>
            </w:r>
          </w:p>
          <w:p w14:paraId="79F9A229" w14:textId="433CD119" w:rsidR="00021462" w:rsidRPr="00D05E0E" w:rsidRDefault="00021462" w:rsidP="003365A5">
            <w:pPr>
              <w:pStyle w:val="Tabletextprimarysource"/>
            </w:pPr>
            <w:r w:rsidRPr="00D05E0E">
              <w:t>Summary of data</w:t>
            </w:r>
            <w:r w:rsidR="00AA73D9">
              <w:t>:</w:t>
            </w:r>
          </w:p>
          <w:p w14:paraId="2D2336A6" w14:textId="1A721AD5" w:rsidR="00021462" w:rsidRPr="00D05E0E" w:rsidRDefault="00021462" w:rsidP="003365A5">
            <w:pPr>
              <w:pStyle w:val="Tabletextprimarysource"/>
            </w:pPr>
            <w:r w:rsidRPr="00D05E0E">
              <w:t xml:space="preserve">Toxicological data for nicotine and its </w:t>
            </w:r>
            <w:proofErr w:type="spellStart"/>
            <w:r w:rsidRPr="00D05E0E">
              <w:t>sulfate</w:t>
            </w:r>
            <w:proofErr w:type="spellEnd"/>
            <w:r w:rsidRPr="00D05E0E">
              <w:t xml:space="preserve"> and hydrochloride salts are considered in the evaluation. </w:t>
            </w:r>
            <w:r w:rsidR="00233F2B" w:rsidRPr="00D05E0E">
              <w:t xml:space="preserve">TLV-TWA based on human and animal </w:t>
            </w:r>
            <w:r w:rsidR="00F57D14" w:rsidRPr="00D05E0E">
              <w:t>IV</w:t>
            </w:r>
            <w:r w:rsidR="00233F2B" w:rsidRPr="00D05E0E">
              <w:t xml:space="preserve"> and ingestion data</w:t>
            </w:r>
            <w:r w:rsidR="004A5A9A" w:rsidRPr="00D05E0E">
              <w:t xml:space="preserve"> in the absence of suitable inhalational data</w:t>
            </w:r>
            <w:r w:rsidR="00233F2B" w:rsidRPr="00D05E0E">
              <w:t>. Effective dose at 0.5 mg/</w:t>
            </w:r>
            <w:r w:rsidR="004A5A9A" w:rsidRPr="00D05E0E">
              <w:t>m</w:t>
            </w:r>
            <w:r w:rsidR="004A5A9A" w:rsidRPr="00D05E0E">
              <w:rPr>
                <w:vertAlign w:val="superscript"/>
              </w:rPr>
              <w:t>3</w:t>
            </w:r>
            <w:r w:rsidR="004A5A9A" w:rsidRPr="00D05E0E">
              <w:t xml:space="preserve"> over an 8</w:t>
            </w:r>
            <w:r w:rsidR="00F57D14" w:rsidRPr="00D05E0E">
              <w:t xml:space="preserve"> </w:t>
            </w:r>
            <w:r w:rsidR="004A5A9A" w:rsidRPr="00D05E0E">
              <w:t>h shift calculated as 0.07 mg/kg/d; based on reported endpoints in volunteer study and LOAEL of 1.14 mg/kg/d for changes in blood biochemistry in chronically exposed rats, TLV-TWA is sufficiently low to be protective of these effects</w:t>
            </w:r>
            <w:r w:rsidR="00FD3121" w:rsidRPr="00D05E0E">
              <w:t>.</w:t>
            </w:r>
          </w:p>
          <w:p w14:paraId="428BE40F" w14:textId="0F2E7DC2" w:rsidR="00021462" w:rsidRPr="00D05E0E" w:rsidRDefault="00021462" w:rsidP="003365A5">
            <w:pPr>
              <w:pStyle w:val="Tabletextprimarysource"/>
            </w:pPr>
            <w:r w:rsidRPr="00D05E0E">
              <w:t>Human data</w:t>
            </w:r>
            <w:r w:rsidR="00AA73D9">
              <w:t>:</w:t>
            </w:r>
          </w:p>
          <w:p w14:paraId="7597C580" w14:textId="233D09A5" w:rsidR="003A1971" w:rsidRPr="00D05E0E" w:rsidRDefault="003A1971" w:rsidP="004A5A9A">
            <w:pPr>
              <w:pStyle w:val="Tabletextprimarysource"/>
              <w:numPr>
                <w:ilvl w:val="0"/>
                <w:numId w:val="2"/>
              </w:numPr>
              <w:ind w:hanging="357"/>
            </w:pPr>
            <w:r w:rsidRPr="00D05E0E">
              <w:t>Several cases of poisoning reported from ingestion and dermal absorption, often from application as insecticide</w:t>
            </w:r>
            <w:r w:rsidR="003802CF" w:rsidRPr="00D05E0E">
              <w:t>:</w:t>
            </w:r>
          </w:p>
          <w:p w14:paraId="09C187BF" w14:textId="050080CC" w:rsidR="003A1971" w:rsidRPr="00D05E0E" w:rsidRDefault="003A1971" w:rsidP="001E6498">
            <w:pPr>
              <w:pStyle w:val="Tabletextprimarysource"/>
              <w:numPr>
                <w:ilvl w:val="1"/>
                <w:numId w:val="2"/>
              </w:numPr>
              <w:ind w:left="1156" w:hanging="357"/>
            </w:pPr>
            <w:r w:rsidRPr="00D05E0E">
              <w:t>30–100 ppm in blood associated with fatalities</w:t>
            </w:r>
            <w:r w:rsidR="00FA2646" w:rsidRPr="00D05E0E">
              <w:t>; lethal dose estimated at 50–60 mg</w:t>
            </w:r>
          </w:p>
          <w:p w14:paraId="7A3E3A8B" w14:textId="7F59C92E" w:rsidR="00FA2646" w:rsidRPr="00D05E0E" w:rsidRDefault="00FA2646" w:rsidP="001E6498">
            <w:pPr>
              <w:pStyle w:val="Tabletextprimarysource"/>
              <w:numPr>
                <w:ilvl w:val="1"/>
                <w:numId w:val="2"/>
              </w:numPr>
              <w:ind w:left="1156" w:hanging="357"/>
            </w:pPr>
            <w:r w:rsidRPr="00D05E0E">
              <w:t>autopsy in fatal cases showed dilation of right side of heart, pulmonary and brain oedema, haemorrhagic gastritis, organ congestion and kidney hyperaemia</w:t>
            </w:r>
          </w:p>
          <w:p w14:paraId="30E1F4DF" w14:textId="2D53D917" w:rsidR="00FA2646" w:rsidRPr="00D05E0E" w:rsidRDefault="00FD3121" w:rsidP="004A5A9A">
            <w:pPr>
              <w:pStyle w:val="Tabletextprimarysource"/>
              <w:numPr>
                <w:ilvl w:val="0"/>
                <w:numId w:val="2"/>
              </w:numPr>
              <w:ind w:hanging="357"/>
            </w:pPr>
            <w:r w:rsidRPr="00D05E0E">
              <w:t>S</w:t>
            </w:r>
            <w:r w:rsidR="00233F2B" w:rsidRPr="00D05E0E">
              <w:t xml:space="preserve">light/moderate increase in respiration, heart rate and blood pressure at 0.6 mg as </w:t>
            </w:r>
            <w:r w:rsidR="00CD33EC" w:rsidRPr="00D05E0E">
              <w:t xml:space="preserve">IV </w:t>
            </w:r>
            <w:r w:rsidR="00233F2B" w:rsidRPr="00D05E0E">
              <w:t>dose in volunteer study (n=46); 3 volunteers experienced nausea</w:t>
            </w:r>
            <w:r w:rsidR="00AA73D9">
              <w:t>:</w:t>
            </w:r>
          </w:p>
          <w:p w14:paraId="12190A7C" w14:textId="204E488D" w:rsidR="00233F2B" w:rsidRPr="00D05E0E" w:rsidRDefault="00233F2B" w:rsidP="001E6498">
            <w:pPr>
              <w:pStyle w:val="Tabletextprimarysource"/>
              <w:numPr>
                <w:ilvl w:val="1"/>
                <w:numId w:val="2"/>
              </w:numPr>
              <w:ind w:left="1156" w:hanging="357"/>
            </w:pPr>
            <w:r w:rsidRPr="00D05E0E">
              <w:t>3 mg produced increased blood pressure and heart rate in 8/46 volunteers, initial slowed heart rate, nausea and euphoria reported in 4/46 volunteers at this dose</w:t>
            </w:r>
          </w:p>
          <w:p w14:paraId="47EC3DF9" w14:textId="76421100" w:rsidR="00233F2B" w:rsidRPr="00D05E0E" w:rsidRDefault="00233F2B" w:rsidP="004A5A9A">
            <w:pPr>
              <w:pStyle w:val="Tabletextprimarysource"/>
              <w:numPr>
                <w:ilvl w:val="0"/>
                <w:numId w:val="2"/>
              </w:numPr>
              <w:ind w:hanging="357"/>
            </w:pPr>
            <w:r w:rsidRPr="00D05E0E">
              <w:t>Diarrh</w:t>
            </w:r>
            <w:r w:rsidR="001E6498" w:rsidRPr="00D05E0E">
              <w:t>o</w:t>
            </w:r>
            <w:r w:rsidRPr="00D05E0E">
              <w:t>ea, vomiting, nausea, headache, dizziness and neurologic stimulation reported in exposed workers</w:t>
            </w:r>
          </w:p>
          <w:p w14:paraId="630F35EE" w14:textId="4E69A92A" w:rsidR="00233F2B" w:rsidRPr="00D05E0E" w:rsidRDefault="00233F2B" w:rsidP="004A5A9A">
            <w:pPr>
              <w:pStyle w:val="Tabletextprimarysource"/>
              <w:numPr>
                <w:ilvl w:val="0"/>
                <w:numId w:val="2"/>
              </w:numPr>
              <w:ind w:hanging="357"/>
            </w:pPr>
            <w:r w:rsidRPr="00D05E0E">
              <w:t>Dermal exposure produced the same symptoms as ingested doses; free base penetrates skin at higher rate than corresponding acid salts</w:t>
            </w:r>
            <w:r w:rsidR="001E6498" w:rsidRPr="00D05E0E">
              <w:t>.</w:t>
            </w:r>
          </w:p>
          <w:p w14:paraId="57C12E6A" w14:textId="56D1FE93" w:rsidR="00021462" w:rsidRPr="00D05E0E" w:rsidRDefault="00021462" w:rsidP="003365A5">
            <w:pPr>
              <w:pStyle w:val="Tabletextprimarysource"/>
            </w:pPr>
            <w:r w:rsidRPr="00D05E0E">
              <w:t>Animal data:</w:t>
            </w:r>
          </w:p>
          <w:p w14:paraId="51204330" w14:textId="165A0E9F" w:rsidR="00021462" w:rsidRPr="00D05E0E" w:rsidRDefault="00021462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>Threshold concentration for poisoning: 0.2 mg/m</w:t>
            </w:r>
            <w:r w:rsidRPr="00D05E0E">
              <w:rPr>
                <w:vertAlign w:val="superscript"/>
              </w:rPr>
              <w:t>3</w:t>
            </w:r>
            <w:r w:rsidRPr="00D05E0E">
              <w:t xml:space="preserve"> (no further details provided)</w:t>
            </w:r>
          </w:p>
          <w:p w14:paraId="17EFA435" w14:textId="6477C268" w:rsidR="00021462" w:rsidRPr="00D05E0E" w:rsidRDefault="00021462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>Oral LD</w:t>
            </w:r>
            <w:r w:rsidRPr="00D05E0E">
              <w:rPr>
                <w:vertAlign w:val="subscript"/>
              </w:rPr>
              <w:t>50</w:t>
            </w:r>
            <w:r w:rsidRPr="00D05E0E">
              <w:t>: 3.3 mg/kg (mice); 53 mg/kg (rats)</w:t>
            </w:r>
          </w:p>
          <w:p w14:paraId="616A0438" w14:textId="5F932DA6" w:rsidR="00A1348B" w:rsidRPr="00D05E0E" w:rsidRDefault="00A1348B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 xml:space="preserve">Reduced feeding and growth inhibition at 60 ppm of diet in </w:t>
            </w:r>
            <w:r w:rsidR="004A5A9A" w:rsidRPr="00D05E0E">
              <w:t>chronic</w:t>
            </w:r>
            <w:r w:rsidRPr="00D05E0E">
              <w:t xml:space="preserve"> feeding study (young rats, 300 d); 500 ppm </w:t>
            </w:r>
            <w:r w:rsidR="00F57D14" w:rsidRPr="00D05E0E">
              <w:t>in</w:t>
            </w:r>
            <w:r w:rsidRPr="00D05E0E">
              <w:t xml:space="preserve"> diet was lethal</w:t>
            </w:r>
          </w:p>
          <w:p w14:paraId="342C1B41" w14:textId="0EE7F7FC" w:rsidR="004A5A9A" w:rsidRPr="00D05E0E" w:rsidRDefault="00A1348B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>Slight blood biochemistry changes at 4.56 mg/kg/d</w:t>
            </w:r>
            <w:r w:rsidR="00B37CE5" w:rsidRPr="00D05E0E">
              <w:t xml:space="preserve"> when</w:t>
            </w:r>
            <w:r w:rsidRPr="00D05E0E">
              <w:t xml:space="preserve"> administered in drinking water </w:t>
            </w:r>
            <w:r w:rsidR="004A5A9A" w:rsidRPr="00D05E0E">
              <w:t xml:space="preserve">in chronic feeding study </w:t>
            </w:r>
            <w:r w:rsidRPr="00D05E0E">
              <w:t>(rats, 34 </w:t>
            </w:r>
            <w:proofErr w:type="spellStart"/>
            <w:r w:rsidRPr="00D05E0E">
              <w:t>wk</w:t>
            </w:r>
            <w:proofErr w:type="spellEnd"/>
            <w:r w:rsidRPr="00D05E0E">
              <w:t>)</w:t>
            </w:r>
            <w:r w:rsidR="003802CF" w:rsidRPr="00D05E0E">
              <w:t>:</w:t>
            </w:r>
            <w:r w:rsidRPr="00D05E0E">
              <w:t xml:space="preserve"> </w:t>
            </w:r>
          </w:p>
          <w:p w14:paraId="3548545D" w14:textId="2FF40B75" w:rsidR="00A1348B" w:rsidRPr="00D05E0E" w:rsidRDefault="004A5A9A" w:rsidP="004A5A9A">
            <w:pPr>
              <w:pStyle w:val="Tabletextprimarysource"/>
              <w:numPr>
                <w:ilvl w:val="1"/>
                <w:numId w:val="1"/>
              </w:numPr>
              <w:ind w:hanging="357"/>
            </w:pPr>
            <w:r w:rsidRPr="00D05E0E">
              <w:t>LOAEL</w:t>
            </w:r>
            <w:r w:rsidR="00AA73D9">
              <w:t xml:space="preserve"> of</w:t>
            </w:r>
            <w:r w:rsidR="00B37CE5" w:rsidRPr="00D05E0E">
              <w:t xml:space="preserve"> 1.14 mg/kg/d</w:t>
            </w:r>
          </w:p>
          <w:p w14:paraId="212E19EA" w14:textId="2EC9E566" w:rsidR="00B37CE5" w:rsidRPr="00D05E0E" w:rsidRDefault="00B37CE5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>Reduced gestation period at 2.7 mg/kg/d as subcutaneous injection (mice)</w:t>
            </w:r>
          </w:p>
          <w:p w14:paraId="12724762" w14:textId="74213AB6" w:rsidR="00B37CE5" w:rsidRPr="00D05E0E" w:rsidRDefault="00B37CE5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 xml:space="preserve">Reduced </w:t>
            </w:r>
            <w:r w:rsidR="00104FE8" w:rsidRPr="00D05E0E">
              <w:t xml:space="preserve">body weight </w:t>
            </w:r>
            <w:r w:rsidRPr="00D05E0E">
              <w:t xml:space="preserve">and brain development in offspring at 6 mg/kg/d as subcutaneous injection (rats, </w:t>
            </w:r>
            <w:r w:rsidR="00FC73DA" w:rsidRPr="00D05E0E">
              <w:t>GD</w:t>
            </w:r>
            <w:r w:rsidRPr="00D05E0E">
              <w:t xml:space="preserve"> 4–20)</w:t>
            </w:r>
          </w:p>
          <w:p w14:paraId="330A1BAA" w14:textId="5C37C9EA" w:rsidR="00B37CE5" w:rsidRPr="00D05E0E" w:rsidRDefault="00B37CE5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 xml:space="preserve">Concentration-dependent elimination of </w:t>
            </w:r>
            <w:r w:rsidR="00F57D14" w:rsidRPr="00D05E0E">
              <w:t>IV</w:t>
            </w:r>
            <w:r w:rsidRPr="00D05E0E">
              <w:t xml:space="preserve"> doses; 4–12% excreted unchanged in urine following &lt;48 mg/kg (dogs), 30% following 48 mg/kg dose</w:t>
            </w:r>
          </w:p>
          <w:p w14:paraId="12EC348B" w14:textId="634A08B9" w:rsidR="003A1971" w:rsidRPr="00D05E0E" w:rsidRDefault="00B37CE5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lastRenderedPageBreak/>
              <w:t xml:space="preserve">Following absorption, substance </w:t>
            </w:r>
            <w:r w:rsidR="003A1971" w:rsidRPr="00D05E0E">
              <w:t>localises in brain (8%), kidney (14%), stomach, adrenals, nasal mucosa and salivary glands (other proportions not specified)</w:t>
            </w:r>
          </w:p>
          <w:p w14:paraId="6B0FFD0C" w14:textId="55F2777C" w:rsidR="00233F2B" w:rsidRPr="00D05E0E" w:rsidRDefault="00233F2B" w:rsidP="004A5A9A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D05E0E">
              <w:t>Mutagenicity and carcinogenicity not discussed, but carcinogenicity associated with tobacco smoking not related to nicotine exposure</w:t>
            </w:r>
            <w:r w:rsidR="001E6498" w:rsidRPr="00D05E0E">
              <w:t>.</w:t>
            </w:r>
          </w:p>
          <w:p w14:paraId="5C8C44D3" w14:textId="77777777" w:rsidR="00021462" w:rsidRPr="00D05E0E" w:rsidRDefault="00021462" w:rsidP="003365A5">
            <w:pPr>
              <w:pStyle w:val="Tabletextprimarysource"/>
            </w:pPr>
            <w:r w:rsidRPr="00D05E0E">
              <w:t>Insufficient data to recommend TLV-STEL or notations for carcinogenicity and sensitisation.</w:t>
            </w:r>
          </w:p>
          <w:p w14:paraId="1020A936" w14:textId="39827341" w:rsidR="00CD33EC" w:rsidRPr="00D05E0E" w:rsidRDefault="00CD33EC" w:rsidP="003365A5">
            <w:pPr>
              <w:pStyle w:val="Tabletextprimarysource"/>
            </w:pPr>
          </w:p>
        </w:tc>
      </w:tr>
      <w:tr w:rsidR="00C978F0" w:rsidRPr="00DA352E" w14:paraId="112F934B" w14:textId="77777777" w:rsidTr="00593E5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81538C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D3121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1716E" w:rsidRPr="003A1971">
                  <w:t>Not assigned</w:t>
                </w:r>
              </w:sdtContent>
            </w:sdt>
          </w:p>
        </w:tc>
      </w:tr>
      <w:tr w:rsidR="00C978F0" w:rsidRPr="00DA352E" w14:paraId="4CB7F63B" w14:textId="77777777" w:rsidTr="00593E5B">
        <w:trPr>
          <w:gridAfter w:val="1"/>
          <w:wAfter w:w="8" w:type="pct"/>
        </w:trPr>
        <w:tc>
          <w:tcPr>
            <w:tcW w:w="4992" w:type="pct"/>
          </w:tcPr>
          <w:p w14:paraId="373F97D8" w14:textId="36910CE2" w:rsidR="004A5A9A" w:rsidRDefault="004A5A9A" w:rsidP="003365A5">
            <w:pPr>
              <w:pStyle w:val="Tabletextprimarysource"/>
            </w:pPr>
            <w:r>
              <w:t>Summary of additional data:</w:t>
            </w:r>
          </w:p>
          <w:p w14:paraId="04EC4BE3" w14:textId="2A3D7E92" w:rsidR="00F57D14" w:rsidRDefault="004A5A9A" w:rsidP="003365A5">
            <w:pPr>
              <w:pStyle w:val="Tabletextprimarysource"/>
            </w:pPr>
            <w:r>
              <w:t>Available data unsuitable to derive MAK for chronic inhalational exposure in humans</w:t>
            </w:r>
            <w:r w:rsidR="00FD3121">
              <w:t xml:space="preserve">. </w:t>
            </w:r>
            <w:r>
              <w:t>Not considered carcinogenic based on 2</w:t>
            </w:r>
            <w:r w:rsidR="00F57D14">
              <w:t xml:space="preserve"> </w:t>
            </w:r>
            <w:r>
              <w:t xml:space="preserve">yr inhalation study with female rats. </w:t>
            </w:r>
          </w:p>
          <w:p w14:paraId="364FBAE8" w14:textId="7CBD4AD2" w:rsidR="004A5A9A" w:rsidRDefault="004A5A9A" w:rsidP="003365A5">
            <w:pPr>
              <w:pStyle w:val="Tabletextprimarysource"/>
            </w:pPr>
            <w:r>
              <w:t>Skin notation warranted based on low dermal LD</w:t>
            </w:r>
            <w:r>
              <w:rPr>
                <w:vertAlign w:val="subscript"/>
              </w:rPr>
              <w:t>50</w:t>
            </w:r>
            <w:r>
              <w:rPr>
                <w:vertAlign w:val="subscript"/>
              </w:rPr>
              <w:softHyphen/>
            </w:r>
            <w:r>
              <w:t xml:space="preserve"> in animals and evidence for systemic effects in dermally exposed humans. Available data do not indicate dermal sensitisation</w:t>
            </w:r>
            <w:r w:rsidR="00A33B21">
              <w:t>.</w:t>
            </w:r>
            <w:r w:rsidR="00FD3121">
              <w:t xml:space="preserve"> Reproductive toxicity not ruled out from available animal data, for which a NOAEL is not determined.</w:t>
            </w:r>
          </w:p>
          <w:p w14:paraId="50AF8E73" w14:textId="77777777" w:rsidR="004A5A9A" w:rsidRDefault="004A5A9A" w:rsidP="003365A5">
            <w:pPr>
              <w:pStyle w:val="Tabletextprimarysource"/>
            </w:pPr>
            <w:r>
              <w:t>Human data:</w:t>
            </w:r>
          </w:p>
          <w:p w14:paraId="1E5BB450" w14:textId="7ECA45E1" w:rsidR="00AE1640" w:rsidRDefault="00AE1640" w:rsidP="004A5A9A">
            <w:pPr>
              <w:pStyle w:val="Tabletextprimarysource"/>
              <w:numPr>
                <w:ilvl w:val="0"/>
                <w:numId w:val="1"/>
              </w:numPr>
            </w:pPr>
            <w:r>
              <w:t>Absorption of 14 mg over 24 h from dermal dose of 78 mg in volunteer patch test</w:t>
            </w:r>
            <w:r w:rsidR="00DF143F">
              <w:t xml:space="preserve"> (n=12)</w:t>
            </w:r>
            <w:r w:rsidR="00AA73D9">
              <w:t>:</w:t>
            </w:r>
          </w:p>
          <w:p w14:paraId="4AB03FC9" w14:textId="294AEC41" w:rsidR="00AE1640" w:rsidRDefault="00AE1640" w:rsidP="001E649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reported systemic effects were increased heart rate and blood pressure after 4 h</w:t>
            </w:r>
          </w:p>
          <w:p w14:paraId="3A5630B0" w14:textId="44E9B544" w:rsidR="00DF143F" w:rsidRDefault="00DF143F" w:rsidP="001E649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erythema observed in 2 volunteers after 6 h</w:t>
            </w:r>
          </w:p>
          <w:p w14:paraId="4D6F98BD" w14:textId="02308D90" w:rsidR="00DF143F" w:rsidRDefault="00DF143F" w:rsidP="00DF143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Cardiovascular effects also caused by </w:t>
            </w:r>
            <w:r w:rsidR="00FD7EB2">
              <w:t>acute inhalation</w:t>
            </w:r>
            <w:r>
              <w:t xml:space="preserve"> up to 20 mg/m</w:t>
            </w:r>
            <w:r>
              <w:rPr>
                <w:vertAlign w:val="superscript"/>
              </w:rPr>
              <w:t>3</w:t>
            </w:r>
            <w:r>
              <w:t xml:space="preserve"> (5 min)</w:t>
            </w:r>
            <w:r w:rsidR="00FD7EB2">
              <w:t xml:space="preserve"> in volunteer study</w:t>
            </w:r>
          </w:p>
          <w:p w14:paraId="530C51A2" w14:textId="471A570A" w:rsidR="00DF143F" w:rsidRDefault="00DF143F" w:rsidP="00DF143F">
            <w:pPr>
              <w:pStyle w:val="Tabletextprimarysource"/>
              <w:numPr>
                <w:ilvl w:val="0"/>
                <w:numId w:val="1"/>
              </w:numPr>
            </w:pPr>
            <w:r>
              <w:t>Itching and burning sensation reported in 50% of 183 or 664 volunteers in patch studies; erythema observed in 39% (n=183) or 14% (n=664)</w:t>
            </w:r>
            <w:r w:rsidR="00AA73D9">
              <w:t>:</w:t>
            </w:r>
          </w:p>
          <w:p w14:paraId="39701163" w14:textId="72D733FC" w:rsidR="00DF143F" w:rsidRDefault="00DF143F" w:rsidP="001E649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available </w:t>
            </w:r>
            <w:r w:rsidR="009107A6">
              <w:t xml:space="preserve">dermal </w:t>
            </w:r>
            <w:r>
              <w:t>sensitisation studies are</w:t>
            </w:r>
            <w:r w:rsidR="009107A6">
              <w:t xml:space="preserve"> equivocal or</w:t>
            </w:r>
            <w:r>
              <w:t xml:space="preserve"> inadequate to classify substance as dermal sensitiser </w:t>
            </w:r>
          </w:p>
          <w:p w14:paraId="0BF1A3DA" w14:textId="142D66F5" w:rsidR="00DF143F" w:rsidRDefault="00E837B5" w:rsidP="00DF143F">
            <w:pPr>
              <w:pStyle w:val="Tabletextprimarysource"/>
              <w:numPr>
                <w:ilvl w:val="0"/>
                <w:numId w:val="1"/>
              </w:numPr>
            </w:pPr>
            <w:r>
              <w:t>Addiction not expected below daily exposure (from cigarettes) of</w:t>
            </w:r>
            <w:r w:rsidR="000B3323">
              <w:t xml:space="preserve"> 5 mg</w:t>
            </w:r>
            <w:r>
              <w:t xml:space="preserve"> </w:t>
            </w:r>
            <w:r w:rsidR="000B3323">
              <w:rPr>
                <w:rFonts w:cs="Arial"/>
              </w:rPr>
              <w:t>≈</w:t>
            </w:r>
            <w:r>
              <w:t>0.07 mg/kg; nicotine addiction is not reported in occupationally exposed workers</w:t>
            </w:r>
          </w:p>
          <w:p w14:paraId="24196548" w14:textId="2DC3B73B" w:rsidR="004A5A9A" w:rsidRDefault="00AE1640" w:rsidP="004A5A9A">
            <w:pPr>
              <w:pStyle w:val="Tabletextprimarysource"/>
              <w:numPr>
                <w:ilvl w:val="0"/>
                <w:numId w:val="1"/>
              </w:numPr>
            </w:pPr>
            <w:r>
              <w:t>60–80% inhalational</w:t>
            </w:r>
            <w:r w:rsidR="001822E4">
              <w:t xml:space="preserve"> absorption </w:t>
            </w:r>
            <w:r>
              <w:t>at 40–200 µg/m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1822E4">
              <w:t>in volunteer study (n=17</w:t>
            </w:r>
            <w:r>
              <w:t>, duration not specified)</w:t>
            </w:r>
          </w:p>
          <w:p w14:paraId="1467DCFD" w14:textId="2DBC3C40" w:rsidR="00AE1640" w:rsidRDefault="00AE1640" w:rsidP="00E837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Urine </w:t>
            </w:r>
            <w:r w:rsidR="001E6498">
              <w:t>t</w:t>
            </w:r>
            <w:r w:rsidR="001E6498">
              <w:rPr>
                <w:vertAlign w:val="subscript"/>
              </w:rPr>
              <w:t>1/2</w:t>
            </w:r>
            <w:r>
              <w:t>: 8.4 h in exposed non-smoking workers</w:t>
            </w:r>
            <w:r w:rsidR="001E6498">
              <w:t>.</w:t>
            </w:r>
          </w:p>
          <w:p w14:paraId="6FA420C4" w14:textId="2C145BFB" w:rsidR="004A5A9A" w:rsidRDefault="004A5A9A" w:rsidP="003365A5">
            <w:pPr>
              <w:pStyle w:val="Tabletextprimarysource"/>
            </w:pPr>
            <w:r>
              <w:t>Animal data:</w:t>
            </w:r>
          </w:p>
          <w:p w14:paraId="7DBF216E" w14:textId="573F8734" w:rsidR="00E837B5" w:rsidRDefault="00E837B5" w:rsidP="004A5A9A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140 mg/kg (rats), 50 mg/kg (rabbits)</w:t>
            </w:r>
          </w:p>
          <w:p w14:paraId="6C8A1396" w14:textId="61294DB6" w:rsidR="004A5A9A" w:rsidRDefault="001822E4" w:rsidP="004A5A9A">
            <w:pPr>
              <w:pStyle w:val="Tabletextprimarysource"/>
              <w:numPr>
                <w:ilvl w:val="0"/>
                <w:numId w:val="1"/>
              </w:numPr>
            </w:pPr>
            <w:r>
              <w:t>No evidence for increased atherosclerosis or tumour incidence at 0.5 mg/m</w:t>
            </w:r>
            <w:r>
              <w:rPr>
                <w:vertAlign w:val="superscript"/>
              </w:rPr>
              <w:t>3</w:t>
            </w:r>
            <w:r>
              <w:t xml:space="preserve"> in chronic exposure study (rats, n=68, 20 h/d, 5 d/</w:t>
            </w:r>
            <w:proofErr w:type="spellStart"/>
            <w:r>
              <w:t>wk</w:t>
            </w:r>
            <w:proofErr w:type="spellEnd"/>
            <w:r>
              <w:t>, 2 yr)</w:t>
            </w:r>
          </w:p>
          <w:p w14:paraId="089730E6" w14:textId="68A7A9D9" w:rsidR="00B10CA3" w:rsidRDefault="00B10CA3" w:rsidP="004A5A9A">
            <w:pPr>
              <w:pStyle w:val="Tabletextprimarysource"/>
              <w:numPr>
                <w:ilvl w:val="0"/>
                <w:numId w:val="1"/>
              </w:numPr>
            </w:pPr>
            <w:r>
              <w:t>Decreased litter size and increased stillbirths at 0.1 mg/kg/d in developmental subcutaneous injection study (rats, GD 5–12)</w:t>
            </w:r>
          </w:p>
          <w:p w14:paraId="7BD29982" w14:textId="77777777" w:rsidR="00A33B21" w:rsidRDefault="00EC4D45" w:rsidP="00A33B2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 xml:space="preserve">in vitro </w:t>
            </w:r>
            <w:r>
              <w:t xml:space="preserve">with or without metabolic activation, equivocal </w:t>
            </w:r>
            <w:proofErr w:type="spellStart"/>
            <w:r>
              <w:t>clastogenicity</w:t>
            </w:r>
            <w:proofErr w:type="spellEnd"/>
            <w:r>
              <w:t xml:space="preserve"> (as induction of sister chromatid exchange, SCE) reported in Chinese hamster ovarian cells; unaffirmed induction of SCE </w:t>
            </w:r>
            <w:r>
              <w:rPr>
                <w:i/>
              </w:rPr>
              <w:t xml:space="preserve">in vivo </w:t>
            </w:r>
            <w:r w:rsidRPr="00EC4D45">
              <w:t>at</w:t>
            </w:r>
            <w:r>
              <w:t xml:space="preserve"> oral dose of 0.77 or 1.1 mg/kg (mice) </w:t>
            </w:r>
          </w:p>
          <w:p w14:paraId="123D2C61" w14:textId="77777777" w:rsidR="00A33D09" w:rsidRDefault="00A33D09" w:rsidP="00A33B21">
            <w:pPr>
              <w:pStyle w:val="Tabletextprimarysource"/>
            </w:pPr>
          </w:p>
          <w:p w14:paraId="67D79EA8" w14:textId="4FCD4E2E" w:rsidR="00A33B21" w:rsidRDefault="00A33B21" w:rsidP="00A33B21">
            <w:pPr>
              <w:pStyle w:val="Tabletextprimarysource"/>
            </w:pPr>
            <w:r>
              <w:t>Insufficient data to assign respiratory sensitiser notation.</w:t>
            </w:r>
          </w:p>
          <w:p w14:paraId="693260C9" w14:textId="5C168ACC" w:rsidR="00CD33EC" w:rsidRPr="004A5A9A" w:rsidRDefault="00CD33EC" w:rsidP="00A33B21">
            <w:pPr>
              <w:pStyle w:val="Tabletextprimarysource"/>
            </w:pPr>
          </w:p>
        </w:tc>
      </w:tr>
      <w:tr w:rsidR="00C978F0" w:rsidRPr="00DA352E" w14:paraId="413E62C0" w14:textId="77777777" w:rsidTr="00593E5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86E0EE6" w14:textId="2018F8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D312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17F2B">
                  <w:t>NA</w:t>
                </w:r>
                <w:proofErr w:type="spellEnd"/>
              </w:sdtContent>
            </w:sdt>
          </w:p>
        </w:tc>
      </w:tr>
      <w:tr w:rsidR="00C978F0" w:rsidRPr="00DA352E" w14:paraId="0A76A6F5" w14:textId="77777777" w:rsidTr="00593E5B">
        <w:trPr>
          <w:gridAfter w:val="1"/>
          <w:wAfter w:w="8" w:type="pct"/>
        </w:trPr>
        <w:tc>
          <w:tcPr>
            <w:tcW w:w="4992" w:type="pct"/>
          </w:tcPr>
          <w:p w14:paraId="115F2762" w14:textId="6926E587" w:rsidR="00C978F0" w:rsidRPr="00DA352E" w:rsidRDefault="00A17F2B" w:rsidP="003365A5">
            <w:pPr>
              <w:pStyle w:val="Tabletextprimarysource"/>
            </w:pPr>
            <w:r>
              <w:t>No report</w:t>
            </w:r>
            <w:r w:rsidR="001E6498">
              <w:t>.</w:t>
            </w:r>
          </w:p>
        </w:tc>
      </w:tr>
      <w:tr w:rsidR="00DA352E" w:rsidRPr="00DA352E" w14:paraId="7C0C3246" w14:textId="77777777" w:rsidTr="00593E5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4EFBC01" w14:textId="3824DA4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D312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17F2B">
                  <w:t>NA</w:t>
                </w:r>
                <w:proofErr w:type="spellEnd"/>
              </w:sdtContent>
            </w:sdt>
          </w:p>
        </w:tc>
      </w:tr>
      <w:tr w:rsidR="00DA352E" w:rsidRPr="00DA352E" w14:paraId="235FA789" w14:textId="77777777" w:rsidTr="00593E5B">
        <w:trPr>
          <w:gridAfter w:val="1"/>
          <w:wAfter w:w="8" w:type="pct"/>
        </w:trPr>
        <w:tc>
          <w:tcPr>
            <w:tcW w:w="4992" w:type="pct"/>
          </w:tcPr>
          <w:p w14:paraId="7AF1A54E" w14:textId="3DEE58C7" w:rsidR="00DA352E" w:rsidRPr="00DA352E" w:rsidRDefault="00A17F2B" w:rsidP="003365A5">
            <w:pPr>
              <w:pStyle w:val="Tabletextprimarysource"/>
            </w:pPr>
            <w:r>
              <w:t>No report</w:t>
            </w:r>
            <w:r w:rsidR="001E6498">
              <w:t>.</w:t>
            </w:r>
          </w:p>
        </w:tc>
      </w:tr>
      <w:tr w:rsidR="00DA352E" w:rsidRPr="00DA352E" w14:paraId="64273B59" w14:textId="77777777" w:rsidTr="00593E5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7AAF289" w14:textId="02C6EA0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D3121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D3B45">
                  <w:t xml:space="preserve">8-hour </w:t>
                </w:r>
                <w:r w:rsidR="00A17F2B" w:rsidRPr="00A17F2B">
                  <w:t>TWA</w:t>
                </w:r>
                <w:r w:rsidR="00A17F2B">
                  <w:t>: 0.07 ppm (0.5 mg/m</w:t>
                </w:r>
                <w:r w:rsidR="00A17F2B" w:rsidRPr="00A17F2B">
                  <w:rPr>
                    <w:vertAlign w:val="superscript"/>
                  </w:rPr>
                  <w:t>3</w:t>
                </w:r>
                <w:r w:rsidR="00A17F2B">
                  <w:t>)</w:t>
                </w:r>
              </w:sdtContent>
            </w:sdt>
          </w:p>
        </w:tc>
      </w:tr>
      <w:tr w:rsidR="00DA352E" w:rsidRPr="00DA352E" w14:paraId="77355415" w14:textId="77777777" w:rsidTr="00593E5B">
        <w:trPr>
          <w:gridAfter w:val="1"/>
          <w:wAfter w:w="8" w:type="pct"/>
        </w:trPr>
        <w:tc>
          <w:tcPr>
            <w:tcW w:w="4992" w:type="pct"/>
          </w:tcPr>
          <w:p w14:paraId="3E9B0343" w14:textId="49593687" w:rsidR="00A33B21" w:rsidRDefault="00A33B21" w:rsidP="003365A5">
            <w:pPr>
              <w:pStyle w:val="Tabletextprimarysource"/>
            </w:pPr>
            <w:r>
              <w:t>Summary of additional data:</w:t>
            </w:r>
          </w:p>
          <w:p w14:paraId="2B7E0481" w14:textId="2CD37629" w:rsidR="00DA352E" w:rsidRDefault="00ED3B45" w:rsidP="003365A5">
            <w:pPr>
              <w:pStyle w:val="Tabletextprimarysource"/>
            </w:pPr>
            <w:r>
              <w:t>Existing administrative OEL TWA of 0.5 mg/m</w:t>
            </w:r>
            <w:r>
              <w:rPr>
                <w:vertAlign w:val="superscript"/>
              </w:rPr>
              <w:t>3</w:t>
            </w:r>
            <w:r>
              <w:t xml:space="preserve"> with a skin notation; toxicological database considered insufficient to make health-based recommendation. </w:t>
            </w:r>
            <w:r w:rsidR="00A33B21">
              <w:t xml:space="preserve">No reliable occupational exposure data present in the available database. </w:t>
            </w:r>
          </w:p>
          <w:p w14:paraId="04496937" w14:textId="77777777" w:rsidR="00A33B21" w:rsidRDefault="00A33B21" w:rsidP="003365A5">
            <w:pPr>
              <w:pStyle w:val="Tabletextprimarysource"/>
            </w:pPr>
            <w:r>
              <w:t>Human data:</w:t>
            </w:r>
          </w:p>
          <w:p w14:paraId="5E77B747" w14:textId="606E8DC6" w:rsidR="00A33B21" w:rsidRDefault="00A33B21" w:rsidP="00A33B21">
            <w:pPr>
              <w:pStyle w:val="Tabletextprimarysource"/>
              <w:numPr>
                <w:ilvl w:val="0"/>
                <w:numId w:val="1"/>
              </w:numPr>
            </w:pPr>
            <w:r>
              <w:t>18% average dermal absorption rate over 24 h in volunteer patch test study</w:t>
            </w:r>
          </w:p>
          <w:p w14:paraId="0C41BEC6" w14:textId="5AF5A3C9" w:rsidR="00A33B21" w:rsidRDefault="00A33B21" w:rsidP="00A33B21">
            <w:pPr>
              <w:pStyle w:val="Tabletextprimarysource"/>
              <w:numPr>
                <w:ilvl w:val="0"/>
                <w:numId w:val="1"/>
              </w:numPr>
            </w:pPr>
            <w:r>
              <w:t>Occupational dermatitis reported in tobacco workers</w:t>
            </w:r>
          </w:p>
          <w:p w14:paraId="3ADB28A1" w14:textId="4768BC5D" w:rsidR="001B47B1" w:rsidRDefault="001B47B1" w:rsidP="00A33B2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Workplace study of workers exposed by inhalation (n=100) reported either nausea, vomiting, giddiness, headache, weakness or loss of appetite </w:t>
            </w:r>
            <w:r w:rsidR="00FD7EB2">
              <w:t xml:space="preserve">in 69 workers </w:t>
            </w:r>
            <w:r>
              <w:t>at mean air concentrations of 1.18 mg/m</w:t>
            </w:r>
            <w:r>
              <w:rPr>
                <w:vertAlign w:val="superscript"/>
              </w:rPr>
              <w:t>3</w:t>
            </w:r>
            <w:r w:rsidR="00FD7EB2">
              <w:t>; no deficits in pulmonary function noted</w:t>
            </w:r>
          </w:p>
          <w:p w14:paraId="7890E0A3" w14:textId="0B73FCFC" w:rsidR="001B47B1" w:rsidRDefault="001B47B1" w:rsidP="00A33B21">
            <w:pPr>
              <w:pStyle w:val="Tabletextprimarysource"/>
              <w:numPr>
                <w:ilvl w:val="0"/>
                <w:numId w:val="1"/>
              </w:numPr>
            </w:pPr>
            <w:r>
              <w:t>Agency considers available case studies of multiple myeloma and leukaemia too limited to draw conclusions on carcinogenicity</w:t>
            </w:r>
            <w:r w:rsidR="001F6133">
              <w:t>:</w:t>
            </w:r>
          </w:p>
          <w:p w14:paraId="433061C7" w14:textId="396B13F4" w:rsidR="00CB726C" w:rsidRDefault="00CB726C" w:rsidP="001E649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</w:t>
            </w:r>
            <w:r w:rsidR="00A33B21">
              <w:t>o association</w:t>
            </w:r>
            <w:r w:rsidR="001B47B1">
              <w:t xml:space="preserve"> found</w:t>
            </w:r>
            <w:r w:rsidR="00A33B21">
              <w:t xml:space="preserve"> between spraying nicotine as pesticide and incidence of multiple myeloma in farmers</w:t>
            </w:r>
            <w:r>
              <w:t xml:space="preserve"> </w:t>
            </w:r>
            <w:r w:rsidR="001B47B1">
              <w:t>(n=111) compared with non-farmer controls (n=378)</w:t>
            </w:r>
          </w:p>
          <w:p w14:paraId="6F0704D8" w14:textId="7814A959" w:rsidR="001B47B1" w:rsidRDefault="001B47B1" w:rsidP="001E649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statistically significant increase in leukaemia reported in farmers spraying nicotine (n=30) compared with controls (n=47)</w:t>
            </w:r>
          </w:p>
          <w:p w14:paraId="6DB857DD" w14:textId="222F218E" w:rsidR="00A33B21" w:rsidRDefault="00A33B21" w:rsidP="00FA7431">
            <w:pPr>
              <w:pStyle w:val="Tabletextprimarysource"/>
              <w:numPr>
                <w:ilvl w:val="0"/>
                <w:numId w:val="1"/>
              </w:numPr>
            </w:pPr>
            <w:r>
              <w:t>Possible developmental toxicity resulting from reduction in uteroplacental blood flow and decreased foetal brain development</w:t>
            </w:r>
          </w:p>
          <w:p w14:paraId="52F3EF3B" w14:textId="236E6DD1" w:rsidR="00A33B21" w:rsidRDefault="00A33B21" w:rsidP="003365A5">
            <w:pPr>
              <w:pStyle w:val="Tabletextprimarysource"/>
            </w:pPr>
            <w:r>
              <w:t>Animal data:</w:t>
            </w:r>
          </w:p>
          <w:p w14:paraId="275172DD" w14:textId="51A051D0" w:rsidR="00A33B21" w:rsidRDefault="00CB726C" w:rsidP="00CB726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locomotor activity and decreased exploratory efficiency and </w:t>
            </w:r>
            <w:r w:rsidR="00D05E0E">
              <w:t xml:space="preserve">body weight </w:t>
            </w:r>
            <w:r>
              <w:t>at 1.5</w:t>
            </w:r>
            <w:r w:rsidR="00D05E0E">
              <w:t> </w:t>
            </w:r>
            <w:r>
              <w:t>and 3.8 mg/kg/d in chronic drinking water study (female rats, 131 d)</w:t>
            </w:r>
          </w:p>
          <w:p w14:paraId="0DCD7532" w14:textId="1791F7B8" w:rsidR="00CB726C" w:rsidRPr="00CA78D8" w:rsidRDefault="00CB726C" w:rsidP="00CB726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, but clear evidence for </w:t>
            </w:r>
            <w:proofErr w:type="spellStart"/>
            <w:r>
              <w:t>clastogenicity</w:t>
            </w:r>
            <w:proofErr w:type="spellEnd"/>
            <w:r>
              <w:t xml:space="preserve"> </w:t>
            </w:r>
            <w:r>
              <w:rPr>
                <w:i/>
              </w:rPr>
              <w:t xml:space="preserve">in vitro </w:t>
            </w:r>
            <w:r w:rsidRPr="00EB1B37">
              <w:rPr>
                <w:iCs/>
              </w:rPr>
              <w:t>and</w:t>
            </w:r>
            <w:r>
              <w:rPr>
                <w:i/>
              </w:rPr>
              <w:t xml:space="preserve"> in vivo</w:t>
            </w:r>
            <w:r w:rsidR="00EB1B37">
              <w:rPr>
                <w:i/>
              </w:rPr>
              <w:t>.</w:t>
            </w:r>
          </w:p>
          <w:p w14:paraId="501CAD68" w14:textId="04856DAF" w:rsidR="00CD33EC" w:rsidRPr="00ED3B45" w:rsidRDefault="00CD33EC" w:rsidP="00CA78D8">
            <w:pPr>
              <w:pStyle w:val="Tabletextprimarysource"/>
              <w:ind w:left="720"/>
            </w:pPr>
          </w:p>
        </w:tc>
      </w:tr>
    </w:tbl>
    <w:p w14:paraId="53E799A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7"/>
        <w:gridCol w:w="421"/>
        <w:gridCol w:w="661"/>
        <w:gridCol w:w="6457"/>
      </w:tblGrid>
      <w:tr w:rsidR="009D62B1" w:rsidRPr="00263255" w14:paraId="7C37D28D" w14:textId="77777777" w:rsidTr="00593E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76FE3E0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29FAD9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2D3B30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5E8700D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9D62B1" w:rsidRPr="004C23F4" w14:paraId="2F78AAF5" w14:textId="77777777" w:rsidTr="00593E5B">
        <w:trPr>
          <w:cantSplit/>
        </w:trPr>
        <w:tc>
          <w:tcPr>
            <w:tcW w:w="1487" w:type="dxa"/>
          </w:tcPr>
          <w:p w14:paraId="2CF3A1D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199506E8" w14:textId="3074A13A" w:rsidR="004966BF" w:rsidRPr="00CE617F" w:rsidRDefault="00D90B2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312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36BC8A" w14:textId="70DD6D03" w:rsidR="004966BF" w:rsidRPr="004C23F4" w:rsidRDefault="00232D2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7" w:type="dxa"/>
          </w:tcPr>
          <w:p w14:paraId="7707A772" w14:textId="5F17CDC7" w:rsidR="00504310" w:rsidRDefault="00504310" w:rsidP="00CA78D8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2,300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(rats, 20 min) ≡190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(rats, 4 h)</w:t>
            </w:r>
          </w:p>
          <w:p w14:paraId="5B458554" w14:textId="7BBCFA54" w:rsidR="004966BF" w:rsidRDefault="00FA7431" w:rsidP="00CA78D8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Sub</w:t>
            </w:r>
            <w:r w:rsidR="001F6133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 xml:space="preserve">chronic </w:t>
            </w:r>
            <w:r w:rsidR="005D6978">
              <w:rPr>
                <w:rStyle w:val="checkbox"/>
                <w:rFonts w:ascii="Arial" w:hAnsi="Arial" w:cs="Arial"/>
              </w:rPr>
              <w:t xml:space="preserve">inhalation and reproductive study with </w:t>
            </w:r>
            <w:r w:rsidR="001E6498">
              <w:rPr>
                <w:rStyle w:val="checkbox"/>
                <w:rFonts w:ascii="Arial" w:hAnsi="Arial" w:cs="Arial"/>
              </w:rPr>
              <w:t>treatment</w:t>
            </w:r>
            <w:r w:rsidR="005D6978">
              <w:rPr>
                <w:rStyle w:val="checkbox"/>
                <w:rFonts w:ascii="Arial" w:hAnsi="Arial" w:cs="Arial"/>
              </w:rPr>
              <w:t xml:space="preserve"> range 10–20 mg/m</w:t>
            </w:r>
            <w:r w:rsidR="005D697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D6978">
              <w:rPr>
                <w:rStyle w:val="checkbox"/>
                <w:rFonts w:ascii="Arial" w:hAnsi="Arial" w:cs="Arial"/>
              </w:rPr>
              <w:t xml:space="preserve"> (rats, 6 h/d, males for 5 </w:t>
            </w:r>
            <w:proofErr w:type="spellStart"/>
            <w:r w:rsidR="005D6978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5D6978">
              <w:rPr>
                <w:rStyle w:val="checkbox"/>
                <w:rFonts w:ascii="Arial" w:hAnsi="Arial" w:cs="Arial"/>
              </w:rPr>
              <w:t xml:space="preserve">, females for 10 </w:t>
            </w:r>
            <w:proofErr w:type="spellStart"/>
            <w:r w:rsidR="005D6978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5D6978">
              <w:rPr>
                <w:rStyle w:val="checkbox"/>
                <w:rFonts w:ascii="Arial" w:hAnsi="Arial" w:cs="Arial"/>
              </w:rPr>
              <w:t>) used as basis for DNEL</w:t>
            </w:r>
            <w:r w:rsidR="001F6133">
              <w:rPr>
                <w:rStyle w:val="checkbox"/>
                <w:rFonts w:ascii="Arial" w:hAnsi="Arial" w:cs="Arial"/>
              </w:rPr>
              <w:t>:</w:t>
            </w:r>
          </w:p>
          <w:p w14:paraId="3086E0B5" w14:textId="61347E0C" w:rsidR="005D6978" w:rsidRDefault="00690CA9" w:rsidP="00CA78D8">
            <w:pPr>
              <w:pStyle w:val="Tablefont"/>
              <w:numPr>
                <w:ilvl w:val="1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</w:t>
            </w:r>
            <w:r w:rsidR="00C45A96">
              <w:rPr>
                <w:rStyle w:val="checkbox"/>
                <w:rFonts w:ascii="Arial" w:hAnsi="Arial" w:cs="Arial"/>
              </w:rPr>
              <w:t>C</w:t>
            </w:r>
            <w:r>
              <w:rPr>
                <w:rStyle w:val="checkbox"/>
                <w:rFonts w:ascii="Arial" w:hAnsi="Arial" w:cs="Arial"/>
              </w:rPr>
              <w:t>: 10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for liver cell necrosis and signs of chronic stress in adrenals, thymus and uterus</w:t>
            </w:r>
          </w:p>
          <w:p w14:paraId="1FEBADD6" w14:textId="35D46DFF" w:rsidR="00504310" w:rsidRPr="00504310" w:rsidRDefault="009D62B1" w:rsidP="00CA78D8">
            <w:pPr>
              <w:pStyle w:val="Tablefont"/>
              <w:numPr>
                <w:ilvl w:val="1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Overall factor of 225 applied to account for allometric conversion and inter- and intraspecies differences (12.5), differences in experimental conditions and the workplace (6) and dose-response relationship </w:t>
            </w:r>
            <w:r w:rsidR="00232D2C">
              <w:rPr>
                <w:rStyle w:val="checkbox"/>
                <w:rFonts w:ascii="Arial" w:hAnsi="Arial" w:cs="Arial"/>
              </w:rPr>
              <w:t xml:space="preserve">and absence of an experimentally determined NOAEL </w:t>
            </w:r>
            <w:r>
              <w:rPr>
                <w:rStyle w:val="checkbox"/>
                <w:rFonts w:ascii="Arial" w:hAnsi="Arial" w:cs="Arial"/>
              </w:rPr>
              <w:t>(3) to arrive at long-term DNEL of 0.031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</w:tc>
      </w:tr>
      <w:tr w:rsidR="009D62B1" w:rsidRPr="004C23F4" w14:paraId="54A472D9" w14:textId="77777777" w:rsidTr="00593E5B">
        <w:trPr>
          <w:cantSplit/>
        </w:trPr>
        <w:tc>
          <w:tcPr>
            <w:tcW w:w="1487" w:type="dxa"/>
          </w:tcPr>
          <w:p w14:paraId="5E0795F8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1" w:type="dxa"/>
          </w:tcPr>
          <w:p w14:paraId="641144ED" w14:textId="2133E271" w:rsidR="004966BF" w:rsidRDefault="00D90B2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312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8E1F47" w14:textId="7B1EEE30" w:rsidR="004966BF" w:rsidRPr="004C23F4" w:rsidRDefault="00232D2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7" w:type="dxa"/>
          </w:tcPr>
          <w:p w14:paraId="09C67001" w14:textId="469B8C3C" w:rsidR="00A80FDF" w:rsidRDefault="00A80FDF" w:rsidP="00CA78D8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Acute and chronic e</w:t>
            </w:r>
            <w:r w:rsidR="00690CA9">
              <w:rPr>
                <w:rFonts w:cs="Arial"/>
              </w:rPr>
              <w:t xml:space="preserve">xposure </w:t>
            </w:r>
            <w:r w:rsidR="00896546" w:rsidRPr="00896546">
              <w:rPr>
                <w:rFonts w:cs="Arial"/>
              </w:rPr>
              <w:t xml:space="preserve">data </w:t>
            </w:r>
            <w:r w:rsidR="00690CA9">
              <w:rPr>
                <w:rFonts w:cs="Arial"/>
              </w:rPr>
              <w:t>for</w:t>
            </w:r>
            <w:r w:rsidR="00896546" w:rsidRPr="00896546">
              <w:rPr>
                <w:rFonts w:cs="Arial"/>
              </w:rPr>
              <w:t xml:space="preserve"> humans </w:t>
            </w:r>
            <w:r w:rsidR="00690CA9">
              <w:rPr>
                <w:rFonts w:cs="Arial"/>
              </w:rPr>
              <w:t>and</w:t>
            </w:r>
            <w:r w:rsidR="00896546" w:rsidRPr="00896546">
              <w:rPr>
                <w:rFonts w:cs="Arial"/>
              </w:rPr>
              <w:t xml:space="preserve"> animals </w:t>
            </w:r>
            <w:r>
              <w:rPr>
                <w:rFonts w:cs="Arial"/>
              </w:rPr>
              <w:t xml:space="preserve">indicate </w:t>
            </w:r>
            <w:r w:rsidR="00690CA9">
              <w:rPr>
                <w:rFonts w:cs="Arial"/>
              </w:rPr>
              <w:t>systemic availability following dermal absorption</w:t>
            </w:r>
            <w:r>
              <w:rPr>
                <w:rFonts w:cs="Arial"/>
              </w:rPr>
              <w:t xml:space="preserve"> </w:t>
            </w:r>
            <w:r w:rsidR="00896546" w:rsidRPr="00896546">
              <w:rPr>
                <w:rFonts w:cs="Arial"/>
              </w:rPr>
              <w:t>with the potential to cause a variety of s</w:t>
            </w:r>
            <w:r>
              <w:rPr>
                <w:rFonts w:cs="Arial"/>
              </w:rPr>
              <w:t xml:space="preserve">ymptoms; critical effects include adverse </w:t>
            </w:r>
            <w:r w:rsidR="002609FB">
              <w:rPr>
                <w:rFonts w:cs="Arial"/>
              </w:rPr>
              <w:t>CNS</w:t>
            </w:r>
            <w:r w:rsidRPr="00896546">
              <w:rPr>
                <w:rFonts w:cs="Arial"/>
              </w:rPr>
              <w:t xml:space="preserve"> effects</w:t>
            </w:r>
            <w:r w:rsidR="00896546" w:rsidRPr="00896546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chronic </w:t>
            </w:r>
            <w:r w:rsidR="00896546" w:rsidRPr="00896546">
              <w:rPr>
                <w:rFonts w:cs="Arial"/>
              </w:rPr>
              <w:t xml:space="preserve">cerebrovascular disease </w:t>
            </w:r>
            <w:r>
              <w:rPr>
                <w:rFonts w:cs="Arial"/>
              </w:rPr>
              <w:t>and pregnancy loss</w:t>
            </w:r>
          </w:p>
          <w:p w14:paraId="17E90801" w14:textId="1BDC5DDB" w:rsidR="009D62B1" w:rsidRDefault="00896546" w:rsidP="00CA78D8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 w:rsidRPr="00896546">
              <w:rPr>
                <w:rFonts w:cs="Arial"/>
              </w:rPr>
              <w:t xml:space="preserve">Several studies </w:t>
            </w:r>
            <w:r w:rsidR="009D62B1">
              <w:rPr>
                <w:rFonts w:cs="Arial"/>
              </w:rPr>
              <w:t>of</w:t>
            </w:r>
            <w:r w:rsidRPr="00896546">
              <w:rPr>
                <w:rFonts w:cs="Arial"/>
              </w:rPr>
              <w:t xml:space="preserve"> </w:t>
            </w:r>
            <w:r w:rsidR="009D62B1">
              <w:rPr>
                <w:rFonts w:cs="Arial"/>
              </w:rPr>
              <w:t xml:space="preserve">therapeutic dermal patch use </w:t>
            </w:r>
            <w:r w:rsidRPr="00896546">
              <w:rPr>
                <w:rFonts w:cs="Arial"/>
              </w:rPr>
              <w:t xml:space="preserve">provide sufficient evidence </w:t>
            </w:r>
            <w:r w:rsidR="002609FB">
              <w:rPr>
                <w:rFonts w:cs="Arial"/>
              </w:rPr>
              <w:t>for skin sensitis</w:t>
            </w:r>
            <w:r w:rsidR="009D62B1">
              <w:rPr>
                <w:rFonts w:cs="Arial"/>
              </w:rPr>
              <w:t>ation in humans (also cited by ACGIH, 2018 and DFG, 2003)</w:t>
            </w:r>
            <w:r w:rsidR="003802CF">
              <w:rPr>
                <w:rFonts w:cs="Arial"/>
              </w:rPr>
              <w:t>:</w:t>
            </w:r>
          </w:p>
          <w:p w14:paraId="4B1C255C" w14:textId="62B98ECE" w:rsidR="009D62B1" w:rsidRPr="009D62B1" w:rsidRDefault="009D62B1" w:rsidP="00CA78D8">
            <w:pPr>
              <w:pStyle w:val="Tablefont"/>
              <w:numPr>
                <w:ilvl w:val="1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t xml:space="preserve">5/183 (2.6%) cases of allergic contact dermatitis reported in smokers undergoing transdermal therapy with dermal doses of 7.2–21.6 mg/d (8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502344E6" w14:textId="38D102F2" w:rsidR="009D62B1" w:rsidRDefault="009D62B1" w:rsidP="00CA78D8">
            <w:pPr>
              <w:pStyle w:val="Tablefont"/>
              <w:numPr>
                <w:ilvl w:val="1"/>
                <w:numId w:val="1"/>
              </w:numPr>
              <w:spacing w:before="60" w:after="60"/>
              <w:ind w:hanging="357"/>
              <w:rPr>
                <w:rFonts w:cs="Arial"/>
              </w:rPr>
            </w:pPr>
            <w:r>
              <w:t>11/664 (1.6%) cases reported in another study of therapeutic transdermal patches</w:t>
            </w:r>
          </w:p>
          <w:p w14:paraId="38529ED7" w14:textId="21E01040" w:rsidR="004966BF" w:rsidRPr="004C23F4" w:rsidRDefault="009D62B1" w:rsidP="00CA78D8">
            <w:pPr>
              <w:pStyle w:val="Tablefont"/>
              <w:numPr>
                <w:ilvl w:val="0"/>
                <w:numId w:val="1"/>
              </w:numPr>
              <w:spacing w:before="60" w:after="60"/>
              <w:ind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C</w:t>
            </w:r>
            <w:r w:rsidR="002609FB">
              <w:rPr>
                <w:rFonts w:cs="Arial"/>
              </w:rPr>
              <w:t>omposite skin notation of SK:</w:t>
            </w:r>
            <w:r w:rsidR="00896546" w:rsidRPr="00896546">
              <w:rPr>
                <w:rFonts w:cs="Arial"/>
              </w:rPr>
              <w:t>SYS</w:t>
            </w:r>
            <w:r>
              <w:rPr>
                <w:rFonts w:cs="Arial"/>
              </w:rPr>
              <w:t>-</w:t>
            </w:r>
            <w:r w:rsidR="00896546" w:rsidRPr="00896546">
              <w:rPr>
                <w:rFonts w:cs="Arial"/>
              </w:rPr>
              <w:t>DIR (IRR)-S</w:t>
            </w:r>
            <w:r>
              <w:rPr>
                <w:rFonts w:cs="Arial"/>
              </w:rPr>
              <w:t>EN assigned</w:t>
            </w:r>
            <w:r w:rsidR="004D2243">
              <w:rPr>
                <w:rFonts w:cs="Arial"/>
              </w:rPr>
              <w:t>.</w:t>
            </w:r>
          </w:p>
        </w:tc>
      </w:tr>
    </w:tbl>
    <w:p w14:paraId="43D6D961" w14:textId="77777777" w:rsidR="007E2A4B" w:rsidRDefault="007E2A4B"/>
    <w:bookmarkEnd w:id="0"/>
    <w:p w14:paraId="245E435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F06F268" w14:textId="77777777" w:rsidTr="00FA7431">
        <w:trPr>
          <w:trHeight w:val="454"/>
          <w:tblHeader/>
        </w:trPr>
        <w:tc>
          <w:tcPr>
            <w:tcW w:w="6603" w:type="dxa"/>
            <w:vAlign w:val="center"/>
          </w:tcPr>
          <w:p w14:paraId="4F49558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B63642D" w14:textId="703D51A1" w:rsidR="002E0D61" w:rsidRDefault="00FD312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017257E" w14:textId="77777777" w:rsidTr="00FA743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2284584" w14:textId="350698FE" w:rsidR="008A36CF" w:rsidRPr="006901A2" w:rsidRDefault="00FD312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DFF8ED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FF52C5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16E9DAA" w14:textId="77777777" w:rsidTr="00593E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BB35BF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ADC532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76EE820" w14:textId="77777777" w:rsidTr="00593E5B">
        <w:trPr>
          <w:cantSplit/>
        </w:trPr>
        <w:tc>
          <w:tcPr>
            <w:tcW w:w="3227" w:type="dxa"/>
          </w:tcPr>
          <w:p w14:paraId="7BA359D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4B9D00A" w14:textId="287EAC6F" w:rsidR="00687890" w:rsidRPr="00DD2F9B" w:rsidRDefault="00FA2646" w:rsidP="00DD2F9B">
            <w:pPr>
              <w:pStyle w:val="Tablefont"/>
            </w:pPr>
            <w:r>
              <w:t>Sk.</w:t>
            </w:r>
          </w:p>
        </w:tc>
      </w:tr>
      <w:tr w:rsidR="007925F0" w:rsidRPr="004C23F4" w14:paraId="211BAF51" w14:textId="77777777" w:rsidTr="00593E5B">
        <w:trPr>
          <w:cantSplit/>
        </w:trPr>
        <w:tc>
          <w:tcPr>
            <w:tcW w:w="3227" w:type="dxa"/>
          </w:tcPr>
          <w:p w14:paraId="64CBDAF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B9BBFD8" w14:textId="0498688C" w:rsidR="007925F0" w:rsidRPr="00DD2F9B" w:rsidRDefault="00896546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04E7611" w14:textId="77777777" w:rsidTr="00593E5B">
        <w:trPr>
          <w:cantSplit/>
        </w:trPr>
        <w:tc>
          <w:tcPr>
            <w:tcW w:w="3227" w:type="dxa"/>
          </w:tcPr>
          <w:p w14:paraId="3E2174F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4920174" w14:textId="4C435E18" w:rsidR="00AF483F" w:rsidRPr="00DD2F9B" w:rsidRDefault="00F345C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9315203" w14:textId="77777777" w:rsidTr="00593E5B">
        <w:trPr>
          <w:cantSplit/>
        </w:trPr>
        <w:tc>
          <w:tcPr>
            <w:tcW w:w="3227" w:type="dxa"/>
          </w:tcPr>
          <w:p w14:paraId="2D14231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89437E5" w14:textId="4BFB93F3" w:rsidR="00687890" w:rsidRPr="00DD2F9B" w:rsidRDefault="00896546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6EF9F48F" w14:textId="77777777" w:rsidTr="00593E5B">
        <w:trPr>
          <w:cantSplit/>
        </w:trPr>
        <w:tc>
          <w:tcPr>
            <w:tcW w:w="3227" w:type="dxa"/>
          </w:tcPr>
          <w:p w14:paraId="242426D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9F1DEB8" w14:textId="519FE198" w:rsidR="00E41A26" w:rsidRPr="00DD2F9B" w:rsidRDefault="0089654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C0F5F81" w14:textId="77777777" w:rsidTr="00593E5B">
        <w:trPr>
          <w:cantSplit/>
        </w:trPr>
        <w:tc>
          <w:tcPr>
            <w:tcW w:w="3227" w:type="dxa"/>
          </w:tcPr>
          <w:p w14:paraId="0628093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8F7233B" w14:textId="0CD4BD3C" w:rsidR="002E0D61" w:rsidRPr="00DD2F9B" w:rsidRDefault="00F345C6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3C24D3F" w14:textId="77777777" w:rsidTr="00593E5B">
        <w:trPr>
          <w:cantSplit/>
        </w:trPr>
        <w:tc>
          <w:tcPr>
            <w:tcW w:w="3227" w:type="dxa"/>
          </w:tcPr>
          <w:p w14:paraId="04CFC63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1F4B4A1" w14:textId="19C5AB98" w:rsidR="002E0D61" w:rsidRPr="00DD2F9B" w:rsidRDefault="00A17F2B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51EF4502" w14:textId="77777777" w:rsidTr="00593E5B">
        <w:trPr>
          <w:cantSplit/>
        </w:trPr>
        <w:tc>
          <w:tcPr>
            <w:tcW w:w="3227" w:type="dxa"/>
          </w:tcPr>
          <w:p w14:paraId="201A2BA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0A51C2" w14:textId="6B16B3E9" w:rsidR="002E0D61" w:rsidRPr="00DD2F9B" w:rsidRDefault="00F345C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9B5B3B" w14:textId="77777777" w:rsidTr="00593E5B">
        <w:trPr>
          <w:cantSplit/>
        </w:trPr>
        <w:tc>
          <w:tcPr>
            <w:tcW w:w="3227" w:type="dxa"/>
          </w:tcPr>
          <w:p w14:paraId="63374D2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B97621A" w14:textId="76724BBB" w:rsidR="002E0D61" w:rsidRPr="00DD2F9B" w:rsidRDefault="00F345C6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4CE2274C" w14:textId="77777777" w:rsidTr="00593E5B">
        <w:trPr>
          <w:cantSplit/>
        </w:trPr>
        <w:tc>
          <w:tcPr>
            <w:tcW w:w="3227" w:type="dxa"/>
          </w:tcPr>
          <w:p w14:paraId="3807D3D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F564D5A" w14:textId="1A20DB4E" w:rsidR="00386093" w:rsidRPr="00DD2F9B" w:rsidRDefault="00F345C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3929464" w14:textId="77777777" w:rsidTr="00593E5B">
        <w:trPr>
          <w:cantSplit/>
        </w:trPr>
        <w:tc>
          <w:tcPr>
            <w:tcW w:w="3227" w:type="dxa"/>
          </w:tcPr>
          <w:p w14:paraId="1B0A71E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AC00527" w14:textId="029A8F08" w:rsidR="00386093" w:rsidRPr="00DD2F9B" w:rsidRDefault="00896546" w:rsidP="00D87570">
            <w:pPr>
              <w:pStyle w:val="Tablefont"/>
              <w:keepNext/>
            </w:pPr>
            <w:r>
              <w:t xml:space="preserve">SK:SYS, </w:t>
            </w:r>
            <w:proofErr w:type="gramStart"/>
            <w:r>
              <w:t>SK:SEN</w:t>
            </w:r>
            <w:proofErr w:type="gramEnd"/>
          </w:p>
        </w:tc>
      </w:tr>
    </w:tbl>
    <w:bookmarkEnd w:id="2"/>
    <w:p w14:paraId="1953977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6E6B9F3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3F68F2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C78739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AD1DA2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265"/>
              <w:gridCol w:w="3699"/>
              <w:gridCol w:w="746"/>
              <w:gridCol w:w="629"/>
              <w:gridCol w:w="1504"/>
              <w:gridCol w:w="967"/>
            </w:tblGrid>
            <w:tr w:rsidR="00EB1B37" w:rsidRPr="002609FB" w14:paraId="768EA343" w14:textId="77777777" w:rsidTr="00EB1B37">
              <w:trPr>
                <w:trHeight w:val="240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737C74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53BA66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22BFFC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2BF3B9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31DD7D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B0A15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3F929C5A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1A4729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1678E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45E6E4D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BA7742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7DFF69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BC3038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0DA19702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84F186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9CA55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704121F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37F0AC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18E648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470BEF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2FB1ADF4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2AF0A3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C65970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61BD9B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B3CBAF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99DEDA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0728B6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76DFAAD8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6B2954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A4FB9C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554E3E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755B5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8FFFB9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21AEC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7F0DF421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AA1BDF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396DD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FF7BBF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3B289B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16A18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A005DD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29F8EE95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5B9823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84760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701B8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9D37F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C39F4F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C349F4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B1B37" w:rsidRPr="002609FB" w14:paraId="090C6C2A" w14:textId="77777777" w:rsidTr="00EB1B37">
              <w:trPr>
                <w:trHeight w:val="342"/>
              </w:trPr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594E8" w14:textId="77777777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EF3E92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4036AF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3FACCA" w14:textId="77777777" w:rsidR="00EB1B37" w:rsidRPr="002609FB" w:rsidRDefault="00EB1B37" w:rsidP="002609FB">
                  <w:pPr>
                    <w:spacing w:after="0" w:line="240" w:lineRule="auto"/>
                    <w:ind w:left="74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  <w:p w14:paraId="31A4598E" w14:textId="5A322EF1" w:rsidR="00EB1B37" w:rsidRPr="002609FB" w:rsidRDefault="00EB1B37" w:rsidP="002609FB">
                  <w:pPr>
                    <w:spacing w:after="0" w:line="240" w:lineRule="auto"/>
                    <w:ind w:left="74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09F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4DE2F8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FAC00E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7AA628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AAC6B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695B0BF" w14:textId="145D062C" w:rsidR="00EB3D1B" w:rsidRDefault="00FD312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E93D34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76617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1C2D3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BFF978F" w14:textId="02BE35C6" w:rsidR="001B79E5" w:rsidRDefault="003A1971" w:rsidP="001B79E5">
                <w:pPr>
                  <w:pStyle w:val="Tablefont"/>
                </w:pPr>
                <w:r>
                  <w:t>162.23</w:t>
                </w:r>
              </w:p>
            </w:tc>
          </w:sdtContent>
        </w:sdt>
      </w:tr>
      <w:tr w:rsidR="00A31D99" w:rsidRPr="004C23F4" w14:paraId="5856D9E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91053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0827888" w14:textId="52AEF58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A1971">
                  <w:t>6.7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343217789"/>
                    <w:placeholder>
                      <w:docPart w:val="4FB4EFBE274742B2A91E56838A1B7F16"/>
                    </w:placeholder>
                  </w:sdtPr>
                  <w:sdtEndPr/>
                  <w:sdtContent>
                    <w:r w:rsidR="003A1971">
                      <w:t>0.15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1B5D75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F2BE0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71BC9B" w14:textId="00AF98DE" w:rsidR="00687890" w:rsidRPr="004C23F4" w:rsidRDefault="003A197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429110A" w14:textId="77777777" w:rsidTr="00EA6243">
        <w:trPr>
          <w:cantSplit/>
        </w:trPr>
        <w:tc>
          <w:tcPr>
            <w:tcW w:w="4077" w:type="dxa"/>
            <w:vAlign w:val="center"/>
          </w:tcPr>
          <w:p w14:paraId="6B7FFE0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41ECE0" w14:textId="010803D2" w:rsidR="00687890" w:rsidRPr="004C23F4" w:rsidRDefault="003A197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7B63BA8" w14:textId="77777777" w:rsidTr="00EA6243">
        <w:trPr>
          <w:cantSplit/>
        </w:trPr>
        <w:tc>
          <w:tcPr>
            <w:tcW w:w="4077" w:type="dxa"/>
            <w:vAlign w:val="center"/>
          </w:tcPr>
          <w:p w14:paraId="367F60E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B6826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7495EE5" w14:textId="77777777" w:rsidTr="00EA6243">
        <w:trPr>
          <w:cantSplit/>
        </w:trPr>
        <w:tc>
          <w:tcPr>
            <w:tcW w:w="4077" w:type="dxa"/>
            <w:vAlign w:val="center"/>
          </w:tcPr>
          <w:p w14:paraId="151B6E6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664A9D" w14:textId="77777777" w:rsidR="00E06F40" w:rsidRPr="00A006A0" w:rsidRDefault="00D90B2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4CA6CA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806AB9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4B821D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6F7B5D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7C6B05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2F11D6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70149E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B228BB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755B5DA" w14:textId="050B656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59675F8" w14:textId="0879D38A" w:rsidR="00AD4BCC" w:rsidRPr="00E14FF8" w:rsidRDefault="00054956" w:rsidP="00054956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(2003) Nicotine – MAK value documentation.</w:t>
      </w:r>
    </w:p>
    <w:p w14:paraId="55B73069" w14:textId="11234584" w:rsidR="00054956" w:rsidRDefault="00054956" w:rsidP="00054956">
      <w:r w:rsidRPr="002022B6">
        <w:t>Health Council of the Netherlands</w:t>
      </w:r>
      <w:r>
        <w:t xml:space="preserve"> (HCOTN) (2005) Nicotine</w:t>
      </w:r>
      <w:r w:rsidRPr="005F7416">
        <w:t xml:space="preserve">. </w:t>
      </w:r>
      <w:r w:rsidRPr="00054956"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2000/15OSH/105(R).</w:t>
      </w:r>
    </w:p>
    <w:p w14:paraId="112E9832" w14:textId="2329985C" w:rsidR="00E14FF8" w:rsidRPr="00E14FF8" w:rsidRDefault="00E14FF8" w:rsidP="00054956">
      <w:r>
        <w:lastRenderedPageBreak/>
        <w:t>European Chemicals Agency (ECHA) (2019) Nicotine – REACH assessment.</w:t>
      </w:r>
    </w:p>
    <w:p w14:paraId="64D2651D" w14:textId="77777777" w:rsidR="002609FB" w:rsidRPr="00232D2C" w:rsidRDefault="002609FB" w:rsidP="002609FB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temporary/>
          <w:showingPlcHdr/>
        </w:sdtPr>
        <w:sdtEndPr/>
        <w:sdtContent>
          <w:r w:rsidRPr="00054956">
            <w:t>1994</w:t>
          </w:r>
        </w:sdtContent>
      </w:sdt>
      <w:r>
        <w:t>) Immediately dangerous to life or health concentrations – nicotine.</w:t>
      </w:r>
    </w:p>
    <w:p w14:paraId="11FDD91E" w14:textId="47978CFB" w:rsidR="00E14FF8" w:rsidRDefault="00E14FF8" w:rsidP="00084859">
      <w:r>
        <w:t>US National Institute for Occupational Safety and Health (NIOSH) (2015) Skin Notation Profiles: Nicotine.</w:t>
      </w:r>
    </w:p>
    <w:p w14:paraId="7BEACAEE" w14:textId="77777777" w:rsidR="002609FB" w:rsidRPr="00232D2C" w:rsidRDefault="002609FB">
      <w:pPr>
        <w:rPr>
          <w:b/>
        </w:rPr>
      </w:pPr>
    </w:p>
    <w:sectPr w:rsidR="002609FB" w:rsidRPr="00232D2C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FD332" w14:textId="77777777" w:rsidR="00365B0B" w:rsidRDefault="00365B0B" w:rsidP="00F43AD5">
      <w:pPr>
        <w:spacing w:after="0" w:line="240" w:lineRule="auto"/>
      </w:pPr>
      <w:r>
        <w:separator/>
      </w:r>
    </w:p>
  </w:endnote>
  <w:endnote w:type="continuationSeparator" w:id="0">
    <w:p w14:paraId="49CA90B0" w14:textId="77777777" w:rsidR="00365B0B" w:rsidRDefault="00365B0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B60F0F0" w14:textId="64306081" w:rsidR="001A0B07" w:rsidRDefault="001A0B0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Nicotine (54-11-5)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01082A2B" w14:textId="36215315" w:rsidR="001A0B07" w:rsidRPr="00F43AD5" w:rsidRDefault="001A0B07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E6161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3C2D6" w14:textId="77777777" w:rsidR="00365B0B" w:rsidRDefault="00365B0B" w:rsidP="00F43AD5">
      <w:pPr>
        <w:spacing w:after="0" w:line="240" w:lineRule="auto"/>
      </w:pPr>
      <w:r>
        <w:separator/>
      </w:r>
    </w:p>
  </w:footnote>
  <w:footnote w:type="continuationSeparator" w:id="0">
    <w:p w14:paraId="23BEB04C" w14:textId="77777777" w:rsidR="00365B0B" w:rsidRDefault="00365B0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F10B6" w14:textId="45EAD7EC" w:rsidR="001A0B07" w:rsidRPr="00593E5B" w:rsidRDefault="00593E5B" w:rsidP="00593E5B">
    <w:pPr>
      <w:pStyle w:val="Header"/>
      <w:jc w:val="right"/>
    </w:pPr>
    <w:r>
      <w:rPr>
        <w:noProof/>
        <w:lang w:eastAsia="en-AU"/>
      </w:rPr>
      <w:drawing>
        <wp:inline distT="0" distB="0" distL="0" distR="0" wp14:anchorId="28C13C06" wp14:editId="049E15A3">
          <wp:extent cx="2948305" cy="583565"/>
          <wp:effectExtent l="0" t="0" r="0" b="698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C605" w14:textId="160E7C0D" w:rsidR="00593E5B" w:rsidRDefault="00593E5B" w:rsidP="00593E5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E88C43" wp14:editId="2A61D32F">
          <wp:extent cx="2948305" cy="583565"/>
          <wp:effectExtent l="0" t="0" r="0" b="6985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0EAC4C" w14:textId="77777777" w:rsidR="00593E5B" w:rsidRDefault="00593E5B" w:rsidP="00593E5B">
    <w:pPr>
      <w:pStyle w:val="Header"/>
    </w:pPr>
  </w:p>
  <w:p w14:paraId="72199C58" w14:textId="77777777" w:rsidR="001A0B07" w:rsidRDefault="001A0B07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A1697"/>
    <w:multiLevelType w:val="hybridMultilevel"/>
    <w:tmpl w:val="EE26BCF8"/>
    <w:lvl w:ilvl="0" w:tplc="3C32C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71467"/>
    <w:multiLevelType w:val="hybridMultilevel"/>
    <w:tmpl w:val="E468278E"/>
    <w:lvl w:ilvl="0" w:tplc="7B0E4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570">
    <w:abstractNumId w:val="1"/>
  </w:num>
  <w:num w:numId="2" w16cid:durableId="1980920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416"/>
    <w:rsid w:val="00021462"/>
    <w:rsid w:val="000238EA"/>
    <w:rsid w:val="00032398"/>
    <w:rsid w:val="00032B88"/>
    <w:rsid w:val="00034363"/>
    <w:rsid w:val="00046DF5"/>
    <w:rsid w:val="00052060"/>
    <w:rsid w:val="00054956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323"/>
    <w:rsid w:val="000B3E12"/>
    <w:rsid w:val="000B3E78"/>
    <w:rsid w:val="000B7164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3597"/>
    <w:rsid w:val="0010461E"/>
    <w:rsid w:val="00104FE8"/>
    <w:rsid w:val="00106FAA"/>
    <w:rsid w:val="00107004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22E4"/>
    <w:rsid w:val="00183823"/>
    <w:rsid w:val="00183942"/>
    <w:rsid w:val="00193055"/>
    <w:rsid w:val="001A009E"/>
    <w:rsid w:val="001A0A85"/>
    <w:rsid w:val="001A0B07"/>
    <w:rsid w:val="001A1287"/>
    <w:rsid w:val="001A3859"/>
    <w:rsid w:val="001A3C9D"/>
    <w:rsid w:val="001A43F8"/>
    <w:rsid w:val="001B47B1"/>
    <w:rsid w:val="001B79E5"/>
    <w:rsid w:val="001D56F0"/>
    <w:rsid w:val="001D663B"/>
    <w:rsid w:val="001D7B41"/>
    <w:rsid w:val="001E46DA"/>
    <w:rsid w:val="001E6498"/>
    <w:rsid w:val="001E7D80"/>
    <w:rsid w:val="001F4B6C"/>
    <w:rsid w:val="001F6133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D2C"/>
    <w:rsid w:val="00233F2B"/>
    <w:rsid w:val="00243F97"/>
    <w:rsid w:val="00244AD1"/>
    <w:rsid w:val="002463BC"/>
    <w:rsid w:val="002465CE"/>
    <w:rsid w:val="0025734A"/>
    <w:rsid w:val="002609FB"/>
    <w:rsid w:val="00263255"/>
    <w:rsid w:val="0026385F"/>
    <w:rsid w:val="00276494"/>
    <w:rsid w:val="00277B0C"/>
    <w:rsid w:val="002B1A2C"/>
    <w:rsid w:val="002C34F2"/>
    <w:rsid w:val="002C58FF"/>
    <w:rsid w:val="002C7AFE"/>
    <w:rsid w:val="002D05D2"/>
    <w:rsid w:val="002E0D61"/>
    <w:rsid w:val="002E22C0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C9A"/>
    <w:rsid w:val="00347192"/>
    <w:rsid w:val="00347209"/>
    <w:rsid w:val="0034744C"/>
    <w:rsid w:val="00351FE0"/>
    <w:rsid w:val="00352615"/>
    <w:rsid w:val="0035412B"/>
    <w:rsid w:val="003567A8"/>
    <w:rsid w:val="00362895"/>
    <w:rsid w:val="00365B0B"/>
    <w:rsid w:val="00370DBF"/>
    <w:rsid w:val="00373D57"/>
    <w:rsid w:val="003802CF"/>
    <w:rsid w:val="00386093"/>
    <w:rsid w:val="003904A4"/>
    <w:rsid w:val="00391841"/>
    <w:rsid w:val="00391B6D"/>
    <w:rsid w:val="0039294E"/>
    <w:rsid w:val="00394922"/>
    <w:rsid w:val="003A0E32"/>
    <w:rsid w:val="003A1971"/>
    <w:rsid w:val="003A2B94"/>
    <w:rsid w:val="003B387D"/>
    <w:rsid w:val="003C0D58"/>
    <w:rsid w:val="003D0B67"/>
    <w:rsid w:val="003D4FA3"/>
    <w:rsid w:val="003D567A"/>
    <w:rsid w:val="003E0807"/>
    <w:rsid w:val="003E51FB"/>
    <w:rsid w:val="003E6161"/>
    <w:rsid w:val="003E6B39"/>
    <w:rsid w:val="003E7391"/>
    <w:rsid w:val="003F07E1"/>
    <w:rsid w:val="004030BC"/>
    <w:rsid w:val="00403F7D"/>
    <w:rsid w:val="00406785"/>
    <w:rsid w:val="004079B4"/>
    <w:rsid w:val="00410AAA"/>
    <w:rsid w:val="00411882"/>
    <w:rsid w:val="00417A56"/>
    <w:rsid w:val="00420957"/>
    <w:rsid w:val="00422A10"/>
    <w:rsid w:val="0042796D"/>
    <w:rsid w:val="00430179"/>
    <w:rsid w:val="004414B5"/>
    <w:rsid w:val="00444482"/>
    <w:rsid w:val="00444B42"/>
    <w:rsid w:val="00445041"/>
    <w:rsid w:val="00445E44"/>
    <w:rsid w:val="004479C2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A9A"/>
    <w:rsid w:val="004B31B2"/>
    <w:rsid w:val="004B42EC"/>
    <w:rsid w:val="004C1E3F"/>
    <w:rsid w:val="004C23F4"/>
    <w:rsid w:val="004C3475"/>
    <w:rsid w:val="004C58B6"/>
    <w:rsid w:val="004D16A3"/>
    <w:rsid w:val="004D2243"/>
    <w:rsid w:val="004D4AA1"/>
    <w:rsid w:val="004D6D68"/>
    <w:rsid w:val="004E5EDD"/>
    <w:rsid w:val="004F448A"/>
    <w:rsid w:val="004F493D"/>
    <w:rsid w:val="004F65E8"/>
    <w:rsid w:val="0050005E"/>
    <w:rsid w:val="00502B88"/>
    <w:rsid w:val="00504310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03D6"/>
    <w:rsid w:val="00564C23"/>
    <w:rsid w:val="00571FA8"/>
    <w:rsid w:val="00581055"/>
    <w:rsid w:val="00591E38"/>
    <w:rsid w:val="00593E5B"/>
    <w:rsid w:val="005A19C5"/>
    <w:rsid w:val="005A3034"/>
    <w:rsid w:val="005A462D"/>
    <w:rsid w:val="005B253B"/>
    <w:rsid w:val="005B771D"/>
    <w:rsid w:val="005C5D16"/>
    <w:rsid w:val="005D3193"/>
    <w:rsid w:val="005D4A6E"/>
    <w:rsid w:val="005D6978"/>
    <w:rsid w:val="005E6979"/>
    <w:rsid w:val="005E75CB"/>
    <w:rsid w:val="005F40AA"/>
    <w:rsid w:val="006013C1"/>
    <w:rsid w:val="0060669E"/>
    <w:rsid w:val="00610F2E"/>
    <w:rsid w:val="00611399"/>
    <w:rsid w:val="00624C4E"/>
    <w:rsid w:val="00625200"/>
    <w:rsid w:val="00635E48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0CA9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4AC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FBD"/>
    <w:rsid w:val="007B1B42"/>
    <w:rsid w:val="007C30EB"/>
    <w:rsid w:val="007E063C"/>
    <w:rsid w:val="007E2A4B"/>
    <w:rsid w:val="007E307D"/>
    <w:rsid w:val="007E677B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6301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546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07A6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B3B"/>
    <w:rsid w:val="0093760E"/>
    <w:rsid w:val="00946044"/>
    <w:rsid w:val="0094660B"/>
    <w:rsid w:val="00946A33"/>
    <w:rsid w:val="0095260E"/>
    <w:rsid w:val="009578DD"/>
    <w:rsid w:val="00961124"/>
    <w:rsid w:val="009621B6"/>
    <w:rsid w:val="009627BF"/>
    <w:rsid w:val="00974F2D"/>
    <w:rsid w:val="00977524"/>
    <w:rsid w:val="00977E88"/>
    <w:rsid w:val="0098054D"/>
    <w:rsid w:val="00984920"/>
    <w:rsid w:val="009866B1"/>
    <w:rsid w:val="009924A3"/>
    <w:rsid w:val="0099303A"/>
    <w:rsid w:val="009971C2"/>
    <w:rsid w:val="009A1254"/>
    <w:rsid w:val="009B2FF2"/>
    <w:rsid w:val="009B380C"/>
    <w:rsid w:val="009B4843"/>
    <w:rsid w:val="009B5FAD"/>
    <w:rsid w:val="009B6543"/>
    <w:rsid w:val="009C199D"/>
    <w:rsid w:val="009C278F"/>
    <w:rsid w:val="009C2B94"/>
    <w:rsid w:val="009C5874"/>
    <w:rsid w:val="009D3B5A"/>
    <w:rsid w:val="009D62B1"/>
    <w:rsid w:val="009E0C05"/>
    <w:rsid w:val="009E0D1C"/>
    <w:rsid w:val="009E2214"/>
    <w:rsid w:val="009E355A"/>
    <w:rsid w:val="009E35C8"/>
    <w:rsid w:val="009E63E2"/>
    <w:rsid w:val="009F04D2"/>
    <w:rsid w:val="009F05CF"/>
    <w:rsid w:val="009F0F3A"/>
    <w:rsid w:val="009F77D2"/>
    <w:rsid w:val="00A01D0C"/>
    <w:rsid w:val="00A039C0"/>
    <w:rsid w:val="00A05974"/>
    <w:rsid w:val="00A0643F"/>
    <w:rsid w:val="00A067EE"/>
    <w:rsid w:val="00A10FCE"/>
    <w:rsid w:val="00A1348B"/>
    <w:rsid w:val="00A148E2"/>
    <w:rsid w:val="00A16D91"/>
    <w:rsid w:val="00A174CC"/>
    <w:rsid w:val="00A17F2B"/>
    <w:rsid w:val="00A2073D"/>
    <w:rsid w:val="00A20751"/>
    <w:rsid w:val="00A265FD"/>
    <w:rsid w:val="00A27E2D"/>
    <w:rsid w:val="00A31D99"/>
    <w:rsid w:val="00A33B21"/>
    <w:rsid w:val="00A33D09"/>
    <w:rsid w:val="00A357BA"/>
    <w:rsid w:val="00A35ADC"/>
    <w:rsid w:val="00A402A3"/>
    <w:rsid w:val="00A53681"/>
    <w:rsid w:val="00A633D4"/>
    <w:rsid w:val="00A63728"/>
    <w:rsid w:val="00A6461A"/>
    <w:rsid w:val="00A80FDF"/>
    <w:rsid w:val="00A84504"/>
    <w:rsid w:val="00A8672F"/>
    <w:rsid w:val="00A93057"/>
    <w:rsid w:val="00A968B0"/>
    <w:rsid w:val="00AA73D9"/>
    <w:rsid w:val="00AB2672"/>
    <w:rsid w:val="00AB2817"/>
    <w:rsid w:val="00AB43C4"/>
    <w:rsid w:val="00AC32E7"/>
    <w:rsid w:val="00AC3A9F"/>
    <w:rsid w:val="00AC6D2F"/>
    <w:rsid w:val="00AD4BCC"/>
    <w:rsid w:val="00AE1640"/>
    <w:rsid w:val="00AE2745"/>
    <w:rsid w:val="00AE2F64"/>
    <w:rsid w:val="00AF42CB"/>
    <w:rsid w:val="00AF483F"/>
    <w:rsid w:val="00AF5E07"/>
    <w:rsid w:val="00AF5F06"/>
    <w:rsid w:val="00B00A25"/>
    <w:rsid w:val="00B10CA3"/>
    <w:rsid w:val="00B1422A"/>
    <w:rsid w:val="00B1765C"/>
    <w:rsid w:val="00B213C4"/>
    <w:rsid w:val="00B2478E"/>
    <w:rsid w:val="00B37CE5"/>
    <w:rsid w:val="00B40C60"/>
    <w:rsid w:val="00B479A9"/>
    <w:rsid w:val="00B52EDF"/>
    <w:rsid w:val="00B52EFD"/>
    <w:rsid w:val="00B66EC2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2B6E"/>
    <w:rsid w:val="00C03574"/>
    <w:rsid w:val="00C06E43"/>
    <w:rsid w:val="00C16315"/>
    <w:rsid w:val="00C17987"/>
    <w:rsid w:val="00C3091E"/>
    <w:rsid w:val="00C40FF1"/>
    <w:rsid w:val="00C419E2"/>
    <w:rsid w:val="00C45A96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2FF7"/>
    <w:rsid w:val="00C978F0"/>
    <w:rsid w:val="00CA58FE"/>
    <w:rsid w:val="00CA78D8"/>
    <w:rsid w:val="00CB1CB1"/>
    <w:rsid w:val="00CB6BC1"/>
    <w:rsid w:val="00CB6CB8"/>
    <w:rsid w:val="00CB726C"/>
    <w:rsid w:val="00CC1A68"/>
    <w:rsid w:val="00CC2123"/>
    <w:rsid w:val="00CD2BFD"/>
    <w:rsid w:val="00CD33EC"/>
    <w:rsid w:val="00CE5AD6"/>
    <w:rsid w:val="00CE617F"/>
    <w:rsid w:val="00CE78EF"/>
    <w:rsid w:val="00D02ED4"/>
    <w:rsid w:val="00D048F7"/>
    <w:rsid w:val="00D0517E"/>
    <w:rsid w:val="00D05E0E"/>
    <w:rsid w:val="00D140FC"/>
    <w:rsid w:val="00D21D8C"/>
    <w:rsid w:val="00D31357"/>
    <w:rsid w:val="00D33220"/>
    <w:rsid w:val="00D334D1"/>
    <w:rsid w:val="00D40EA8"/>
    <w:rsid w:val="00D44C89"/>
    <w:rsid w:val="00D516CD"/>
    <w:rsid w:val="00D6512B"/>
    <w:rsid w:val="00D668E6"/>
    <w:rsid w:val="00D70670"/>
    <w:rsid w:val="00D74D80"/>
    <w:rsid w:val="00D76624"/>
    <w:rsid w:val="00D87570"/>
    <w:rsid w:val="00D90B26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6FDA"/>
    <w:rsid w:val="00DF143F"/>
    <w:rsid w:val="00DF6F36"/>
    <w:rsid w:val="00DF7793"/>
    <w:rsid w:val="00E0084C"/>
    <w:rsid w:val="00E025AB"/>
    <w:rsid w:val="00E02B23"/>
    <w:rsid w:val="00E06F40"/>
    <w:rsid w:val="00E07CE8"/>
    <w:rsid w:val="00E14FF8"/>
    <w:rsid w:val="00E26A07"/>
    <w:rsid w:val="00E32595"/>
    <w:rsid w:val="00E37CFD"/>
    <w:rsid w:val="00E41A26"/>
    <w:rsid w:val="00E46BCB"/>
    <w:rsid w:val="00E51CAF"/>
    <w:rsid w:val="00E546FD"/>
    <w:rsid w:val="00E60F04"/>
    <w:rsid w:val="00E62AAC"/>
    <w:rsid w:val="00E63C05"/>
    <w:rsid w:val="00E67C2F"/>
    <w:rsid w:val="00E67EF5"/>
    <w:rsid w:val="00E804EA"/>
    <w:rsid w:val="00E80A71"/>
    <w:rsid w:val="00E82337"/>
    <w:rsid w:val="00E837B5"/>
    <w:rsid w:val="00E92499"/>
    <w:rsid w:val="00E949AF"/>
    <w:rsid w:val="00E96077"/>
    <w:rsid w:val="00EA0A06"/>
    <w:rsid w:val="00EA6243"/>
    <w:rsid w:val="00EA74AB"/>
    <w:rsid w:val="00EB1B37"/>
    <w:rsid w:val="00EB3D1B"/>
    <w:rsid w:val="00EC4D45"/>
    <w:rsid w:val="00ED1D89"/>
    <w:rsid w:val="00ED3B45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16E"/>
    <w:rsid w:val="00F20E68"/>
    <w:rsid w:val="00F22093"/>
    <w:rsid w:val="00F236DF"/>
    <w:rsid w:val="00F345C6"/>
    <w:rsid w:val="00F3704C"/>
    <w:rsid w:val="00F427D5"/>
    <w:rsid w:val="00F43AD5"/>
    <w:rsid w:val="00F4402E"/>
    <w:rsid w:val="00F56DD0"/>
    <w:rsid w:val="00F57D14"/>
    <w:rsid w:val="00F6491C"/>
    <w:rsid w:val="00F67BBB"/>
    <w:rsid w:val="00F831F6"/>
    <w:rsid w:val="00F85398"/>
    <w:rsid w:val="00F87D92"/>
    <w:rsid w:val="00F90AA7"/>
    <w:rsid w:val="00F92498"/>
    <w:rsid w:val="00F9496B"/>
    <w:rsid w:val="00F970C9"/>
    <w:rsid w:val="00FA06A8"/>
    <w:rsid w:val="00FA1CBD"/>
    <w:rsid w:val="00FA2646"/>
    <w:rsid w:val="00FA3DF5"/>
    <w:rsid w:val="00FA741F"/>
    <w:rsid w:val="00FA7431"/>
    <w:rsid w:val="00FB4E07"/>
    <w:rsid w:val="00FB6412"/>
    <w:rsid w:val="00FB755A"/>
    <w:rsid w:val="00FC2AF7"/>
    <w:rsid w:val="00FC60A2"/>
    <w:rsid w:val="00FC73DA"/>
    <w:rsid w:val="00FD1871"/>
    <w:rsid w:val="00FD3110"/>
    <w:rsid w:val="00FD3121"/>
    <w:rsid w:val="00FD6D18"/>
    <w:rsid w:val="00FD7EB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3BDB8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17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16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716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1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16E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05495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035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B4EFBE274742B2A91E56838A1B7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A8A92-8EE3-48DA-9C28-155103947CBE}"/>
      </w:docPartPr>
      <w:docPartBody>
        <w:p w:rsidR="002C543B" w:rsidRDefault="002C543B" w:rsidP="002C543B">
          <w:pPr>
            <w:pStyle w:val="4FB4EFBE274742B2A91E56838A1B7F16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8FA4204ED61E4A349351EF0EC9B5E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56752-7C64-4FE5-949E-3306228268E6}"/>
      </w:docPartPr>
      <w:docPartBody>
        <w:p w:rsidR="00944362" w:rsidRDefault="00944362">
          <w:pPr>
            <w:pStyle w:val="8FA4204ED61E4A349351EF0EC9B5EB0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2398"/>
    <w:rsid w:val="00103007"/>
    <w:rsid w:val="00175925"/>
    <w:rsid w:val="002C543B"/>
    <w:rsid w:val="00347209"/>
    <w:rsid w:val="00611ACA"/>
    <w:rsid w:val="007F00C6"/>
    <w:rsid w:val="00810617"/>
    <w:rsid w:val="00944362"/>
    <w:rsid w:val="00987053"/>
    <w:rsid w:val="009E136A"/>
    <w:rsid w:val="00AD2ED3"/>
    <w:rsid w:val="00C937BB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4FB4EFBE274742B2A91E56838A1B7F16">
    <w:name w:val="4FB4EFBE274742B2A91E56838A1B7F16"/>
    <w:rsid w:val="002C543B"/>
  </w:style>
  <w:style w:type="paragraph" w:customStyle="1" w:styleId="8FA4204ED61E4A349351EF0EC9B5EB05">
    <w:name w:val="8FA4204ED61E4A349351EF0EC9B5EB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7708B-7698-40A2-92FF-9E17A872A94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0509f21-ed56-4150-9955-96be669e5f2d"/>
    <ds:schemaRef ds:uri="1c567317-0c4d-4a62-8516-c22afd1b53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2E32AF-D63A-42F9-8159-3A1993488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52EF2-B7A8-4760-A1E6-934B742F2E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83A222-07DD-47F8-A9AC-FF58591E48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2020-03-25T22:11:00Z</dcterms:created>
  <dcterms:modified xsi:type="dcterms:W3CDTF">2026-01-09T01:42:00Z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2026-01-07T01:13:22Z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b1efa552-a980-4c59-befb-79ea537751b8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