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45D7325" w:rsidR="00BD499F" w:rsidRPr="004C23F4" w:rsidRDefault="004061C2" w:rsidP="00B40C60">
          <w:pPr>
            <w:pStyle w:val="Heading1"/>
            <w:jc w:val="center"/>
            <w:rPr>
              <w:rFonts w:ascii="Arial" w:hAnsi="Arial" w:cs="Arial"/>
            </w:rPr>
          </w:pPr>
          <w:r w:rsidRPr="004061C2">
            <w:rPr>
              <w:rFonts w:ascii="Arial" w:hAnsi="Arial" w:cs="Arial"/>
            </w:rPr>
            <w:t>Natural Rubber Latex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38699352" w:rsidR="00F43AD5" w:rsidRPr="00717D45" w:rsidRDefault="004061C2" w:rsidP="00B76A41">
            <w:pPr>
              <w:pStyle w:val="Tablefont"/>
            </w:pPr>
            <w:r w:rsidRPr="004061C2">
              <w:t>900-04-6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6FBBF21D" w:rsidR="00F43AD5" w:rsidRPr="00717D45" w:rsidRDefault="004061C2" w:rsidP="00B76A41">
            <w:pPr>
              <w:pStyle w:val="Tablefont"/>
            </w:pPr>
            <w:r>
              <w:t>Caoutchouc, india rubber,natural latex, natural rubber, NRL, polyisoprene, rubber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05424ED6" w:rsidR="00F43AD5" w:rsidRPr="00717D45" w:rsidRDefault="004061C2" w:rsidP="00B76A41">
            <w:pPr>
              <w:pStyle w:val="Tablefont"/>
            </w:pPr>
            <w:r>
              <w:t>[C5H8]</w:t>
            </w:r>
            <w:r w:rsidRPr="004061C2">
              <w:rPr>
                <w:vertAlign w:val="subscript"/>
              </w:rPr>
              <w:t>n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237D755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F70B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23C056E" w:rsidR="002C7AFE" w:rsidRPr="001C44DE" w:rsidRDefault="001C44DE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 xml:space="preserve">0.1 </w:t>
            </w:r>
            <w:r w:rsidR="00C258C2" w:rsidRPr="00C258C2">
              <w:rPr>
                <w:rFonts w:cs="Arial"/>
                <w:b/>
              </w:rPr>
              <w:t>µ</w:t>
            </w:r>
            <w:r>
              <w:rPr>
                <w:b/>
              </w:rPr>
              <w:t>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7674D9" w:rsidRDefault="00037E52" w:rsidP="00037E52">
            <w:pPr>
              <w:pStyle w:val="Tablefont"/>
              <w:rPr>
                <w:b/>
              </w:rPr>
            </w:pPr>
            <w:r w:rsidRPr="007674D9"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7674D9" w:rsidRDefault="00037E52" w:rsidP="00037E52">
            <w:pPr>
              <w:pStyle w:val="Tablefont"/>
              <w:rPr>
                <w:b/>
              </w:rPr>
            </w:pPr>
            <w:r w:rsidRPr="007674D9"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1B40FA60" w:rsidR="00037E52" w:rsidRPr="00EB3D1B" w:rsidRDefault="001C44D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40F1029" w:rsidR="00155999" w:rsidRPr="00EB3D1B" w:rsidRDefault="00155999" w:rsidP="00037E52">
            <w:pPr>
              <w:pStyle w:val="Tablefont"/>
              <w:rPr>
                <w:b/>
              </w:rPr>
            </w:pPr>
            <w:r w:rsidRPr="00C258C2">
              <w:rPr>
                <w:b/>
              </w:rPr>
              <w:t>Sampling and analysis:</w:t>
            </w:r>
            <w:r w:rsidRPr="00C258C2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258C2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4F60F4C" w14:textId="768AB10E" w:rsidR="001C44DE" w:rsidRDefault="001C44DE" w:rsidP="001C44DE">
      <w:pPr>
        <w:rPr>
          <w:szCs w:val="20"/>
        </w:rPr>
      </w:pPr>
      <w:r w:rsidRPr="001C44DE">
        <w:rPr>
          <w:szCs w:val="20"/>
        </w:rPr>
        <w:t xml:space="preserve">A TWA of </w:t>
      </w:r>
      <w:r w:rsidR="00C258C2" w:rsidRPr="00C258C2">
        <w:t xml:space="preserve">0.1 </w:t>
      </w:r>
      <w:r w:rsidR="00C258C2" w:rsidRPr="00C258C2">
        <w:rPr>
          <w:rFonts w:cs="Arial"/>
        </w:rPr>
        <w:t>µ</w:t>
      </w:r>
      <w:r w:rsidR="00C258C2" w:rsidRPr="00C258C2">
        <w:t>g/m</w:t>
      </w:r>
      <w:r w:rsidR="00C258C2" w:rsidRPr="00C258C2">
        <w:rPr>
          <w:vertAlign w:val="superscript"/>
        </w:rPr>
        <w:t>3</w:t>
      </w:r>
      <w:r w:rsidR="00C258C2">
        <w:rPr>
          <w:b/>
          <w:vertAlign w:val="superscript"/>
        </w:rPr>
        <w:t xml:space="preserve"> </w:t>
      </w:r>
      <w:r w:rsidRPr="001C44DE">
        <w:rPr>
          <w:szCs w:val="20"/>
        </w:rPr>
        <w:t xml:space="preserve">is recommended </w:t>
      </w:r>
      <w:r>
        <w:rPr>
          <w:szCs w:val="20"/>
        </w:rPr>
        <w:t xml:space="preserve">to protect for respiratory </w:t>
      </w:r>
      <w:r w:rsidR="00C258C2">
        <w:rPr>
          <w:szCs w:val="20"/>
        </w:rPr>
        <w:t xml:space="preserve">sensitisation </w:t>
      </w:r>
      <w:r>
        <w:rPr>
          <w:szCs w:val="20"/>
        </w:rPr>
        <w:t>in exposed workers.</w:t>
      </w:r>
    </w:p>
    <w:p w14:paraId="71CFE9FC" w14:textId="77777777" w:rsidR="00CB08BA" w:rsidRDefault="00CB08BA" w:rsidP="00CB08B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6E4ECCB" w14:textId="51804122" w:rsidR="00B63C1F" w:rsidRDefault="00B5147D" w:rsidP="006639B4">
      <w:r>
        <w:t xml:space="preserve">Natural rubber latex is a starting material for the rubber industry. </w:t>
      </w:r>
    </w:p>
    <w:p w14:paraId="41DE5FE3" w14:textId="4AE42262" w:rsidR="008F70B1" w:rsidRDefault="008F70B1" w:rsidP="006639B4">
      <w:r>
        <w:t xml:space="preserve">The critical effect </w:t>
      </w:r>
      <w:r w:rsidR="00CB08BA">
        <w:t xml:space="preserve">of exposure </w:t>
      </w:r>
      <w:r>
        <w:t>is respiratory sensitisation.</w:t>
      </w:r>
    </w:p>
    <w:p w14:paraId="35BB0666" w14:textId="78D7DB20" w:rsidR="008F70B1" w:rsidRDefault="008F70B1" w:rsidP="006639B4">
      <w:r>
        <w:t>Evidence in human observational studies and animal experiments consistently demonstrate an excess risk of sensitisation or allergic reaction</w:t>
      </w:r>
      <w:r w:rsidR="00D033C7">
        <w:t>s</w:t>
      </w:r>
      <w:r>
        <w:t xml:space="preserve"> following repeated exposure. Following sensitisation, inhalation or dermal challenges </w:t>
      </w:r>
      <w:r w:rsidR="00D033C7">
        <w:t xml:space="preserve">can </w:t>
      </w:r>
      <w:r>
        <w:t>produce respiratory and dermal reactions</w:t>
      </w:r>
      <w:r w:rsidR="00FB5130">
        <w:t>. A c</w:t>
      </w:r>
      <w:r w:rsidR="00FB5130" w:rsidRPr="008334E7">
        <w:t>ross-sectional epidemiologic study</w:t>
      </w:r>
      <w:r w:rsidR="00FB5130">
        <w:t xml:space="preserve"> in more than 800 workers reported a NOAEC of 0.001 mg/m</w:t>
      </w:r>
      <w:r w:rsidR="00FB5130">
        <w:rPr>
          <w:vertAlign w:val="superscript"/>
        </w:rPr>
        <w:t>3</w:t>
      </w:r>
      <w:r w:rsidR="00FB5130">
        <w:t xml:space="preserve"> for weals of 3 mm or greater in diameter</w:t>
      </w:r>
      <w:r w:rsidR="001C6F1B">
        <w:t xml:space="preserve">. ACGIH (2018) use this study </w:t>
      </w:r>
      <w:r w:rsidR="001D4FB3">
        <w:t>as the basis for</w:t>
      </w:r>
      <w:r w:rsidR="00FB5130">
        <w:t xml:space="preserve"> </w:t>
      </w:r>
      <w:r w:rsidR="001C6F1B">
        <w:t xml:space="preserve">its </w:t>
      </w:r>
      <w:r w:rsidR="00FB5130">
        <w:t>TWA of 0.0001 mg/m</w:t>
      </w:r>
      <w:r w:rsidR="00FB5130">
        <w:rPr>
          <w:vertAlign w:val="superscript"/>
        </w:rPr>
        <w:t>3</w:t>
      </w:r>
      <w:r w:rsidR="00C258C2">
        <w:t>.</w:t>
      </w:r>
      <w:r w:rsidR="00FB5130">
        <w:t xml:space="preserve"> </w:t>
      </w:r>
    </w:p>
    <w:p w14:paraId="5D06AD38" w14:textId="1FB97C44" w:rsidR="00FB5130" w:rsidRPr="001C44DE" w:rsidRDefault="00FB5130" w:rsidP="00FB5130">
      <w:pPr>
        <w:rPr>
          <w:rFonts w:cs="Arial"/>
          <w:szCs w:val="20"/>
        </w:rPr>
      </w:pPr>
      <w:r w:rsidRPr="001C44DE">
        <w:rPr>
          <w:szCs w:val="20"/>
        </w:rPr>
        <w:t xml:space="preserve">A TWA of </w:t>
      </w:r>
      <w:r w:rsidR="00C258C2" w:rsidRPr="00C258C2">
        <w:t xml:space="preserve">0.1 </w:t>
      </w:r>
      <w:r w:rsidR="00C258C2" w:rsidRPr="00C258C2">
        <w:rPr>
          <w:rFonts w:cs="Arial"/>
        </w:rPr>
        <w:t>µ</w:t>
      </w:r>
      <w:r w:rsidR="00C258C2" w:rsidRPr="00C258C2">
        <w:t>g/m</w:t>
      </w:r>
      <w:r w:rsidR="00C258C2" w:rsidRPr="00C258C2">
        <w:rPr>
          <w:vertAlign w:val="superscript"/>
        </w:rPr>
        <w:t>3</w:t>
      </w:r>
      <w:r w:rsidR="00C258C2">
        <w:rPr>
          <w:b/>
          <w:vertAlign w:val="superscript"/>
        </w:rPr>
        <w:t xml:space="preserve"> </w:t>
      </w:r>
      <w:r w:rsidRPr="001C44DE">
        <w:rPr>
          <w:szCs w:val="20"/>
        </w:rPr>
        <w:t xml:space="preserve">is recommended as </w:t>
      </w:r>
      <w:r w:rsidR="00CB08BA">
        <w:rPr>
          <w:szCs w:val="20"/>
        </w:rPr>
        <w:t xml:space="preserve">assigned </w:t>
      </w:r>
      <w:r w:rsidR="00B63C1F">
        <w:rPr>
          <w:szCs w:val="20"/>
        </w:rPr>
        <w:t>by</w:t>
      </w:r>
      <w:r w:rsidRPr="001C44DE">
        <w:rPr>
          <w:szCs w:val="20"/>
        </w:rPr>
        <w:t xml:space="preserve"> ACGIH (2018). This TWA is expected </w:t>
      </w:r>
      <w:r w:rsidR="001D4FB3">
        <w:rPr>
          <w:szCs w:val="20"/>
        </w:rPr>
        <w:t>to protect for the potential for</w:t>
      </w:r>
      <w:r w:rsidR="001C44DE">
        <w:rPr>
          <w:szCs w:val="20"/>
        </w:rPr>
        <w:t xml:space="preserve"> sensitisation </w:t>
      </w:r>
      <w:r w:rsidR="001D4FB3">
        <w:rPr>
          <w:szCs w:val="20"/>
        </w:rPr>
        <w:t>in exposed workers</w:t>
      </w:r>
      <w:r w:rsidR="001C44DE">
        <w:rPr>
          <w:szCs w:val="20"/>
        </w:rPr>
        <w:t>. A priority evaluation of the available data is recommended at the next review.</w:t>
      </w:r>
      <w:r w:rsidRPr="001C44DE">
        <w:rPr>
          <w:szCs w:val="20"/>
        </w:rPr>
        <w:t xml:space="preserve"> </w:t>
      </w:r>
    </w:p>
    <w:p w14:paraId="273B44AD" w14:textId="77777777" w:rsidR="004529F0" w:rsidRPr="004C23F4" w:rsidRDefault="004529F0" w:rsidP="007674D9">
      <w:pPr>
        <w:pStyle w:val="Heading2"/>
      </w:pPr>
      <w:r>
        <w:lastRenderedPageBreak/>
        <w:t>Recommendation for notations</w:t>
      </w:r>
    </w:p>
    <w:p w14:paraId="27C6755E" w14:textId="77777777" w:rsidR="008E4F1F" w:rsidRPr="00FA641E" w:rsidRDefault="008E4F1F" w:rsidP="00C258C2">
      <w:pPr>
        <w:keepNext/>
        <w:rPr>
          <w:rFonts w:cs="Arial"/>
        </w:rPr>
      </w:pPr>
      <w:r w:rsidRPr="00FA641E">
        <w:rPr>
          <w:rFonts w:cs="Arial"/>
        </w:rPr>
        <w:t>Not classified as a carcinogen according to the Globally Harmonized System of</w:t>
      </w:r>
      <w:r w:rsidR="00155999" w:rsidRPr="00FA641E">
        <w:rPr>
          <w:rFonts w:cs="Arial"/>
        </w:rPr>
        <w:t xml:space="preserve"> Classification and Labelling of</w:t>
      </w:r>
      <w:r w:rsidRPr="00FA641E">
        <w:rPr>
          <w:rFonts w:cs="Arial"/>
        </w:rPr>
        <w:t xml:space="preserve"> Chemicals (GHS). </w:t>
      </w:r>
    </w:p>
    <w:p w14:paraId="03916CCC" w14:textId="131E6518" w:rsidR="008E4F1F" w:rsidRPr="00FA641E" w:rsidRDefault="008E4F1F" w:rsidP="00C258C2">
      <w:pPr>
        <w:keepNext/>
        <w:rPr>
          <w:rFonts w:cs="Arial"/>
        </w:rPr>
      </w:pPr>
      <w:r w:rsidRPr="00FA641E">
        <w:rPr>
          <w:rFonts w:cs="Arial"/>
        </w:rPr>
        <w:t xml:space="preserve">Not classified as a skin </w:t>
      </w:r>
      <w:r w:rsidR="00155999" w:rsidRPr="00FA641E">
        <w:rPr>
          <w:rFonts w:cs="Arial"/>
        </w:rPr>
        <w:t xml:space="preserve">sensitiser </w:t>
      </w:r>
      <w:r w:rsidRPr="00FA641E">
        <w:rPr>
          <w:rFonts w:cs="Arial"/>
        </w:rPr>
        <w:t>or respiratory sensitiser according to the GHS.</w:t>
      </w:r>
      <w:r w:rsidR="00FA641E">
        <w:rPr>
          <w:rFonts w:cs="Arial"/>
        </w:rPr>
        <w:t xml:space="preserve"> Evidence suggests natural rubber latex is both a skin sensitiser and respiratory sensitiser and review of the </w:t>
      </w:r>
      <w:r w:rsidR="006519F2">
        <w:rPr>
          <w:rFonts w:cs="Arial"/>
        </w:rPr>
        <w:t xml:space="preserve">classification is recommended. </w:t>
      </w:r>
      <w:r w:rsidR="00FA641E">
        <w:rPr>
          <w:rFonts w:cs="Arial"/>
        </w:rPr>
        <w:t xml:space="preserve"> </w:t>
      </w:r>
    </w:p>
    <w:p w14:paraId="7D0772D2" w14:textId="7849B15A" w:rsidR="004529F0" w:rsidRPr="004C23F4" w:rsidRDefault="00075875" w:rsidP="00C258C2">
      <w:pPr>
        <w:keepNext/>
        <w:rPr>
          <w:rFonts w:cs="Arial"/>
        </w:rPr>
      </w:pPr>
      <w:r w:rsidRPr="00FA641E">
        <w:rPr>
          <w:rFonts w:cs="Arial"/>
        </w:rPr>
        <w:t xml:space="preserve">Skin notation recommended based on evidence of </w:t>
      </w:r>
      <w:r w:rsidR="00FA641E" w:rsidRPr="00FA641E">
        <w:t>systemic allergic reactions produced by a skin exposure in humans.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7674D9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EA825BB" w:rsidR="00DE26E8" w:rsidRPr="003365A5" w:rsidRDefault="00DE26E8" w:rsidP="00C258C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2509E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2509E">
                  <w:t>NA</w:t>
                </w:r>
              </w:sdtContent>
            </w:sdt>
          </w:p>
        </w:tc>
      </w:tr>
      <w:tr w:rsidR="00C978F0" w:rsidRPr="00DA352E" w14:paraId="26087D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23FB1EE" w:rsidR="00C978F0" w:rsidRPr="00DA352E" w:rsidRDefault="00D2509E" w:rsidP="007674D9">
            <w:pPr>
              <w:pStyle w:val="Tabletextprimarysource"/>
            </w:pPr>
            <w:r>
              <w:t>No report</w:t>
            </w:r>
            <w:r w:rsidR="007674D9">
              <w:t>.</w:t>
            </w:r>
          </w:p>
        </w:tc>
      </w:tr>
      <w:tr w:rsidR="00C978F0" w:rsidRPr="00DA352E" w14:paraId="2459322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419E8ED" w:rsidR="00C978F0" w:rsidRPr="00DA352E" w:rsidRDefault="00DA352E" w:rsidP="00C258C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2509E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2509E">
                  <w:t>TLV-TWA: 0.0001 mg/m</w:t>
                </w:r>
                <w:r w:rsidR="00D2509E">
                  <w:rPr>
                    <w:vertAlign w:val="superscript"/>
                  </w:rPr>
                  <w:t>3</w:t>
                </w:r>
                <w:r w:rsidR="00C62F58">
                  <w:rPr>
                    <w:vertAlign w:val="superscript"/>
                  </w:rPr>
                  <w:t xml:space="preserve"> </w:t>
                </w:r>
                <w:r w:rsidR="00C62F58">
                  <w:rPr>
                    <w:i w:val="0"/>
                  </w:rPr>
                  <w:t>(as inhalable allergenic proteins)</w:t>
                </w:r>
              </w:sdtContent>
            </w:sdt>
          </w:p>
        </w:tc>
      </w:tr>
      <w:tr w:rsidR="00C978F0" w:rsidRPr="00DA352E" w14:paraId="418D532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69517B" w14:textId="10BD1359" w:rsidR="00C978F0" w:rsidRDefault="008334E7" w:rsidP="007674D9">
            <w:pPr>
              <w:pStyle w:val="Tabletextprimarysource"/>
            </w:pPr>
            <w:r>
              <w:t xml:space="preserve">TLV-TWA recommended to minimise excess risk of </w:t>
            </w:r>
            <w:r w:rsidR="00AF4388">
              <w:t xml:space="preserve">respiratory </w:t>
            </w:r>
            <w:r>
              <w:t>sensitisation or allergic reaction.</w:t>
            </w:r>
          </w:p>
          <w:p w14:paraId="7A7E7C21" w14:textId="01E0B8C5" w:rsidR="008334E7" w:rsidRDefault="008334E7" w:rsidP="007674D9">
            <w:pPr>
              <w:pStyle w:val="Tabletextprimarysource"/>
            </w:pPr>
            <w:r>
              <w:t>Summary of data:</w:t>
            </w:r>
          </w:p>
          <w:p w14:paraId="251D1CE2" w14:textId="50199542" w:rsidR="00FB5130" w:rsidRPr="00FB5130" w:rsidRDefault="00FB5130" w:rsidP="007674D9">
            <w:pPr>
              <w:pStyle w:val="Tabletextprimarysource"/>
            </w:pPr>
            <w:r>
              <w:t>TLV-TWA based on NOAEC of 0.001 mg/m</w:t>
            </w:r>
            <w:r>
              <w:rPr>
                <w:vertAlign w:val="superscript"/>
              </w:rPr>
              <w:t>3</w:t>
            </w:r>
            <w:r>
              <w:t>; no derivation provided.</w:t>
            </w:r>
          </w:p>
          <w:p w14:paraId="2D809FF1" w14:textId="77777777" w:rsidR="008334E7" w:rsidRDefault="008334E7">
            <w:pPr>
              <w:pStyle w:val="Tabletextprimarysource"/>
            </w:pPr>
            <w:r>
              <w:t>Human data:</w:t>
            </w:r>
          </w:p>
          <w:p w14:paraId="6764D705" w14:textId="7B36C3CC" w:rsidR="00CA3E95" w:rsidRDefault="008334E7" w:rsidP="00D033C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Pr="008334E7">
              <w:t>ross-sectional epidemiologic study</w:t>
            </w:r>
            <w:r w:rsidR="001D4FB3">
              <w:t>:</w:t>
            </w:r>
            <w:r>
              <w:t xml:space="preserve"> </w:t>
            </w:r>
          </w:p>
          <w:p w14:paraId="40895D26" w14:textId="6A34FC64" w:rsidR="00CA3E95" w:rsidRDefault="00B63C1F" w:rsidP="00D033C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Skin exposure shown to be more important than respiratory exposure in predicting latex sensitisation in </w:t>
            </w:r>
            <w:r w:rsidR="008334E7">
              <w:t xml:space="preserve">500 </w:t>
            </w:r>
            <w:r w:rsidR="00CA3E95">
              <w:t xml:space="preserve">latex-glove </w:t>
            </w:r>
            <w:r w:rsidR="008334E7">
              <w:t>factory workers, 314 workers from rubber plantation</w:t>
            </w:r>
            <w:r>
              <w:t xml:space="preserve">  and</w:t>
            </w:r>
            <w:r w:rsidR="00CA3E95">
              <w:t xml:space="preserve"> 144 controls</w:t>
            </w:r>
          </w:p>
          <w:p w14:paraId="20B23710" w14:textId="5FA71153" w:rsidR="008334E7" w:rsidRDefault="008334E7" w:rsidP="00D033C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skin prick testing (SPT) showed</w:t>
            </w:r>
            <w:r w:rsidR="00CB08BA">
              <w:t>:</w:t>
            </w:r>
            <w:r>
              <w:t xml:space="preserve"> </w:t>
            </w:r>
          </w:p>
          <w:p w14:paraId="4C03A996" w14:textId="64B28C72" w:rsidR="00CA3E95" w:rsidRDefault="00CA3E95" w:rsidP="00CB08BA">
            <w:pPr>
              <w:pStyle w:val="ListBullet"/>
              <w:numPr>
                <w:ilvl w:val="0"/>
                <w:numId w:val="2"/>
              </w:numPr>
              <w:spacing w:before="60" w:after="60"/>
              <w:ind w:left="1447" w:hanging="357"/>
              <w:contextualSpacing w:val="0"/>
            </w:pPr>
            <w:r>
              <w:t>positive correlation between length of employment and response to SPT</w:t>
            </w:r>
            <w:r w:rsidR="00CB08BA">
              <w:t>,</w:t>
            </w:r>
            <w:r w:rsidR="00B63C1F">
              <w:t xml:space="preserve"> and</w:t>
            </w:r>
          </w:p>
          <w:p w14:paraId="1C2CA800" w14:textId="282B3E4F" w:rsidR="00CA3E95" w:rsidRDefault="00CA3E95" w:rsidP="00CB08BA">
            <w:pPr>
              <w:pStyle w:val="ListBullet"/>
              <w:numPr>
                <w:ilvl w:val="0"/>
                <w:numId w:val="2"/>
              </w:numPr>
              <w:spacing w:before="60" w:after="60"/>
              <w:ind w:left="1447" w:hanging="357"/>
              <w:contextualSpacing w:val="0"/>
            </w:pPr>
            <w:r>
              <w:t>NOAEL of 0.001 mg/m</w:t>
            </w:r>
            <w:r>
              <w:rPr>
                <w:vertAlign w:val="superscript"/>
              </w:rPr>
              <w:t>3</w:t>
            </w:r>
            <w:r>
              <w:t xml:space="preserve"> for weals </w:t>
            </w:r>
            <w:r>
              <w:rPr>
                <w:rFonts w:cs="Arial"/>
              </w:rPr>
              <w:t>≥</w:t>
            </w:r>
            <w:r>
              <w:t>3 mm in diameter; basis for TLV-TWA</w:t>
            </w:r>
          </w:p>
          <w:p w14:paraId="78921ED2" w14:textId="77777777" w:rsidR="00CA3E95" w:rsidRDefault="00AF4388" w:rsidP="00D033C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systemic allergic reactions produced by a skin exposure</w:t>
            </w:r>
          </w:p>
          <w:p w14:paraId="5A5B2AAA" w14:textId="206FB5C1" w:rsidR="00AF4388" w:rsidRDefault="00AF4388" w:rsidP="00D033C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Health care workers exposed to relatively lower airborne concentrations </w:t>
            </w:r>
            <w:r w:rsidR="00C258C2">
              <w:t>had</w:t>
            </w:r>
            <w:r>
              <w:t xml:space="preserve"> higher prevalence of latex allergy than workers in</w:t>
            </w:r>
            <w:r w:rsidR="00CB08BA">
              <w:t xml:space="preserve"> the</w:t>
            </w:r>
            <w:r>
              <w:t xml:space="preserve"> glove-manufac</w:t>
            </w:r>
            <w:r w:rsidR="00CB08BA">
              <w:t>turing industry. From this it was concluded that</w:t>
            </w:r>
            <w:r w:rsidR="001D4FB3">
              <w:t>:</w:t>
            </w:r>
          </w:p>
          <w:p w14:paraId="7A4428B9" w14:textId="203E9A45" w:rsidR="00B63C1F" w:rsidRDefault="00B63C1F" w:rsidP="00D033C7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dermal exposure </w:t>
            </w:r>
            <w:r w:rsidR="00CB08BA">
              <w:t>is important</w:t>
            </w:r>
          </w:p>
          <w:p w14:paraId="0CFCD1CF" w14:textId="6CF0EC93" w:rsidR="00341562" w:rsidRDefault="007674D9" w:rsidP="00D033C7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o</w:t>
            </w:r>
            <w:r w:rsidR="00FF695B">
              <w:t>nce sensitis</w:t>
            </w:r>
            <w:r w:rsidR="00341562">
              <w:t xml:space="preserve">ed, </w:t>
            </w:r>
            <w:r w:rsidR="00CB08BA">
              <w:t xml:space="preserve">workers </w:t>
            </w:r>
            <w:r w:rsidR="00341562">
              <w:t>exhibited allergic reactions at very low levels of airborne natural rubber latex particles</w:t>
            </w:r>
            <w:r>
              <w:t>.</w:t>
            </w:r>
          </w:p>
          <w:p w14:paraId="1B1E428F" w14:textId="77777777" w:rsidR="00FF695B" w:rsidRDefault="00FF695B" w:rsidP="007674D9">
            <w:pPr>
              <w:pStyle w:val="Tabletextprimarysource"/>
            </w:pPr>
            <w:r>
              <w:t>Animal data:</w:t>
            </w:r>
          </w:p>
          <w:p w14:paraId="51DAAC42" w14:textId="77777777" w:rsidR="0043108D" w:rsidRDefault="0043108D" w:rsidP="00D033C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Demonstrated </w:t>
            </w:r>
            <w:r w:rsidR="00CA4CC8">
              <w:t xml:space="preserve">dermal and respiratory sensitisation evidenced by immune responses </w:t>
            </w:r>
            <w:r>
              <w:t>in multiple s</w:t>
            </w:r>
            <w:r w:rsidR="00CA4CC8">
              <w:t>tudies in animal species</w:t>
            </w:r>
          </w:p>
          <w:p w14:paraId="66FD8736" w14:textId="77777777" w:rsidR="00FF695B" w:rsidRDefault="0043108D" w:rsidP="00D033C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Following sensitisation, inhalation or dermal challenges have produced respiratory and dermal reactions</w:t>
            </w:r>
            <w:r w:rsidR="007674D9">
              <w:t>.</w:t>
            </w:r>
          </w:p>
          <w:p w14:paraId="0CE4D35D" w14:textId="4B9D2767" w:rsidR="001D4FB3" w:rsidRPr="00DA352E" w:rsidRDefault="001D4FB3" w:rsidP="00D033C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A230F4D" w:rsidR="00C978F0" w:rsidRPr="00DA352E" w:rsidRDefault="00DA352E" w:rsidP="00C258C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2509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2509E">
                  <w:t>Not assigned</w:t>
                </w:r>
              </w:sdtContent>
            </w:sdt>
          </w:p>
        </w:tc>
      </w:tr>
      <w:tr w:rsidR="00C978F0" w:rsidRPr="00DA352E" w14:paraId="4433014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DB12C8" w14:textId="77777777" w:rsidR="00C978F0" w:rsidRDefault="00B5147D" w:rsidP="007674D9">
            <w:pPr>
              <w:pStyle w:val="Tabletextprimarysource"/>
            </w:pPr>
            <w:r>
              <w:t>Summary of additional data:</w:t>
            </w:r>
          </w:p>
          <w:p w14:paraId="32C2B364" w14:textId="77777777" w:rsidR="00B5147D" w:rsidRDefault="00B5147D" w:rsidP="00D033C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Contact urticaria but also rhino-conjunctivitis, asthma, urticaria and anaphylactic shock have been described as symptoms of immediate type allergy to products made of natural rubber latex</w:t>
            </w:r>
            <w:r w:rsidR="007674D9">
              <w:t>.</w:t>
            </w:r>
          </w:p>
          <w:p w14:paraId="61A64F09" w14:textId="224456CD" w:rsidR="001D4FB3" w:rsidRPr="00DA352E" w:rsidRDefault="001D4FB3" w:rsidP="00D033C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54BD256" w:rsidR="00C978F0" w:rsidRPr="00DA352E" w:rsidRDefault="00DA352E" w:rsidP="00C258C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2509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2509E">
                  <w:t>NA</w:t>
                </w:r>
              </w:sdtContent>
            </w:sdt>
          </w:p>
        </w:tc>
      </w:tr>
      <w:tr w:rsidR="00C978F0" w:rsidRPr="00DA352E" w14:paraId="2008D2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66BCF0B5" w:rsidR="00C978F0" w:rsidRPr="00DA352E" w:rsidRDefault="00D2509E" w:rsidP="007674D9">
            <w:pPr>
              <w:pStyle w:val="Tabletextprimarysource"/>
            </w:pPr>
            <w:r>
              <w:t>No report</w:t>
            </w:r>
            <w:r w:rsidR="007674D9">
              <w:t>.</w:t>
            </w:r>
          </w:p>
        </w:tc>
      </w:tr>
      <w:tr w:rsidR="00DA352E" w:rsidRPr="00DA352E" w14:paraId="12BAB9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0B644EA" w:rsidR="00DA352E" w:rsidRPr="00DA352E" w:rsidRDefault="00DA352E" w:rsidP="00C258C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2509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2509E">
                  <w:t>NA</w:t>
                </w:r>
              </w:sdtContent>
            </w:sdt>
          </w:p>
        </w:tc>
      </w:tr>
      <w:tr w:rsidR="00DA352E" w:rsidRPr="00DA352E" w14:paraId="33AAF4A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96B3FFE" w:rsidR="00DA352E" w:rsidRPr="00DA352E" w:rsidRDefault="00D2509E" w:rsidP="007674D9">
            <w:pPr>
              <w:pStyle w:val="Tabletextprimarysource"/>
            </w:pPr>
            <w:r>
              <w:t>No report</w:t>
            </w:r>
            <w:r w:rsidR="007674D9">
              <w:t>.</w:t>
            </w:r>
          </w:p>
        </w:tc>
      </w:tr>
      <w:tr w:rsidR="00DA352E" w:rsidRPr="00DA352E" w14:paraId="605F758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E0D3BE6" w:rsidR="00DA352E" w:rsidRPr="00DA352E" w:rsidRDefault="00DA352E" w:rsidP="00C258C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2509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2509E">
                  <w:t>NA</w:t>
                </w:r>
              </w:sdtContent>
            </w:sdt>
          </w:p>
        </w:tc>
      </w:tr>
      <w:tr w:rsidR="00DA352E" w:rsidRPr="00DA352E" w14:paraId="7050CB3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2282F739" w:rsidR="00DA352E" w:rsidRPr="00DA352E" w:rsidRDefault="00D2509E" w:rsidP="007674D9">
            <w:pPr>
              <w:pStyle w:val="Tabletextprimarysource"/>
            </w:pPr>
            <w:r>
              <w:t>No report</w:t>
            </w:r>
            <w:r w:rsidR="007674D9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1C7ACE5" w14:textId="25C23C51" w:rsidR="007E2A4B" w:rsidRDefault="007674D9">
      <w:r>
        <w:t>NIL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BE26C3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155262BD" w:rsidR="002E0D61" w:rsidRDefault="00BE26C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E26C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50553AC6" w:rsidR="008A36CF" w:rsidRPr="006901A2" w:rsidRDefault="00BE26C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81288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62C8AB3" w:rsidR="00687890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A0C13EF" w14:textId="77777777" w:rsidTr="0081288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7DCF4D6" w:rsidR="007925F0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81288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42023F8" w:rsidR="00AF483F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81288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8C64548" w:rsidR="00687890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81288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2A67FDB0" w:rsidR="00E41A26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81288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4F1483A" w:rsidR="002E0D61" w:rsidRPr="00DD2F9B" w:rsidRDefault="00D2509E" w:rsidP="00DD2F9B">
            <w:pPr>
              <w:pStyle w:val="Tablefont"/>
            </w:pPr>
            <w:r w:rsidRPr="00D2509E">
              <w:t>DSEN</w:t>
            </w:r>
            <w:r>
              <w:t xml:space="preserve">, </w:t>
            </w:r>
            <w:r w:rsidRPr="00D2509E">
              <w:t>RSEN</w:t>
            </w:r>
            <w:r>
              <w:t>, Skin</w:t>
            </w:r>
          </w:p>
        </w:tc>
      </w:tr>
      <w:tr w:rsidR="002E0D61" w:rsidRPr="004C23F4" w14:paraId="43FA3590" w14:textId="77777777" w:rsidTr="0081288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4CC90342" w:rsidR="002E0D61" w:rsidRPr="00DD2F9B" w:rsidRDefault="00D2509E" w:rsidP="00DD2F9B">
            <w:pPr>
              <w:pStyle w:val="Tablefont"/>
            </w:pPr>
            <w:r w:rsidRPr="00D2509E">
              <w:t>Sh (dermal sensitiser)</w:t>
            </w:r>
            <w:r>
              <w:t xml:space="preserve">, </w:t>
            </w:r>
            <w:r w:rsidRPr="00D2509E">
              <w:t>Sa (respiratory sensitiser)</w:t>
            </w:r>
          </w:p>
        </w:tc>
      </w:tr>
      <w:tr w:rsidR="002E0D61" w:rsidRPr="004C23F4" w14:paraId="2AC7B866" w14:textId="77777777" w:rsidTr="0081288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FB5E37F" w:rsidR="002E0D61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81288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4B60B64" w:rsidR="002E0D61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81288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2C2A7556" w:rsidR="00386093" w:rsidRPr="00DD2F9B" w:rsidRDefault="00D2509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81288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BE13EFF" w:rsidR="00386093" w:rsidRPr="00DD2F9B" w:rsidRDefault="00D2509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92" w:type="dxa"/>
              <w:tblLook w:val="04A0" w:firstRow="1" w:lastRow="0" w:firstColumn="1" w:lastColumn="0" w:noHBand="0" w:noVBand="1"/>
            </w:tblPr>
            <w:tblGrid>
              <w:gridCol w:w="3822"/>
              <w:gridCol w:w="1132"/>
              <w:gridCol w:w="1132"/>
              <w:gridCol w:w="2724"/>
            </w:tblGrid>
            <w:tr w:rsidR="00075875" w:rsidRPr="00075875" w14:paraId="0915D2DB" w14:textId="77777777" w:rsidTr="00075875">
              <w:trPr>
                <w:trHeight w:val="351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ACF743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096A360" w14:textId="77777777" w:rsidR="00075875" w:rsidRPr="00075875" w:rsidRDefault="00075875" w:rsidP="000758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067225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55A7DD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5875" w:rsidRPr="00075875" w14:paraId="5063F508" w14:textId="77777777" w:rsidTr="00075875">
              <w:trPr>
                <w:trHeight w:val="351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46E1EB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55BD5A" w14:textId="77777777" w:rsidR="00075875" w:rsidRPr="00075875" w:rsidRDefault="00075875" w:rsidP="000758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4DFC64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D841E0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5875" w:rsidRPr="00075875" w14:paraId="661F0BDF" w14:textId="77777777" w:rsidTr="00075875">
              <w:trPr>
                <w:trHeight w:val="351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BC18C3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0EB70C" w14:textId="77777777" w:rsidR="00075875" w:rsidRPr="00075875" w:rsidRDefault="00075875" w:rsidP="000758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9128C5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5C624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5875" w:rsidRPr="00075875" w14:paraId="47C5DCD3" w14:textId="77777777" w:rsidTr="00075875">
              <w:trPr>
                <w:trHeight w:val="351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175E13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80E69B" w14:textId="77777777" w:rsidR="00075875" w:rsidRPr="00075875" w:rsidRDefault="00075875" w:rsidP="000758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1B8AC6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785D4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5875" w:rsidRPr="00075875" w14:paraId="78237483" w14:textId="77777777" w:rsidTr="00075875">
              <w:trPr>
                <w:trHeight w:val="351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B55715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DA7E99" w14:textId="77777777" w:rsidR="00075875" w:rsidRPr="00075875" w:rsidRDefault="00075875" w:rsidP="000758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376F61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B88DC4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5875" w:rsidRPr="00075875" w14:paraId="4854059A" w14:textId="77777777" w:rsidTr="00075875">
              <w:trPr>
                <w:trHeight w:val="351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39BD67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3DCFA" w14:textId="77777777" w:rsidR="00075875" w:rsidRPr="00075875" w:rsidRDefault="00075875" w:rsidP="000758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E14461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091AC1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5875" w:rsidRPr="00075875" w14:paraId="1BD350D8" w14:textId="77777777" w:rsidTr="00075875">
              <w:trPr>
                <w:trHeight w:val="351"/>
              </w:trPr>
              <w:tc>
                <w:tcPr>
                  <w:tcW w:w="39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67B438" w14:textId="77777777" w:rsidR="00075875" w:rsidRPr="00075875" w:rsidRDefault="00075875" w:rsidP="000758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79A8ED" w14:textId="77777777" w:rsidR="00075875" w:rsidRPr="00075875" w:rsidRDefault="00075875" w:rsidP="000758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526B1B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E3D0F1" w14:textId="77777777" w:rsidR="00075875" w:rsidRPr="00075875" w:rsidRDefault="00075875" w:rsidP="0007587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587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8CBF588" w:rsidR="00EB3D1B" w:rsidRDefault="00D2509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  <w:showingPlcHdr/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7777777" w:rsidR="001B79E5" w:rsidRDefault="001B79E5" w:rsidP="001B79E5">
                <w:pPr>
                  <w:pStyle w:val="Tablefont"/>
                </w:pPr>
                <w:r>
                  <w:rPr>
                    <w:rStyle w:val="PlaceholderText"/>
                  </w:rPr>
                  <w:t>Insert molecular weight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0C997285" w:rsidR="00687890" w:rsidRPr="004C23F4" w:rsidRDefault="00BE3A4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EE378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446DFAFD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D2509E">
        <w:t>2001</w:t>
      </w:r>
      <w:r>
        <w:t xml:space="preserve">) </w:t>
      </w:r>
      <w:r w:rsidR="00D2509E" w:rsidRPr="00D2509E">
        <w:t>Natural rubber latex</w:t>
      </w:r>
      <w:r>
        <w:t xml:space="preserve"> – MAK value documentation.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77E0B" w14:textId="77777777" w:rsidR="00ED7D91" w:rsidRDefault="00ED7D91" w:rsidP="00F43AD5">
      <w:pPr>
        <w:spacing w:after="0" w:line="240" w:lineRule="auto"/>
      </w:pPr>
      <w:r>
        <w:separator/>
      </w:r>
    </w:p>
  </w:endnote>
  <w:endnote w:type="continuationSeparator" w:id="0">
    <w:p w14:paraId="63CE636B" w14:textId="77777777" w:rsidR="00ED7D91" w:rsidRDefault="00ED7D9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56B7" w14:textId="77777777" w:rsidR="004C7504" w:rsidRDefault="004C75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8DAA459" w:rsidR="008A36CF" w:rsidRDefault="00D2509E" w:rsidP="0034744C">
        <w:pPr>
          <w:pStyle w:val="Footer"/>
          <w:rPr>
            <w:sz w:val="18"/>
            <w:szCs w:val="18"/>
          </w:rPr>
        </w:pPr>
        <w:r w:rsidRPr="00D2509E">
          <w:rPr>
            <w:b/>
            <w:sz w:val="18"/>
            <w:szCs w:val="18"/>
          </w:rPr>
          <w:t>Natural Rubber Latex</w:t>
        </w:r>
        <w:r w:rsidR="008A36CF">
          <w:rPr>
            <w:b/>
            <w:sz w:val="18"/>
            <w:szCs w:val="18"/>
          </w:rPr>
          <w:t xml:space="preserve"> (</w:t>
        </w:r>
        <w:r w:rsidR="004061C2" w:rsidRPr="004061C2">
          <w:rPr>
            <w:b/>
            <w:sz w:val="18"/>
            <w:szCs w:val="18"/>
          </w:rPr>
          <w:t>900-04-6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C258C2" w:rsidRPr="00F43AD5">
          <w:rPr>
            <w:sz w:val="18"/>
            <w:szCs w:val="18"/>
          </w:rPr>
          <w:t>20</w:t>
        </w:r>
        <w:r w:rsidR="00C258C2">
          <w:rPr>
            <w:sz w:val="18"/>
            <w:szCs w:val="18"/>
          </w:rPr>
          <w:t>20</w:t>
        </w:r>
      </w:p>
      <w:p w14:paraId="2D517F5E" w14:textId="1C8735C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C750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AD001" w14:textId="77777777" w:rsidR="004C7504" w:rsidRDefault="004C75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F759C" w14:textId="77777777" w:rsidR="00ED7D91" w:rsidRDefault="00ED7D91" w:rsidP="00F43AD5">
      <w:pPr>
        <w:spacing w:after="0" w:line="240" w:lineRule="auto"/>
      </w:pPr>
      <w:r>
        <w:separator/>
      </w:r>
    </w:p>
  </w:footnote>
  <w:footnote w:type="continuationSeparator" w:id="0">
    <w:p w14:paraId="4D8138E0" w14:textId="77777777" w:rsidR="00ED7D91" w:rsidRDefault="00ED7D9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5A59C" w14:textId="5E9BACD6" w:rsidR="004C7504" w:rsidRDefault="004C75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15427AB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D08995" wp14:editId="053AF40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F287F" w14:textId="1297A4D8" w:rsidR="004C7504" w:rsidRDefault="004C750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3DC33" w14:textId="16BF5BFC" w:rsidR="004C7504" w:rsidRDefault="004C750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46388D37" w:rsidR="008A36CF" w:rsidRDefault="004C7504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DD93C2D" wp14:editId="11E68D10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F8912" w14:textId="32698FD3" w:rsidR="004C7504" w:rsidRDefault="004C75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EEE1A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F5F6E97"/>
    <w:multiLevelType w:val="hybridMultilevel"/>
    <w:tmpl w:val="E07A36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9AD6B36"/>
    <w:multiLevelType w:val="hybridMultilevel"/>
    <w:tmpl w:val="78EEE0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66882844">
    <w:abstractNumId w:val="0"/>
  </w:num>
  <w:num w:numId="2" w16cid:durableId="1566060832">
    <w:abstractNumId w:val="2"/>
  </w:num>
  <w:num w:numId="3" w16cid:durableId="1830900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5875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44DE"/>
    <w:rsid w:val="001C6F1B"/>
    <w:rsid w:val="001D4FB3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B02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562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C51"/>
    <w:rsid w:val="004030BC"/>
    <w:rsid w:val="00403F7D"/>
    <w:rsid w:val="004061C2"/>
    <w:rsid w:val="00406785"/>
    <w:rsid w:val="004079B4"/>
    <w:rsid w:val="00417A56"/>
    <w:rsid w:val="00420957"/>
    <w:rsid w:val="00422A10"/>
    <w:rsid w:val="00430179"/>
    <w:rsid w:val="0043108D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7504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19F2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74D9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34E7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70B1"/>
    <w:rsid w:val="00900951"/>
    <w:rsid w:val="00901079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56FA"/>
    <w:rsid w:val="00995FB3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388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147D"/>
    <w:rsid w:val="00B52EDF"/>
    <w:rsid w:val="00B63C1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6C3"/>
    <w:rsid w:val="00BE2CC0"/>
    <w:rsid w:val="00BE3A44"/>
    <w:rsid w:val="00BF2406"/>
    <w:rsid w:val="00C06E43"/>
    <w:rsid w:val="00C16315"/>
    <w:rsid w:val="00C258C2"/>
    <w:rsid w:val="00C3091E"/>
    <w:rsid w:val="00C40FF1"/>
    <w:rsid w:val="00C419E2"/>
    <w:rsid w:val="00C5020E"/>
    <w:rsid w:val="00C57452"/>
    <w:rsid w:val="00C61EDF"/>
    <w:rsid w:val="00C6239D"/>
    <w:rsid w:val="00C62F58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E95"/>
    <w:rsid w:val="00CA4CC8"/>
    <w:rsid w:val="00CA58FE"/>
    <w:rsid w:val="00CB08BA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33C7"/>
    <w:rsid w:val="00D048F7"/>
    <w:rsid w:val="00D0517E"/>
    <w:rsid w:val="00D140FC"/>
    <w:rsid w:val="00D21D8C"/>
    <w:rsid w:val="00D2509E"/>
    <w:rsid w:val="00D31357"/>
    <w:rsid w:val="00D33220"/>
    <w:rsid w:val="00D334D1"/>
    <w:rsid w:val="00D44C89"/>
    <w:rsid w:val="00D516CD"/>
    <w:rsid w:val="00D668E6"/>
    <w:rsid w:val="00D70670"/>
    <w:rsid w:val="00D7121A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D7D91"/>
    <w:rsid w:val="00EE378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641E"/>
    <w:rsid w:val="00FA741F"/>
    <w:rsid w:val="00FB4E07"/>
    <w:rsid w:val="00FB5130"/>
    <w:rsid w:val="00FB755A"/>
    <w:rsid w:val="00FC60A2"/>
    <w:rsid w:val="00FD1871"/>
    <w:rsid w:val="00FD3110"/>
    <w:rsid w:val="00FF5C3D"/>
    <w:rsid w:val="00FF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334E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4F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F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FB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B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55FBF"/>
    <w:rsid w:val="00C75745"/>
    <w:rsid w:val="00CA72D3"/>
    <w:rsid w:val="00D21A9F"/>
    <w:rsid w:val="00D7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49DB04-A67B-40E5-82AC-E21C136FC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14A0A3-A668-446F-A378-9C9751E04E87}"/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5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23</cp:revision>
  <cp:lastPrinted>2018-10-22T22:41:00Z</cp:lastPrinted>
  <dcterms:created xsi:type="dcterms:W3CDTF">2019-11-27T01:18:00Z</dcterms:created>
  <dcterms:modified xsi:type="dcterms:W3CDTF">2025-12-24T00:14:00Z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2025-12-24T00:14:53Z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5687cc10-9cc7-46c6-acba-cff19ba6fb53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