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451B8D92" w14:textId="235E1682" w:rsidR="00BD499F" w:rsidRPr="004C23F4" w:rsidRDefault="00ED2BC7" w:rsidP="00B40C60">
          <w:pPr>
            <w:pStyle w:val="Heading1"/>
            <w:jc w:val="center"/>
            <w:rPr>
              <w:rFonts w:ascii="Arial" w:hAnsi="Arial" w:cs="Arial"/>
            </w:rPr>
          </w:pPr>
          <w:r w:rsidRPr="00ED2BC7">
            <w:rPr>
              <w:rFonts w:ascii="Arial" w:hAnsi="Arial" w:cs="Arial"/>
            </w:rPr>
            <w:t>Naphthalene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6"/>
        <w:gridCol w:w="5040"/>
      </w:tblGrid>
      <w:tr w:rsidR="00F43AD5" w:rsidRPr="004C23F4" w14:paraId="5469C579" w14:textId="77777777" w:rsidTr="00B76A41">
        <w:trPr>
          <w:cantSplit/>
          <w:tblHeader/>
        </w:trPr>
        <w:tc>
          <w:tcPr>
            <w:tcW w:w="4077" w:type="dxa"/>
          </w:tcPr>
          <w:p w14:paraId="4D130483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6DA0FF29" w14:textId="7A90811D" w:rsidR="00F43AD5" w:rsidRPr="00717D45" w:rsidRDefault="005A32B9" w:rsidP="00B76A41">
            <w:pPr>
              <w:pStyle w:val="Tablefont"/>
            </w:pPr>
            <w:r w:rsidRPr="005A32B9">
              <w:t>91-20-3</w:t>
            </w:r>
          </w:p>
        </w:tc>
      </w:tr>
      <w:tr w:rsidR="00F43AD5" w:rsidRPr="004C23F4" w14:paraId="45BDB524" w14:textId="77777777" w:rsidTr="00B76A41">
        <w:trPr>
          <w:cantSplit/>
        </w:trPr>
        <w:tc>
          <w:tcPr>
            <w:tcW w:w="4077" w:type="dxa"/>
          </w:tcPr>
          <w:p w14:paraId="78C99D47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69A3A354" w14:textId="31A1D1A7" w:rsidR="00F43AD5" w:rsidRPr="00717D45" w:rsidRDefault="005A32B9" w:rsidP="00B76A41">
            <w:pPr>
              <w:pStyle w:val="Tablefont"/>
            </w:pPr>
            <w:proofErr w:type="spellStart"/>
            <w:r>
              <w:t>Albocarbon</w:t>
            </w:r>
            <w:proofErr w:type="spellEnd"/>
            <w:r>
              <w:t xml:space="preserve">, </w:t>
            </w:r>
            <w:proofErr w:type="spellStart"/>
            <w:r>
              <w:t>dezodorator</w:t>
            </w:r>
            <w:proofErr w:type="spellEnd"/>
            <w:r>
              <w:t xml:space="preserve">, moth balls, </w:t>
            </w:r>
            <w:proofErr w:type="spellStart"/>
            <w:r>
              <w:t>naftalen</w:t>
            </w:r>
            <w:proofErr w:type="spellEnd"/>
            <w:r>
              <w:t>, naphthalin, naphthene, tar camphor</w:t>
            </w:r>
          </w:p>
        </w:tc>
      </w:tr>
      <w:tr w:rsidR="00F43AD5" w:rsidRPr="004C23F4" w14:paraId="707B3DAF" w14:textId="77777777" w:rsidTr="00B76A41">
        <w:trPr>
          <w:cantSplit/>
        </w:trPr>
        <w:tc>
          <w:tcPr>
            <w:tcW w:w="4077" w:type="dxa"/>
          </w:tcPr>
          <w:p w14:paraId="19DB07F0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02CC3E36" w14:textId="14F94AB1" w:rsidR="00F43AD5" w:rsidRPr="00717D45" w:rsidRDefault="005A32B9" w:rsidP="00B76A41">
            <w:pPr>
              <w:pStyle w:val="Tablefont"/>
            </w:pPr>
            <w:r>
              <w:t>C10H8</w:t>
            </w:r>
          </w:p>
        </w:tc>
      </w:tr>
      <w:tr w:rsidR="00F43AD5" w:rsidRPr="004C23F4" w14:paraId="03F5E4DA" w14:textId="77777777" w:rsidTr="00B76A41">
        <w:trPr>
          <w:cantSplit/>
        </w:trPr>
        <w:tc>
          <w:tcPr>
            <w:tcW w:w="4077" w:type="dxa"/>
          </w:tcPr>
          <w:p w14:paraId="42FA58E3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1930E60B" w14:textId="3A8D1690" w:rsidR="00F43AD5" w:rsidRPr="00B40C60" w:rsidRDefault="005A32B9" w:rsidP="00B76A41">
            <w:pPr>
              <w:pStyle w:val="Tablerowheading"/>
              <w:rPr>
                <w:b w:val="0"/>
              </w:rPr>
            </w:pPr>
            <w:r>
              <w:t>—</w:t>
            </w:r>
          </w:p>
        </w:tc>
      </w:tr>
    </w:tbl>
    <w:p w14:paraId="0B594329" w14:textId="6AF54130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421630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67DA85A4" w14:textId="77777777" w:rsidTr="00AF00F6">
        <w:trPr>
          <w:cantSplit/>
          <w:tblHeader/>
        </w:trPr>
        <w:tc>
          <w:tcPr>
            <w:tcW w:w="4005" w:type="dxa"/>
            <w:vAlign w:val="center"/>
          </w:tcPr>
          <w:p w14:paraId="7A7225B4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081D51DF" w14:textId="0BBF5A79" w:rsidR="002C7AFE" w:rsidRPr="00421630" w:rsidRDefault="00421630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10 ppm (52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AF00F6" w:rsidRPr="004C23F4" w14:paraId="6D322D39" w14:textId="77777777" w:rsidTr="00AF00F6">
        <w:trPr>
          <w:cantSplit/>
        </w:trPr>
        <w:tc>
          <w:tcPr>
            <w:tcW w:w="4005" w:type="dxa"/>
            <w:vAlign w:val="center"/>
          </w:tcPr>
          <w:p w14:paraId="4545D62B" w14:textId="77777777" w:rsidR="00AF00F6" w:rsidRPr="002C58FF" w:rsidRDefault="00AF00F6" w:rsidP="00AF00F6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21" w:type="dxa"/>
          </w:tcPr>
          <w:p w14:paraId="2336178C" w14:textId="71F33276" w:rsidR="00AF00F6" w:rsidRPr="009C70D8" w:rsidRDefault="00AF00F6" w:rsidP="00AF00F6">
            <w:pPr>
              <w:pStyle w:val="Tablefont"/>
              <w:rPr>
                <w:b/>
              </w:rPr>
            </w:pPr>
            <w:r w:rsidRPr="003604E0">
              <w:rPr>
                <w:b/>
              </w:rPr>
              <w:t>—</w:t>
            </w:r>
          </w:p>
        </w:tc>
      </w:tr>
      <w:tr w:rsidR="00AF00F6" w:rsidRPr="004C23F4" w14:paraId="75218B46" w14:textId="77777777" w:rsidTr="00AF00F6">
        <w:trPr>
          <w:cantSplit/>
        </w:trPr>
        <w:tc>
          <w:tcPr>
            <w:tcW w:w="4005" w:type="dxa"/>
            <w:vAlign w:val="center"/>
          </w:tcPr>
          <w:p w14:paraId="38FDDBF8" w14:textId="77777777" w:rsidR="00AF00F6" w:rsidRPr="002C58FF" w:rsidRDefault="00AF00F6" w:rsidP="00AF00F6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7DEC8119" w14:textId="19E3DBC5" w:rsidR="00AF00F6" w:rsidRPr="009C70D8" w:rsidRDefault="00AF00F6" w:rsidP="00AF00F6">
            <w:pPr>
              <w:pStyle w:val="Tablefont"/>
              <w:rPr>
                <w:b/>
              </w:rPr>
            </w:pPr>
            <w:r w:rsidRPr="003604E0">
              <w:rPr>
                <w:b/>
              </w:rPr>
              <w:t>—</w:t>
            </w:r>
          </w:p>
        </w:tc>
      </w:tr>
      <w:tr w:rsidR="00AF00F6" w:rsidRPr="004C23F4" w14:paraId="317112DF" w14:textId="77777777" w:rsidTr="00AF00F6">
        <w:trPr>
          <w:cantSplit/>
        </w:trPr>
        <w:tc>
          <w:tcPr>
            <w:tcW w:w="4005" w:type="dxa"/>
          </w:tcPr>
          <w:p w14:paraId="22E8EB8D" w14:textId="77777777" w:rsidR="00AF00F6" w:rsidRPr="002C58FF" w:rsidRDefault="00AF00F6" w:rsidP="00AF00F6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0638F1">
              <w:t>Notations:</w:t>
            </w:r>
          </w:p>
        </w:tc>
        <w:tc>
          <w:tcPr>
            <w:tcW w:w="5021" w:type="dxa"/>
          </w:tcPr>
          <w:p w14:paraId="5CA14215" w14:textId="32281869" w:rsidR="00AF00F6" w:rsidRPr="009C70D8" w:rsidRDefault="000638F1" w:rsidP="00AF00F6">
            <w:pPr>
              <w:pStyle w:val="Tablefont"/>
              <w:rPr>
                <w:b/>
              </w:rPr>
            </w:pPr>
            <w:r>
              <w:rPr>
                <w:b/>
              </w:rPr>
              <w:t>Sk.</w:t>
            </w:r>
          </w:p>
        </w:tc>
      </w:tr>
      <w:tr w:rsidR="002C7AFE" w:rsidRPr="004C23F4" w14:paraId="2C3E0FAF" w14:textId="77777777" w:rsidTr="00AF00F6">
        <w:trPr>
          <w:cantSplit/>
        </w:trPr>
        <w:tc>
          <w:tcPr>
            <w:tcW w:w="4005" w:type="dxa"/>
            <w:vAlign w:val="center"/>
          </w:tcPr>
          <w:p w14:paraId="59EDB66C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0F7C3D08" w14:textId="38371101" w:rsidR="002C7AFE" w:rsidRPr="00EB3D1B" w:rsidRDefault="005A32B9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250 ppm</w:t>
            </w:r>
          </w:p>
        </w:tc>
      </w:tr>
      <w:tr w:rsidR="009C70D8" w:rsidRPr="004C23F4" w14:paraId="025F5954" w14:textId="77777777" w:rsidTr="00AF1A5B">
        <w:trPr>
          <w:cantSplit/>
        </w:trPr>
        <w:tc>
          <w:tcPr>
            <w:tcW w:w="9026" w:type="dxa"/>
            <w:gridSpan w:val="2"/>
            <w:vAlign w:val="center"/>
          </w:tcPr>
          <w:p w14:paraId="0121A263" w14:textId="1506BF38" w:rsidR="009C70D8" w:rsidRPr="00EB3D1B" w:rsidRDefault="009C70D8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Sampling and an</w:t>
            </w:r>
            <w:r w:rsidRPr="009C70D8">
              <w:rPr>
                <w:b/>
              </w:rPr>
              <w:t>alysis:</w:t>
            </w:r>
            <w:r w:rsidRPr="009C70D8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81A9047B6AE84EB7ACF3C7690952DFD1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3604E0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1EF2A92F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E5141DB" w14:textId="361E9BAF" w:rsidR="006639B4" w:rsidRPr="00421630" w:rsidRDefault="00421630" w:rsidP="000C139A">
      <w:pPr>
        <w:rPr>
          <w:rFonts w:cs="Arial"/>
        </w:rPr>
      </w:pPr>
      <w:r>
        <w:rPr>
          <w:rFonts w:cs="Arial"/>
        </w:rPr>
        <w:t>A TWA of 10 ppm (52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) is recommended to protect for respiratory irritation, </w:t>
      </w:r>
      <w:r>
        <w:t>haemolytic effect</w:t>
      </w:r>
      <w:r w:rsidR="003604E0">
        <w:t>s</w:t>
      </w:r>
      <w:r>
        <w:t xml:space="preserve"> and cataracts in exposed workers.</w:t>
      </w:r>
    </w:p>
    <w:p w14:paraId="6E584E94" w14:textId="77777777" w:rsidR="00C7155E" w:rsidRPr="004C23F4" w:rsidRDefault="00F10C97" w:rsidP="003365A5">
      <w:pPr>
        <w:pStyle w:val="Heading2"/>
      </w:pPr>
      <w:r>
        <w:t>Discussion and conclusions</w:t>
      </w:r>
    </w:p>
    <w:p w14:paraId="140F4ED9" w14:textId="013B73D4" w:rsidR="00B0207D" w:rsidRPr="009D381F" w:rsidRDefault="005D211B" w:rsidP="006639B4">
      <w:r w:rsidRPr="009D381F">
        <w:t xml:space="preserve">Naphthalene is </w:t>
      </w:r>
      <w:r w:rsidR="00FF7AC3" w:rsidRPr="009D381F">
        <w:t xml:space="preserve">primarily </w:t>
      </w:r>
      <w:r w:rsidRPr="009D381F">
        <w:t xml:space="preserve">used </w:t>
      </w:r>
      <w:r w:rsidR="00FF7AC3" w:rsidRPr="009D381F">
        <w:t xml:space="preserve">in the </w:t>
      </w:r>
      <w:r w:rsidRPr="009D381F">
        <w:t xml:space="preserve">production of phthalic anhydride. It is also used </w:t>
      </w:r>
      <w:r w:rsidR="00FF7AC3" w:rsidRPr="009D381F">
        <w:t xml:space="preserve">in </w:t>
      </w:r>
      <w:r w:rsidRPr="009D381F">
        <w:t xml:space="preserve">carbamate pesticide, naphthalene sulfonates, dyes, synthetic resins, antiseptics, </w:t>
      </w:r>
      <w:r w:rsidR="003604E0" w:rsidRPr="009D381F">
        <w:t>pigments</w:t>
      </w:r>
      <w:r w:rsidRPr="009D381F">
        <w:t xml:space="preserve"> and smokeless powder. </w:t>
      </w:r>
      <w:r w:rsidR="00E8146A" w:rsidRPr="009D381F">
        <w:t>In c</w:t>
      </w:r>
      <w:r w:rsidRPr="009D381F">
        <w:t>rystalline form</w:t>
      </w:r>
      <w:r w:rsidR="00E8146A" w:rsidRPr="009D381F">
        <w:t>, it</w:t>
      </w:r>
      <w:r w:rsidRPr="009D381F">
        <w:t xml:space="preserve"> is</w:t>
      </w:r>
      <w:r w:rsidR="006B2DEA" w:rsidRPr="009D381F">
        <w:t xml:space="preserve"> commonly</w:t>
      </w:r>
      <w:r w:rsidR="003604E0" w:rsidRPr="009D381F">
        <w:t xml:space="preserve"> used </w:t>
      </w:r>
      <w:r w:rsidR="00F62EE2" w:rsidRPr="009D381F">
        <w:t xml:space="preserve">as a deodorant, </w:t>
      </w:r>
      <w:r w:rsidRPr="009D381F">
        <w:t>moth repellent</w:t>
      </w:r>
      <w:r w:rsidR="00F62EE2" w:rsidRPr="009D381F">
        <w:t xml:space="preserve"> and pesticide</w:t>
      </w:r>
      <w:r w:rsidRPr="009D381F">
        <w:t xml:space="preserve">. </w:t>
      </w:r>
    </w:p>
    <w:p w14:paraId="39B4C2E1" w14:textId="6CD720B9" w:rsidR="005154D2" w:rsidRPr="009D381F" w:rsidRDefault="006B2DEA" w:rsidP="006639B4">
      <w:r w:rsidRPr="009D381F">
        <w:t>Critical effects from exposure include upper respiratory tract irritation, haemolytic effect</w:t>
      </w:r>
      <w:r w:rsidR="003604E0" w:rsidRPr="009D381F">
        <w:t>s</w:t>
      </w:r>
      <w:r w:rsidRPr="009D381F">
        <w:t xml:space="preserve"> and cataracts.</w:t>
      </w:r>
    </w:p>
    <w:p w14:paraId="65BB4CD7" w14:textId="71FD3314" w:rsidR="006B2DEA" w:rsidRPr="009D381F" w:rsidRDefault="00B0207D" w:rsidP="006639B4">
      <w:r w:rsidRPr="009D381F">
        <w:rPr>
          <w:rFonts w:cs="Arial"/>
        </w:rPr>
        <w:t>Haemolytic anaemia and cataracts were the major toxic effects reported from accidental exposure</w:t>
      </w:r>
      <w:r w:rsidR="00FF7AC3" w:rsidRPr="009D381F">
        <w:rPr>
          <w:rFonts w:cs="Arial"/>
        </w:rPr>
        <w:t xml:space="preserve">. </w:t>
      </w:r>
      <w:r w:rsidR="00FF7AC3" w:rsidRPr="009D381F">
        <w:t>C</w:t>
      </w:r>
      <w:r w:rsidR="003604E0" w:rsidRPr="009D381F">
        <w:t>ataracts</w:t>
      </w:r>
      <w:r w:rsidR="00FF7AC3" w:rsidRPr="009D381F">
        <w:t xml:space="preserve"> were</w:t>
      </w:r>
      <w:r w:rsidR="003604E0" w:rsidRPr="009D381F">
        <w:t xml:space="preserve"> reported in eight of </w:t>
      </w:r>
      <w:r w:rsidR="00F7057F" w:rsidRPr="009D381F">
        <w:t>21</w:t>
      </w:r>
      <w:r w:rsidR="006B2DEA" w:rsidRPr="009D381F">
        <w:t xml:space="preserve"> workers</w:t>
      </w:r>
      <w:r w:rsidR="00884D8A" w:rsidRPr="009D381F">
        <w:t xml:space="preserve"> from a dye plant</w:t>
      </w:r>
      <w:r w:rsidR="006B2DEA" w:rsidRPr="009D381F">
        <w:t xml:space="preserve"> </w:t>
      </w:r>
      <w:r w:rsidRPr="009D381F">
        <w:t xml:space="preserve">following </w:t>
      </w:r>
      <w:r w:rsidR="006B2DEA" w:rsidRPr="009D381F">
        <w:t>long-term exposure.</w:t>
      </w:r>
      <w:r w:rsidR="00884D8A" w:rsidRPr="009D381F">
        <w:t xml:space="preserve"> </w:t>
      </w:r>
      <w:r w:rsidR="00F33F7D" w:rsidRPr="009D381F">
        <w:t xml:space="preserve">No more cataracts were reported following the implementation of procedures to minimise exposure. There are </w:t>
      </w:r>
      <w:r w:rsidR="00F33F7D" w:rsidRPr="009D381F">
        <w:rPr>
          <w:rFonts w:cs="Arial"/>
        </w:rPr>
        <w:t>no</w:t>
      </w:r>
      <w:r w:rsidR="005910A8" w:rsidRPr="009D381F">
        <w:rPr>
          <w:rFonts w:cs="Arial"/>
        </w:rPr>
        <w:t xml:space="preserve"> </w:t>
      </w:r>
      <w:r w:rsidRPr="009D381F">
        <w:rPr>
          <w:rFonts w:cs="Arial"/>
        </w:rPr>
        <w:t xml:space="preserve">quantitative </w:t>
      </w:r>
      <w:r w:rsidR="005910A8" w:rsidRPr="009D381F">
        <w:rPr>
          <w:rFonts w:cs="Arial"/>
        </w:rPr>
        <w:t xml:space="preserve">exposure related </w:t>
      </w:r>
      <w:r w:rsidR="00F33F7D" w:rsidRPr="009D381F">
        <w:rPr>
          <w:rFonts w:cs="Arial"/>
        </w:rPr>
        <w:t xml:space="preserve">data </w:t>
      </w:r>
      <w:r w:rsidR="005910A8" w:rsidRPr="009D381F">
        <w:rPr>
          <w:rFonts w:cs="Arial"/>
        </w:rPr>
        <w:t xml:space="preserve">in humans. </w:t>
      </w:r>
      <w:r w:rsidR="00421630" w:rsidRPr="009D381F">
        <w:rPr>
          <w:rFonts w:cs="Arial"/>
        </w:rPr>
        <w:t xml:space="preserve">Mice exposed at 10 ppm for </w:t>
      </w:r>
      <w:r w:rsidR="009C70D8" w:rsidRPr="009D381F">
        <w:rPr>
          <w:rFonts w:cs="Arial"/>
        </w:rPr>
        <w:t>four</w:t>
      </w:r>
      <w:r w:rsidR="00421630" w:rsidRPr="009D381F">
        <w:rPr>
          <w:rFonts w:cs="Arial"/>
        </w:rPr>
        <w:t xml:space="preserve"> hours had swollen and vacuolated Clara cells in their airways. </w:t>
      </w:r>
      <w:r w:rsidR="00421630" w:rsidRPr="009D381F">
        <w:t>Non-malignant pulmonary</w:t>
      </w:r>
      <w:r w:rsidR="00653F0A" w:rsidRPr="009D381F">
        <w:t xml:space="preserve">, </w:t>
      </w:r>
      <w:r w:rsidR="00421630" w:rsidRPr="009D381F">
        <w:t>alveolar</w:t>
      </w:r>
      <w:r w:rsidR="00653F0A" w:rsidRPr="009D381F">
        <w:t xml:space="preserve"> and </w:t>
      </w:r>
      <w:r w:rsidR="00421630" w:rsidRPr="009D381F">
        <w:t xml:space="preserve">bronchiolar adenomas were identified in female mice exposed for </w:t>
      </w:r>
      <w:r w:rsidR="009C70D8" w:rsidRPr="009D381F">
        <w:t>two</w:t>
      </w:r>
      <w:r w:rsidR="00421630" w:rsidRPr="009D381F">
        <w:t xml:space="preserve"> years at 30 ppm (ACGIH, 201</w:t>
      </w:r>
      <w:r w:rsidR="002F14E1" w:rsidRPr="009D381F">
        <w:t>8</w:t>
      </w:r>
      <w:r w:rsidR="00421630" w:rsidRPr="009D381F">
        <w:t>; DFG</w:t>
      </w:r>
      <w:r w:rsidR="00653F0A" w:rsidRPr="009D381F">
        <w:t xml:space="preserve"> </w:t>
      </w:r>
      <w:r w:rsidR="00421630" w:rsidRPr="009D381F">
        <w:t>2001; SCOEL, 2010).</w:t>
      </w:r>
    </w:p>
    <w:p w14:paraId="4CCB6805" w14:textId="79A124FA" w:rsidR="006639B4" w:rsidRPr="009D381F" w:rsidRDefault="00421630" w:rsidP="006639B4">
      <w:pPr>
        <w:rPr>
          <w:rFonts w:cs="Arial"/>
        </w:rPr>
      </w:pPr>
      <w:r w:rsidRPr="009D381F">
        <w:rPr>
          <w:rFonts w:cs="Arial"/>
        </w:rPr>
        <w:t>Th</w:t>
      </w:r>
      <w:r w:rsidR="001A72D6" w:rsidRPr="009D381F">
        <w:rPr>
          <w:rFonts w:cs="Arial"/>
        </w:rPr>
        <w:t xml:space="preserve">e current </w:t>
      </w:r>
      <w:r w:rsidRPr="009D381F">
        <w:rPr>
          <w:rFonts w:cs="Arial"/>
        </w:rPr>
        <w:t xml:space="preserve">TWA of 10 ppm </w:t>
      </w:r>
      <w:r w:rsidRPr="009D381F">
        <w:t xml:space="preserve">is recommended </w:t>
      </w:r>
      <w:r w:rsidR="001A72D6" w:rsidRPr="009D381F">
        <w:t xml:space="preserve">to be retained </w:t>
      </w:r>
      <w:r w:rsidRPr="009D381F">
        <w:t xml:space="preserve">as </w:t>
      </w:r>
      <w:r w:rsidR="001A72D6" w:rsidRPr="009D381F">
        <w:t xml:space="preserve">derived </w:t>
      </w:r>
      <w:r w:rsidRPr="009D381F">
        <w:t>by ACGIH (2018)</w:t>
      </w:r>
      <w:r w:rsidR="001A72D6" w:rsidRPr="009D381F">
        <w:t>, but the STEL of 15 ppm is recommended to be removed</w:t>
      </w:r>
      <w:r w:rsidR="009640EE" w:rsidRPr="009D381F">
        <w:rPr>
          <w:rFonts w:cs="Arial"/>
        </w:rPr>
        <w:t xml:space="preserve"> as there is insufficient evidence to recommend a STEL</w:t>
      </w:r>
      <w:r w:rsidR="001A72D6" w:rsidRPr="009D381F">
        <w:t xml:space="preserve">. No other </w:t>
      </w:r>
      <w:r w:rsidR="00F33F7D" w:rsidRPr="009D381F">
        <w:t xml:space="preserve">primary source </w:t>
      </w:r>
      <w:r w:rsidR="001A72D6" w:rsidRPr="009D381F">
        <w:t xml:space="preserve">has </w:t>
      </w:r>
      <w:r w:rsidR="00F33F7D" w:rsidRPr="009D381F">
        <w:t>assign</w:t>
      </w:r>
      <w:r w:rsidR="001A72D6" w:rsidRPr="009D381F">
        <w:t>ed</w:t>
      </w:r>
      <w:r w:rsidR="00F33F7D" w:rsidRPr="009D381F">
        <w:t xml:space="preserve"> a value.</w:t>
      </w:r>
      <w:r w:rsidRPr="009D381F">
        <w:t xml:space="preserve"> </w:t>
      </w:r>
      <w:r w:rsidRPr="009D381F">
        <w:rPr>
          <w:rFonts w:cs="Arial"/>
        </w:rPr>
        <w:t>Th</w:t>
      </w:r>
      <w:r w:rsidR="009640EE" w:rsidRPr="009D381F">
        <w:rPr>
          <w:rFonts w:cs="Arial"/>
        </w:rPr>
        <w:t>e recommended</w:t>
      </w:r>
      <w:r w:rsidRPr="009D381F">
        <w:rPr>
          <w:rFonts w:cs="Arial"/>
        </w:rPr>
        <w:t xml:space="preserve"> TWA is </w:t>
      </w:r>
      <w:r w:rsidRPr="009D381F">
        <w:t>cited to be protective</w:t>
      </w:r>
      <w:r w:rsidRPr="009D381F">
        <w:rPr>
          <w:rFonts w:cs="Arial"/>
        </w:rPr>
        <w:t xml:space="preserve"> of respiratory irritation, </w:t>
      </w:r>
      <w:r w:rsidRPr="009D381F">
        <w:t>haemolytic effect and cataracts</w:t>
      </w:r>
      <w:r w:rsidRPr="009D381F">
        <w:rPr>
          <w:rFonts w:cs="Arial"/>
        </w:rPr>
        <w:t>.</w:t>
      </w:r>
    </w:p>
    <w:p w14:paraId="32626328" w14:textId="77777777" w:rsidR="004529F0" w:rsidRPr="004C23F4" w:rsidRDefault="004529F0" w:rsidP="004529F0">
      <w:pPr>
        <w:pStyle w:val="Heading2"/>
      </w:pPr>
      <w:r>
        <w:lastRenderedPageBreak/>
        <w:t>Recommendation for notations</w:t>
      </w:r>
    </w:p>
    <w:p w14:paraId="1A657EE4" w14:textId="796DA499" w:rsidR="005A32B9" w:rsidRDefault="005A32B9" w:rsidP="005A32B9">
      <w:pPr>
        <w:rPr>
          <w:rFonts w:cs="Arial"/>
        </w:rPr>
      </w:pPr>
      <w:r>
        <w:rPr>
          <w:rFonts w:cs="Arial"/>
        </w:rPr>
        <w:t>Not classified as a carcinogen according to the Globally Harmonized System of</w:t>
      </w:r>
      <w:r w:rsidR="00421630">
        <w:rPr>
          <w:rFonts w:cs="Arial"/>
        </w:rPr>
        <w:t xml:space="preserve"> Classification and Labelling of</w:t>
      </w:r>
      <w:r>
        <w:rPr>
          <w:rFonts w:cs="Arial"/>
        </w:rPr>
        <w:t xml:space="preserve"> Chemicals (GHS). </w:t>
      </w:r>
      <w:r w:rsidR="00421630">
        <w:rPr>
          <w:rFonts w:cs="Arial"/>
        </w:rPr>
        <w:t>The evidence</w:t>
      </w:r>
      <w:r w:rsidR="00AF00F6">
        <w:rPr>
          <w:rFonts w:cs="Arial"/>
        </w:rPr>
        <w:t xml:space="preserve"> of carcinogenicity </w:t>
      </w:r>
      <w:r w:rsidR="006A351D">
        <w:rPr>
          <w:rFonts w:cs="Arial"/>
        </w:rPr>
        <w:t xml:space="preserve">classification </w:t>
      </w:r>
      <w:r w:rsidR="00AF00F6">
        <w:rPr>
          <w:rFonts w:cs="Arial"/>
        </w:rPr>
        <w:t xml:space="preserve">in </w:t>
      </w:r>
      <w:r w:rsidR="006A351D">
        <w:rPr>
          <w:rFonts w:cs="Arial"/>
        </w:rPr>
        <w:t xml:space="preserve">notation sources </w:t>
      </w:r>
      <w:r w:rsidR="00421630">
        <w:rPr>
          <w:rFonts w:cs="Arial"/>
        </w:rPr>
        <w:t>suggests a review of this classification</w:t>
      </w:r>
      <w:r w:rsidR="00AF00F6">
        <w:rPr>
          <w:rFonts w:cs="Arial"/>
        </w:rPr>
        <w:t xml:space="preserve"> is required</w:t>
      </w:r>
      <w:r w:rsidR="00421630">
        <w:rPr>
          <w:rFonts w:cs="Arial"/>
        </w:rPr>
        <w:t>.</w:t>
      </w:r>
    </w:p>
    <w:p w14:paraId="42C1A521" w14:textId="705F19CE" w:rsidR="005A32B9" w:rsidRDefault="005A32B9" w:rsidP="005A32B9">
      <w:pPr>
        <w:rPr>
          <w:rFonts w:cs="Arial"/>
        </w:rPr>
      </w:pPr>
      <w:r>
        <w:rPr>
          <w:rFonts w:cs="Arial"/>
        </w:rPr>
        <w:t xml:space="preserve">Not classified as a skin </w:t>
      </w:r>
      <w:r w:rsidR="00421630">
        <w:rPr>
          <w:rFonts w:cs="Arial"/>
        </w:rPr>
        <w:t xml:space="preserve">sensitiser </w:t>
      </w:r>
      <w:r>
        <w:rPr>
          <w:rFonts w:cs="Arial"/>
        </w:rPr>
        <w:t>or respiratory sensitiser according to the GHS.</w:t>
      </w:r>
    </w:p>
    <w:p w14:paraId="49048798" w14:textId="2D9F416E" w:rsidR="000638F1" w:rsidRDefault="000638F1" w:rsidP="000638F1">
      <w:pPr>
        <w:keepNext/>
        <w:rPr>
          <w:rFonts w:cs="Arial"/>
        </w:rPr>
      </w:pPr>
      <w:r>
        <w:rPr>
          <w:rFonts w:cs="Arial"/>
        </w:rPr>
        <w:t>A skin notation is recommended due to evidence of dermal absorption</w:t>
      </w:r>
      <w:r w:rsidR="002F14E1">
        <w:rPr>
          <w:rFonts w:cs="Arial"/>
        </w:rPr>
        <w:t xml:space="preserve"> in humans</w:t>
      </w:r>
      <w:r>
        <w:rPr>
          <w:rFonts w:cs="Arial"/>
        </w:rPr>
        <w:t xml:space="preserve"> and contribution to systemic effects.</w:t>
      </w:r>
    </w:p>
    <w:p w14:paraId="16936E3A" w14:textId="313C6DE2" w:rsidR="0025734A" w:rsidRPr="004C23F4" w:rsidRDefault="000638F1" w:rsidP="002F14E1">
      <w:pPr>
        <w:spacing w:after="200"/>
        <w:rPr>
          <w:rFonts w:cs="Arial"/>
        </w:rPr>
      </w:pPr>
      <w:r>
        <w:rPr>
          <w:rFonts w:cs="Arial"/>
        </w:rPr>
        <w:br w:type="page"/>
      </w:r>
    </w:p>
    <w:p w14:paraId="45CE271B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0BF1512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1F3794C3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0D981A5A" w14:textId="77777777" w:rsidR="00C978F0" w:rsidRPr="00DA352E" w:rsidRDefault="00C978F0" w:rsidP="009C70D8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2AD552FE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3252BACF" w14:textId="41842BEB" w:rsidR="00DE26E8" w:rsidRPr="003365A5" w:rsidRDefault="00DE26E8" w:rsidP="003604E0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B7063B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B7063B">
                  <w:t>TWA: 10 ppm (52 mg/m</w:t>
                </w:r>
                <w:r w:rsidR="00B7063B" w:rsidRPr="00B7063B">
                  <w:rPr>
                    <w:vertAlign w:val="superscript"/>
                  </w:rPr>
                  <w:t>3</w:t>
                </w:r>
                <w:r w:rsidR="00B7063B">
                  <w:t>); STEL: 15 ppm (79 mg/m</w:t>
                </w:r>
                <w:r w:rsidR="00B7063B" w:rsidRPr="00B7063B">
                  <w:rPr>
                    <w:vertAlign w:val="superscript"/>
                  </w:rPr>
                  <w:t>3</w:t>
                </w:r>
                <w:r w:rsidR="00B7063B">
                  <w:t>)</w:t>
                </w:r>
              </w:sdtContent>
            </w:sdt>
          </w:p>
        </w:tc>
      </w:tr>
      <w:tr w:rsidR="00C978F0" w:rsidRPr="00DA352E" w14:paraId="5808D19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4DDB22A" w14:textId="77777777" w:rsidR="00C978F0" w:rsidRPr="00DA352E" w:rsidRDefault="00C978F0" w:rsidP="009C70D8">
            <w:pPr>
              <w:pStyle w:val="Tabletextprimarysource"/>
            </w:pPr>
          </w:p>
        </w:tc>
      </w:tr>
      <w:tr w:rsidR="00C978F0" w:rsidRPr="00DA352E" w14:paraId="2D5F42E5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55C9F7C" w14:textId="06160E49" w:rsidR="00C978F0" w:rsidRPr="00DA352E" w:rsidRDefault="00DA352E" w:rsidP="003604E0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B7063B">
                  <w:t>2014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B7063B">
                  <w:t>TLV-TWA: 10 ppm (52 mg/m</w:t>
                </w:r>
                <w:r w:rsidR="00B7063B" w:rsidRPr="00B7063B">
                  <w:rPr>
                    <w:vertAlign w:val="superscript"/>
                  </w:rPr>
                  <w:t>3</w:t>
                </w:r>
                <w:r w:rsidR="00B7063B">
                  <w:t>)</w:t>
                </w:r>
              </w:sdtContent>
            </w:sdt>
          </w:p>
        </w:tc>
      </w:tr>
      <w:tr w:rsidR="00C978F0" w:rsidRPr="00DA352E" w14:paraId="2D34344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BA1344D" w14:textId="1B452800" w:rsidR="00CC17DA" w:rsidRDefault="00CC17DA" w:rsidP="009C70D8">
            <w:pPr>
              <w:pStyle w:val="Tabletextprimarysource"/>
            </w:pPr>
            <w:r>
              <w:t xml:space="preserve">TLV-TWA recommended to </w:t>
            </w:r>
            <w:r w:rsidR="00783AE4">
              <w:t xml:space="preserve">protect </w:t>
            </w:r>
            <w:r w:rsidR="00A369A6">
              <w:t>for</w:t>
            </w:r>
            <w:r w:rsidR="00783AE4">
              <w:t xml:space="preserve"> upper respiratory tract irritation, </w:t>
            </w:r>
            <w:r w:rsidR="00C2432A">
              <w:t>haemolytic</w:t>
            </w:r>
            <w:r w:rsidR="00573F26">
              <w:t xml:space="preserve"> effect</w:t>
            </w:r>
            <w:r w:rsidR="00C2432A">
              <w:t xml:space="preserve"> </w:t>
            </w:r>
            <w:r w:rsidR="00783AE4">
              <w:t>and cataracts</w:t>
            </w:r>
            <w:r>
              <w:t>.</w:t>
            </w:r>
          </w:p>
          <w:p w14:paraId="471C4238" w14:textId="0DDCA1E5" w:rsidR="00A369A6" w:rsidRDefault="00A369A6" w:rsidP="009C70D8">
            <w:pPr>
              <w:pStyle w:val="Tabletextprimarysource"/>
            </w:pPr>
            <w:r>
              <w:t>Summary of data:</w:t>
            </w:r>
          </w:p>
          <w:p w14:paraId="643B7A3F" w14:textId="687E996C" w:rsidR="00A369A6" w:rsidRDefault="00A369A6" w:rsidP="009C70D8">
            <w:pPr>
              <w:pStyle w:val="Tabletextprimarysource"/>
            </w:pPr>
            <w:r>
              <w:t>Human data:</w:t>
            </w:r>
          </w:p>
          <w:p w14:paraId="5BD0A591" w14:textId="0714CE09" w:rsidR="00A369A6" w:rsidRDefault="00541B20" w:rsidP="00F33F7D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Case reports of accidental and intentional poisonings in adults and </w:t>
            </w:r>
            <w:r w:rsidR="00447C8D">
              <w:t>infants</w:t>
            </w:r>
            <w:r>
              <w:t>; h</w:t>
            </w:r>
            <w:r w:rsidR="00A369A6">
              <w:t>aemolysis, anaemia, kernicterus methemoglobinemia and, in some cases, death</w:t>
            </w:r>
            <w:r w:rsidR="00447C8D">
              <w:t>; no exposure data</w:t>
            </w:r>
          </w:p>
          <w:p w14:paraId="5523158C" w14:textId="690C6108" w:rsidR="00447C8D" w:rsidRDefault="003F2191" w:rsidP="00F33F7D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Cataracts in 8 of 21 workers working with melted naphthalene; no </w:t>
            </w:r>
            <w:r w:rsidR="00A615D6">
              <w:t>cataracts</w:t>
            </w:r>
            <w:r>
              <w:t xml:space="preserve"> after procedures reduced exposure; no exposure data</w:t>
            </w:r>
          </w:p>
          <w:p w14:paraId="6671AF89" w14:textId="6553AA49" w:rsidR="003F2191" w:rsidRDefault="003F2191" w:rsidP="00F33F7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Inadequate evidence to determine if naphthalene is carcinogenic in humans</w:t>
            </w:r>
            <w:r w:rsidR="009C70D8">
              <w:t>.</w:t>
            </w:r>
          </w:p>
          <w:p w14:paraId="73FD8D66" w14:textId="7C3FA60B" w:rsidR="00A369A6" w:rsidRDefault="00A369A6" w:rsidP="009C70D8">
            <w:pPr>
              <w:pStyle w:val="Tabletextprimarysource"/>
            </w:pPr>
            <w:r>
              <w:t>Animal data:</w:t>
            </w:r>
          </w:p>
          <w:p w14:paraId="68F6B344" w14:textId="5D9FF445" w:rsidR="001E362F" w:rsidRDefault="001E362F" w:rsidP="00F33F7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LC</w:t>
            </w:r>
            <w:r>
              <w:rPr>
                <w:vertAlign w:val="subscript"/>
              </w:rPr>
              <w:t>50</w:t>
            </w:r>
            <w:r w:rsidR="003604E0">
              <w:t>: 96 ppm</w:t>
            </w:r>
            <w:r>
              <w:t xml:space="preserve"> </w:t>
            </w:r>
            <w:r w:rsidR="003604E0">
              <w:t>(</w:t>
            </w:r>
            <w:r>
              <w:t>rats</w:t>
            </w:r>
            <w:r w:rsidR="003604E0">
              <w:t>, 8 h)</w:t>
            </w:r>
          </w:p>
          <w:p w14:paraId="35CC92A0" w14:textId="152F28E7" w:rsidR="001E362F" w:rsidRDefault="001E362F" w:rsidP="00F33F7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Acute study in rats and mice; 4</w:t>
            </w:r>
            <w:r w:rsidR="009C70D8">
              <w:t xml:space="preserve"> </w:t>
            </w:r>
            <w:r>
              <w:t>h exposures:</w:t>
            </w:r>
          </w:p>
          <w:p w14:paraId="7AD81189" w14:textId="58FA8EE4" w:rsidR="001E362F" w:rsidRDefault="001E362F" w:rsidP="00F33F7D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>2 ppm – slight reductions in proximal airway Clara cell mass in some mice</w:t>
            </w:r>
          </w:p>
          <w:p w14:paraId="3A7B5F04" w14:textId="41F1C64F" w:rsidR="001E362F" w:rsidRDefault="001E362F" w:rsidP="00F33F7D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>10 ppm – Clara cells in the proximal and some distal airways appeared swollen and vacuolated</w:t>
            </w:r>
            <w:r w:rsidR="00723BA4">
              <w:t xml:space="preserve"> in mice</w:t>
            </w:r>
          </w:p>
          <w:p w14:paraId="30DC9772" w14:textId="73518B34" w:rsidR="00723BA4" w:rsidRDefault="00723BA4" w:rsidP="00F33F7D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>75 ppm – maximal reductions in Clara cell numbers in mice</w:t>
            </w:r>
          </w:p>
          <w:p w14:paraId="24A14FB9" w14:textId="0D986A5D" w:rsidR="00723BA4" w:rsidRDefault="00723BA4" w:rsidP="00F33F7D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>110 ppm – no changes in the airways of rats</w:t>
            </w:r>
          </w:p>
          <w:p w14:paraId="30D1ECDB" w14:textId="1A56472C" w:rsidR="003F2191" w:rsidRDefault="003F2191" w:rsidP="00F33F7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</w:t>
            </w:r>
            <w:r w:rsidRPr="003F2191">
              <w:t>at nasal and mouse alveolar epithelial tissues</w:t>
            </w:r>
            <w:r>
              <w:t xml:space="preserve"> are more</w:t>
            </w:r>
            <w:r w:rsidRPr="003F2191">
              <w:t xml:space="preserve"> </w:t>
            </w:r>
            <w:r>
              <w:t xml:space="preserve">susceptible </w:t>
            </w:r>
            <w:r w:rsidR="001E362F">
              <w:t xml:space="preserve">than humans </w:t>
            </w:r>
            <w:r>
              <w:t>to cytotoxic metabolites of</w:t>
            </w:r>
            <w:r w:rsidR="001E362F">
              <w:t xml:space="preserve"> naphthalene; Clara cells in rodents primary site of metabolic activation</w:t>
            </w:r>
          </w:p>
          <w:p w14:paraId="2DC3D7B5" w14:textId="4A4340EE" w:rsidR="00A615D6" w:rsidRDefault="00A615D6" w:rsidP="00F33F7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Oral dose of 0.5</w:t>
            </w:r>
            <w:r w:rsidR="009C70D8">
              <w:t>–</w:t>
            </w:r>
            <w:r>
              <w:t>1</w:t>
            </w:r>
            <w:r w:rsidR="00311A70">
              <w:t>.0</w:t>
            </w:r>
            <w:r>
              <w:t xml:space="preserve"> g/kg/d for 5 d for 6 wk produced cataracts in laboratory animals</w:t>
            </w:r>
          </w:p>
          <w:p w14:paraId="29C87097" w14:textId="071AEC5A" w:rsidR="00A615D6" w:rsidRDefault="001B5C32" w:rsidP="00F33F7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Evidence of respiratory and nasal tumours in rodents; non-malignant pulmonary and alveolar/bronchiolar adenomas at 30 ppm in female mice; adenomas of the nasal respiratory epithelium and non-malignant neuroblastomas of the olfactory epithelium in rats exposed at 30 ppm</w:t>
            </w:r>
            <w:r w:rsidR="00653F0A">
              <w:t>:</w:t>
            </w:r>
          </w:p>
          <w:p w14:paraId="586E5102" w14:textId="0CAC2316" w:rsidR="001B5C32" w:rsidRDefault="001B5C32" w:rsidP="00F33F7D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</w:pPr>
            <w:r>
              <w:t xml:space="preserve">these </w:t>
            </w:r>
            <w:proofErr w:type="gramStart"/>
            <w:r>
              <w:t>tumours</w:t>
            </w:r>
            <w:proofErr w:type="gramEnd"/>
            <w:r>
              <w:t xml:space="preserve"> types unlikely to occur in humans due to metabolic and anatomical differences</w:t>
            </w:r>
            <w:r w:rsidR="009C70D8">
              <w:t>.</w:t>
            </w:r>
          </w:p>
          <w:p w14:paraId="6FF1DF58" w14:textId="77777777" w:rsidR="00653F0A" w:rsidRDefault="00653F0A" w:rsidP="009C70D8">
            <w:pPr>
              <w:pStyle w:val="Tabletextprimarysource"/>
              <w:rPr>
                <w:i/>
              </w:rPr>
            </w:pPr>
          </w:p>
          <w:p w14:paraId="57E89666" w14:textId="58B17D5A" w:rsidR="00C978F0" w:rsidRDefault="001B5C32" w:rsidP="009C70D8">
            <w:pPr>
              <w:pStyle w:val="Tabletextprimarysource"/>
            </w:pPr>
            <w:r>
              <w:rPr>
                <w:i/>
              </w:rPr>
              <w:t>In vitro</w:t>
            </w:r>
            <w:r>
              <w:t xml:space="preserve"> dermal absorption rate of 7</w:t>
            </w:r>
            <w:r w:rsidR="009C70D8">
              <w:t>–</w:t>
            </w:r>
            <w:r>
              <w:t xml:space="preserve">30 </w:t>
            </w:r>
            <w:r>
              <w:rPr>
                <w:rFonts w:cs="Arial"/>
              </w:rPr>
              <w:t>µ</w:t>
            </w:r>
            <w:r>
              <w:t>g/cm</w:t>
            </w:r>
            <w:r>
              <w:rPr>
                <w:vertAlign w:val="superscript"/>
              </w:rPr>
              <w:t>2</w:t>
            </w:r>
            <w:r w:rsidR="00AF00F6">
              <w:t>/h</w:t>
            </w:r>
            <w:r w:rsidR="009C70D8">
              <w:t>.</w:t>
            </w:r>
            <w:r w:rsidR="00653F0A">
              <w:t xml:space="preserve"> </w:t>
            </w:r>
            <w:r w:rsidR="002F14E1">
              <w:t xml:space="preserve">Amount absorbed by </w:t>
            </w:r>
            <w:r w:rsidR="003604E0">
              <w:t>Coverage of both hands ~</w:t>
            </w:r>
            <w:r>
              <w:t>4</w:t>
            </w:r>
            <w:r w:rsidR="00653F0A">
              <w:t> </w:t>
            </w:r>
            <w:r>
              <w:t xml:space="preserve">h </w:t>
            </w:r>
            <w:r w:rsidR="003604E0">
              <w:rPr>
                <w:rFonts w:cs="Arial"/>
              </w:rPr>
              <w:t>≡</w:t>
            </w:r>
            <w:r w:rsidR="004A6261">
              <w:t>TWA of</w:t>
            </w:r>
            <w:r>
              <w:t xml:space="preserve"> 5 ppm</w:t>
            </w:r>
            <w:r w:rsidR="009C70D8">
              <w:t>.</w:t>
            </w:r>
            <w:r>
              <w:t xml:space="preserve"> </w:t>
            </w:r>
          </w:p>
          <w:p w14:paraId="4176F7AB" w14:textId="6AF81BAA" w:rsidR="000638F1" w:rsidRDefault="000638F1" w:rsidP="009C70D8">
            <w:pPr>
              <w:pStyle w:val="Tabletextprimarysource"/>
            </w:pPr>
            <w:r w:rsidRPr="000638F1">
              <w:t>Skin notation recommended, powdered naphthalene shown to penetrate excised skin at a rapid rate result</w:t>
            </w:r>
            <w:r>
              <w:t>ing</w:t>
            </w:r>
            <w:r w:rsidRPr="000638F1">
              <w:t xml:space="preserve"> in moderate internal doses</w:t>
            </w:r>
            <w:r>
              <w:t xml:space="preserve">. </w:t>
            </w:r>
          </w:p>
          <w:p w14:paraId="3710FAB8" w14:textId="2C22B87E" w:rsidR="001B5C32" w:rsidRDefault="001B5C32">
            <w:pPr>
              <w:pStyle w:val="Tabletextprimarysource"/>
            </w:pPr>
            <w:r>
              <w:t>No derivation of TLV-TWA provided</w:t>
            </w:r>
            <w:r w:rsidR="009C70D8">
              <w:t>.</w:t>
            </w:r>
            <w:r w:rsidR="00653F0A">
              <w:t xml:space="preserve"> </w:t>
            </w:r>
            <w:r>
              <w:t>Insufficient evidence to recommend sensitiser notation or TLV-STEL.</w:t>
            </w:r>
          </w:p>
          <w:p w14:paraId="3A9625C8" w14:textId="3EC8C3EC" w:rsidR="00653F0A" w:rsidRPr="00DA352E" w:rsidRDefault="00653F0A">
            <w:pPr>
              <w:pStyle w:val="Tabletextprimarysource"/>
            </w:pPr>
          </w:p>
        </w:tc>
      </w:tr>
      <w:tr w:rsidR="00C978F0" w:rsidRPr="00DA352E" w14:paraId="4E9D56C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6C6AB10" w14:textId="20458C34" w:rsidR="00C978F0" w:rsidRPr="00DA352E" w:rsidRDefault="00DA352E" w:rsidP="003604E0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B7063B">
                  <w:t>20</w:t>
                </w:r>
                <w:r w:rsidR="002F14E1">
                  <w:t>15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B7063B">
                  <w:t>Not assigned</w:t>
                </w:r>
              </w:sdtContent>
            </w:sdt>
          </w:p>
        </w:tc>
      </w:tr>
      <w:tr w:rsidR="00C978F0" w:rsidRPr="00DA352E" w14:paraId="64FCBA7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DA5DA90" w14:textId="77777777" w:rsidR="00C978F0" w:rsidRDefault="006F09D3" w:rsidP="009C70D8">
            <w:pPr>
              <w:pStyle w:val="Tabletextprimarysource"/>
            </w:pPr>
            <w:r>
              <w:t>No MAK due to animal carcinogenicity evidence and mechanism of formation of lung tumours may not be species-specific.</w:t>
            </w:r>
          </w:p>
          <w:p w14:paraId="729656D6" w14:textId="77777777" w:rsidR="006F09D3" w:rsidRDefault="006F09D3" w:rsidP="009C70D8">
            <w:pPr>
              <w:pStyle w:val="Tabletextprimarysource"/>
            </w:pPr>
            <w:r>
              <w:t>Summary of additional data:</w:t>
            </w:r>
          </w:p>
          <w:p w14:paraId="4DA350FC" w14:textId="77777777" w:rsidR="006F09D3" w:rsidRDefault="006F09D3" w:rsidP="00F33F7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Not mutagenic in bacteria</w:t>
            </w:r>
          </w:p>
          <w:p w14:paraId="08EC7D61" w14:textId="77777777" w:rsidR="006F09D3" w:rsidRDefault="006F09D3" w:rsidP="00F33F7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DNA strand breaks or DNA repair not induced in cultured rat hepatocytes</w:t>
            </w:r>
          </w:p>
          <w:p w14:paraId="63886D73" w14:textId="77777777" w:rsidR="006F09D3" w:rsidRDefault="006F09D3" w:rsidP="00F33F7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Produces chromosomal aberration in CHO cells and in mouse embryo cells</w:t>
            </w:r>
          </w:p>
          <w:p w14:paraId="1045CD84" w14:textId="77777777" w:rsidR="00082A20" w:rsidRDefault="00082A20" w:rsidP="00F33F7D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Evidence of genotoxicity </w:t>
            </w:r>
            <w:r w:rsidRPr="00082A20">
              <w:rPr>
                <w:i/>
              </w:rPr>
              <w:t>in vivo</w:t>
            </w:r>
            <w:r>
              <w:t xml:space="preserve"> only in somatic cells</w:t>
            </w:r>
            <w:r w:rsidR="009C70D8">
              <w:t>.</w:t>
            </w:r>
          </w:p>
          <w:p w14:paraId="05172BEC" w14:textId="6F5AFA6B" w:rsidR="00653F0A" w:rsidRPr="00DA352E" w:rsidRDefault="00653F0A" w:rsidP="00F33F7D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384B704B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E8AA792" w14:textId="6DDD1400" w:rsidR="00C978F0" w:rsidRPr="00DA352E" w:rsidRDefault="00DA352E" w:rsidP="003604E0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B7063B">
                  <w:t>2010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B7063B">
                  <w:t>Not assigned</w:t>
                </w:r>
              </w:sdtContent>
            </w:sdt>
          </w:p>
        </w:tc>
      </w:tr>
      <w:tr w:rsidR="00C978F0" w:rsidRPr="00DA352E" w14:paraId="7B59265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F49AF5E" w14:textId="75D22AF3" w:rsidR="00272E61" w:rsidRDefault="00082A20" w:rsidP="009C70D8">
            <w:pPr>
              <w:pStyle w:val="Tabletextprimarysource"/>
            </w:pPr>
            <w:r>
              <w:t>No TWA recommended due to carcinogenic evidence in animals and uncertainty involving mechanism.</w:t>
            </w:r>
          </w:p>
          <w:p w14:paraId="6AFC3C74" w14:textId="77777777" w:rsidR="00082A20" w:rsidRDefault="00082A20" w:rsidP="009C70D8">
            <w:pPr>
              <w:pStyle w:val="Tabletextprimarysource"/>
            </w:pPr>
            <w:r>
              <w:t>Summary of additional data:</w:t>
            </w:r>
          </w:p>
          <w:p w14:paraId="67A83F64" w14:textId="77777777" w:rsidR="00082A20" w:rsidRDefault="00082A20" w:rsidP="00F33F7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Critical effects haemolytic anaemia, respiratory tract damage and respiratory tract carcinogenicity</w:t>
            </w:r>
          </w:p>
          <w:p w14:paraId="5BFF1387" w14:textId="0004ADF1" w:rsidR="00082A20" w:rsidRDefault="00082A20" w:rsidP="00F33F7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2</w:t>
            </w:r>
            <w:r w:rsidR="009C70D8">
              <w:t xml:space="preserve"> </w:t>
            </w:r>
            <w:r>
              <w:t>yr studies on rats and mice, nasal and lung inflammation at 10 ppm, the lowest exposure level investigated</w:t>
            </w:r>
          </w:p>
          <w:p w14:paraId="0CB59C0F" w14:textId="77777777" w:rsidR="00082A20" w:rsidRDefault="00082A20" w:rsidP="00F33F7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Background cytotoxicity and chronic inflammation likely mechanism of tumours produced in rodents; uncertainties remain; no TWA recommended</w:t>
            </w:r>
            <w:r w:rsidR="009C70D8">
              <w:t>.</w:t>
            </w:r>
          </w:p>
          <w:p w14:paraId="411FC86F" w14:textId="77E7A519" w:rsidR="00653F0A" w:rsidRPr="00DA352E" w:rsidRDefault="00653F0A" w:rsidP="00F33F7D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DA352E" w:rsidRPr="00DA352E" w14:paraId="49D4F2C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6208D2E" w14:textId="7BB2EF9B" w:rsidR="00DA352E" w:rsidRPr="00DA352E" w:rsidRDefault="00DA352E" w:rsidP="003604E0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B7063B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B7063B">
                  <w:t>NA</w:t>
                </w:r>
                <w:proofErr w:type="spellEnd"/>
              </w:sdtContent>
            </w:sdt>
          </w:p>
        </w:tc>
      </w:tr>
      <w:tr w:rsidR="00DA352E" w:rsidRPr="00DA352E" w14:paraId="6A668A93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971B62D" w14:textId="6E210D95" w:rsidR="00DA352E" w:rsidRPr="00DA352E" w:rsidRDefault="00B7063B" w:rsidP="009C70D8">
            <w:pPr>
              <w:pStyle w:val="Tabletextprimarysource"/>
            </w:pPr>
            <w:r>
              <w:t>No report</w:t>
            </w:r>
            <w:r w:rsidR="009C70D8">
              <w:t>.</w:t>
            </w:r>
          </w:p>
        </w:tc>
      </w:tr>
      <w:tr w:rsidR="00DA352E" w:rsidRPr="00DA352E" w14:paraId="5EB64C32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ADF2C60" w14:textId="6C4DE461" w:rsidR="00DA352E" w:rsidRPr="00DA352E" w:rsidRDefault="00DA352E" w:rsidP="003604E0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B7063B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B7063B">
                  <w:t>NA</w:t>
                </w:r>
                <w:proofErr w:type="spellEnd"/>
              </w:sdtContent>
            </w:sdt>
          </w:p>
        </w:tc>
      </w:tr>
      <w:tr w:rsidR="00DA352E" w:rsidRPr="00DA352E" w14:paraId="1DD59B0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295F49B" w14:textId="0512F9A1" w:rsidR="00DA352E" w:rsidRPr="00DA352E" w:rsidRDefault="00B7063B" w:rsidP="009C70D8">
            <w:pPr>
              <w:pStyle w:val="Tabletextprimarysource"/>
            </w:pPr>
            <w:r>
              <w:t>No report</w:t>
            </w:r>
            <w:r w:rsidR="009C70D8">
              <w:t>.</w:t>
            </w:r>
          </w:p>
        </w:tc>
      </w:tr>
    </w:tbl>
    <w:p w14:paraId="26A82DC9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89"/>
        <w:gridCol w:w="423"/>
        <w:gridCol w:w="661"/>
        <w:gridCol w:w="6453"/>
      </w:tblGrid>
      <w:tr w:rsidR="004966BF" w:rsidRPr="00263255" w14:paraId="288CA79E" w14:textId="77777777" w:rsidTr="006B2DEA">
        <w:trPr>
          <w:cantSplit/>
          <w:trHeight w:val="393"/>
          <w:tblHeader/>
        </w:trPr>
        <w:tc>
          <w:tcPr>
            <w:tcW w:w="1489" w:type="dxa"/>
            <w:shd w:val="clear" w:color="auto" w:fill="BFBFBF" w:themeFill="background1" w:themeFillShade="BF"/>
            <w:vAlign w:val="center"/>
          </w:tcPr>
          <w:p w14:paraId="1CF1493F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6F93A577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0E3FAD2F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3" w:type="dxa"/>
            <w:shd w:val="clear" w:color="auto" w:fill="BFBFBF" w:themeFill="background1" w:themeFillShade="BF"/>
            <w:vAlign w:val="center"/>
          </w:tcPr>
          <w:p w14:paraId="3BE3ADBB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273396B8" w14:textId="77777777" w:rsidTr="006B2DEA">
        <w:trPr>
          <w:cantSplit/>
        </w:trPr>
        <w:tc>
          <w:tcPr>
            <w:tcW w:w="1489" w:type="dxa"/>
          </w:tcPr>
          <w:p w14:paraId="15DB1F39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12498BFA" w14:textId="27F875E4" w:rsidR="004966BF" w:rsidRPr="00CE617F" w:rsidRDefault="0029212A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6B2DEA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2A8BA720" w14:textId="2A2B49FC" w:rsidR="004966BF" w:rsidRPr="004C23F4" w:rsidRDefault="006B2DEA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2015</w:t>
            </w:r>
          </w:p>
        </w:tc>
        <w:tc>
          <w:tcPr>
            <w:tcW w:w="6453" w:type="dxa"/>
          </w:tcPr>
          <w:p w14:paraId="4024975D" w14:textId="5EE64F5E" w:rsidR="006B2DEA" w:rsidRDefault="006B2DEA" w:rsidP="00F33F7D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13-wk inhalation study in rats; exposed 6 h/d, 5 d/wk</w:t>
            </w:r>
            <w:r w:rsidR="00653F0A">
              <w:rPr>
                <w:rStyle w:val="checkbox"/>
                <w:rFonts w:ascii="Arial" w:hAnsi="Arial" w:cs="Arial"/>
              </w:rPr>
              <w:t>: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</w:p>
          <w:p w14:paraId="7594898C" w14:textId="77777777" w:rsidR="004966BF" w:rsidRDefault="006B2DEA" w:rsidP="00F33F7D">
            <w:pPr>
              <w:pStyle w:val="ListBullet"/>
              <w:numPr>
                <w:ilvl w:val="0"/>
                <w:numId w:val="5"/>
              </w:numPr>
              <w:spacing w:before="60" w:after="60"/>
              <w:ind w:left="109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58 ppm </w:t>
            </w:r>
            <w:r w:rsidRPr="006B2DEA">
              <w:rPr>
                <w:rStyle w:val="checkbox"/>
                <w:rFonts w:ascii="Arial" w:hAnsi="Arial" w:cs="Arial"/>
              </w:rPr>
              <w:t>induced erosion of the olfactory epithelium, hyperplasia of basal cells in the olfactory epithelium and loss of Bowman's glands</w:t>
            </w:r>
          </w:p>
          <w:p w14:paraId="22BD334A" w14:textId="447FBFAF" w:rsidR="006B2DEA" w:rsidRDefault="006B2DEA" w:rsidP="00F33F7D">
            <w:pPr>
              <w:pStyle w:val="ListBullet"/>
              <w:numPr>
                <w:ilvl w:val="0"/>
                <w:numId w:val="5"/>
              </w:numPr>
              <w:spacing w:before="60" w:after="60"/>
              <w:ind w:left="109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2 ppm (lowest dose) </w:t>
            </w:r>
            <w:r w:rsidRPr="006B2DEA">
              <w:rPr>
                <w:rStyle w:val="checkbox"/>
                <w:rFonts w:ascii="Arial" w:hAnsi="Arial" w:cs="Arial"/>
              </w:rPr>
              <w:t>minimal atrophy, rosette formation in the nasal epithelium, occasional degenerate cells, loss of Bowman's glands and minimal hyperplasia</w:t>
            </w:r>
          </w:p>
          <w:p w14:paraId="4A973E08" w14:textId="2B764FFC" w:rsidR="006B2DEA" w:rsidRPr="004C23F4" w:rsidRDefault="006B2DEA" w:rsidP="00F33F7D">
            <w:pPr>
              <w:pStyle w:val="ListBullet"/>
              <w:numPr>
                <w:ilvl w:val="0"/>
                <w:numId w:val="6"/>
              </w:numPr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6A351D">
              <w:rPr>
                <w:rFonts w:cs="Arial"/>
              </w:rPr>
              <w:t>The data available support an amendment to the hazard classification in the HSIS</w:t>
            </w:r>
            <w:r w:rsidR="009C70D8" w:rsidRPr="006A351D">
              <w:rPr>
                <w:rFonts w:cs="Arial"/>
              </w:rPr>
              <w:t>.</w:t>
            </w:r>
          </w:p>
        </w:tc>
      </w:tr>
    </w:tbl>
    <w:p w14:paraId="602EF2D4" w14:textId="77777777" w:rsidR="007E2A4B" w:rsidRDefault="007E2A4B"/>
    <w:bookmarkEnd w:id="0"/>
    <w:p w14:paraId="0426A16F" w14:textId="77777777" w:rsidR="007E2A4B" w:rsidRDefault="007E2A4B" w:rsidP="003604E0">
      <w:pPr>
        <w:pStyle w:val="Heading3"/>
        <w:keepNext w:val="0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5020C262" w14:textId="77777777" w:rsidTr="006B2DEA">
        <w:trPr>
          <w:trHeight w:val="454"/>
          <w:tblHeader/>
        </w:trPr>
        <w:tc>
          <w:tcPr>
            <w:tcW w:w="6597" w:type="dxa"/>
            <w:vAlign w:val="center"/>
          </w:tcPr>
          <w:p w14:paraId="590BE0CF" w14:textId="77777777" w:rsidR="002E0D61" w:rsidRDefault="00B1422A" w:rsidP="003604E0">
            <w:pPr>
              <w:pStyle w:val="Tablefont"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37BC5BF6" w14:textId="4289F6C9" w:rsidR="002E0D61" w:rsidRDefault="00082A20" w:rsidP="003604E0">
                <w:pPr>
                  <w:pStyle w:val="Tablefont"/>
                  <w:keepLines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8A36CF" w14:paraId="3325884C" w14:textId="77777777" w:rsidTr="006B2DEA">
        <w:trPr>
          <w:trHeight w:val="454"/>
        </w:trPr>
        <w:tc>
          <w:tcPr>
            <w:tcW w:w="6597" w:type="dxa"/>
            <w:vAlign w:val="center"/>
          </w:tcPr>
          <w:p w14:paraId="13CE1786" w14:textId="77777777" w:rsidR="008A36CF" w:rsidRDefault="008A36CF" w:rsidP="003604E0">
            <w:pPr>
              <w:pStyle w:val="Tablefont"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64693510" w14:textId="6D5BA49A" w:rsidR="008A36CF" w:rsidRDefault="00082A20" w:rsidP="003604E0">
                <w:pPr>
                  <w:pStyle w:val="Tablefont"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50782B8B" w14:textId="77777777" w:rsidTr="006B2DEA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597" w:type="dxa"/>
                <w:vAlign w:val="center"/>
              </w:tcPr>
              <w:p w14:paraId="41EA8B26" w14:textId="17D63F21" w:rsidR="008A36CF" w:rsidRPr="006901A2" w:rsidRDefault="00082A20" w:rsidP="003604E0">
                <w:pPr>
                  <w:pStyle w:val="Tablefont"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  <w:tc>
          <w:tcPr>
            <w:tcW w:w="2429" w:type="dxa"/>
            <w:vAlign w:val="center"/>
          </w:tcPr>
          <w:p w14:paraId="5DE90BD7" w14:textId="77777777" w:rsidR="008A36CF" w:rsidRDefault="008A36CF" w:rsidP="003604E0">
            <w:pPr>
              <w:pStyle w:val="Tablefont"/>
              <w:keepLines/>
              <w:spacing w:before="40" w:after="40"/>
            </w:pPr>
          </w:p>
        </w:tc>
      </w:tr>
    </w:tbl>
    <w:bookmarkEnd w:id="1"/>
    <w:p w14:paraId="3AF1216E" w14:textId="77777777" w:rsidR="00687890" w:rsidRPr="004C23F4" w:rsidRDefault="00B479A9" w:rsidP="00474E33">
      <w:pPr>
        <w:pStyle w:val="Heading2"/>
      </w:pPr>
      <w:r w:rsidRPr="004C23F4">
        <w:lastRenderedPageBreak/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00EB3B79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4F9C4CE1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3A3E3E5D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5AAA8EA5" w14:textId="77777777" w:rsidTr="00812887">
        <w:trPr>
          <w:cantSplit/>
        </w:trPr>
        <w:tc>
          <w:tcPr>
            <w:tcW w:w="3227" w:type="dxa"/>
          </w:tcPr>
          <w:p w14:paraId="5B554196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70C1ECE9" w14:textId="3301CF21" w:rsidR="00687890" w:rsidRPr="00DD2F9B" w:rsidRDefault="00B7063B" w:rsidP="00DD2F9B">
            <w:pPr>
              <w:pStyle w:val="Tablefont"/>
            </w:pPr>
            <w:r w:rsidRPr="00B7063B">
              <w:t>Carc. 2</w:t>
            </w:r>
          </w:p>
        </w:tc>
      </w:tr>
      <w:tr w:rsidR="007925F0" w:rsidRPr="004C23F4" w14:paraId="756DD458" w14:textId="77777777" w:rsidTr="00812887">
        <w:trPr>
          <w:cantSplit/>
        </w:trPr>
        <w:tc>
          <w:tcPr>
            <w:tcW w:w="3227" w:type="dxa"/>
          </w:tcPr>
          <w:p w14:paraId="5C2F2E46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90F2792" w14:textId="570F06C9" w:rsidR="007925F0" w:rsidRPr="00DD2F9B" w:rsidRDefault="00B7063B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7D9C318B" w14:textId="77777777" w:rsidTr="00812887">
        <w:trPr>
          <w:cantSplit/>
        </w:trPr>
        <w:tc>
          <w:tcPr>
            <w:tcW w:w="3227" w:type="dxa"/>
          </w:tcPr>
          <w:p w14:paraId="117818AD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7575D1E" w14:textId="305F7DB1" w:rsidR="00AF483F" w:rsidRPr="00DD2F9B" w:rsidRDefault="00B7063B" w:rsidP="00DD2F9B">
            <w:pPr>
              <w:pStyle w:val="Tablefont"/>
            </w:pPr>
            <w:r w:rsidRPr="00B7063B">
              <w:t>Carc. Cat 3</w:t>
            </w:r>
          </w:p>
        </w:tc>
      </w:tr>
      <w:tr w:rsidR="00687890" w:rsidRPr="004C23F4" w14:paraId="27458706" w14:textId="77777777" w:rsidTr="00812887">
        <w:trPr>
          <w:cantSplit/>
        </w:trPr>
        <w:tc>
          <w:tcPr>
            <w:tcW w:w="3227" w:type="dxa"/>
          </w:tcPr>
          <w:p w14:paraId="6C25A60B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7B5FDA45" w14:textId="1651D667" w:rsidR="00687890" w:rsidRPr="00DD2F9B" w:rsidRDefault="00B7063B" w:rsidP="00DD2F9B">
            <w:pPr>
              <w:pStyle w:val="Tablefont"/>
            </w:pPr>
            <w:r w:rsidRPr="00B7063B">
              <w:t>Carcinogenicity – category 2</w:t>
            </w:r>
          </w:p>
        </w:tc>
      </w:tr>
      <w:tr w:rsidR="00E41A26" w:rsidRPr="004C23F4" w14:paraId="58FAD5C1" w14:textId="77777777" w:rsidTr="00812887">
        <w:trPr>
          <w:cantSplit/>
        </w:trPr>
        <w:tc>
          <w:tcPr>
            <w:tcW w:w="3227" w:type="dxa"/>
          </w:tcPr>
          <w:p w14:paraId="3159B1B2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5902BC33" w14:textId="6261915C" w:rsidR="00E41A26" w:rsidRPr="00DD2F9B" w:rsidRDefault="00B7063B" w:rsidP="00DD2F9B">
            <w:pPr>
              <w:pStyle w:val="Tablefont"/>
            </w:pPr>
            <w:r w:rsidRPr="00B7063B">
              <w:t>Carc. 2</w:t>
            </w:r>
          </w:p>
        </w:tc>
      </w:tr>
      <w:tr w:rsidR="002E0D61" w:rsidRPr="004C23F4" w14:paraId="29F63E42" w14:textId="77777777" w:rsidTr="00812887">
        <w:trPr>
          <w:cantSplit/>
        </w:trPr>
        <w:tc>
          <w:tcPr>
            <w:tcW w:w="3227" w:type="dxa"/>
          </w:tcPr>
          <w:p w14:paraId="29E7362A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2615B610" w14:textId="7E1F7619" w:rsidR="002E0D61" w:rsidRPr="00DD2F9B" w:rsidRDefault="00B7063B" w:rsidP="00DD2F9B">
            <w:pPr>
              <w:pStyle w:val="Tablefont"/>
            </w:pPr>
            <w:r w:rsidRPr="00B7063B">
              <w:t>Carcinogenicity – A3</w:t>
            </w:r>
            <w:r>
              <w:t>, Skin</w:t>
            </w:r>
          </w:p>
        </w:tc>
      </w:tr>
      <w:tr w:rsidR="002E0D61" w:rsidRPr="004C23F4" w14:paraId="3FE542E7" w14:textId="77777777" w:rsidTr="00812887">
        <w:trPr>
          <w:cantSplit/>
        </w:trPr>
        <w:tc>
          <w:tcPr>
            <w:tcW w:w="3227" w:type="dxa"/>
          </w:tcPr>
          <w:p w14:paraId="66BF3786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50C20FCE" w14:textId="41ECA52A" w:rsidR="002E0D61" w:rsidRPr="00DD2F9B" w:rsidRDefault="00B7063B" w:rsidP="00DD2F9B">
            <w:pPr>
              <w:pStyle w:val="Tablefont"/>
            </w:pPr>
            <w:r w:rsidRPr="00B7063B">
              <w:t>Carcinogenicity – 2</w:t>
            </w:r>
            <w:r>
              <w:t xml:space="preserve">, </w:t>
            </w:r>
            <w:r w:rsidRPr="00B7063B">
              <w:t>H (skin)</w:t>
            </w:r>
          </w:p>
        </w:tc>
      </w:tr>
      <w:tr w:rsidR="002E0D61" w:rsidRPr="004C23F4" w14:paraId="39C65CD6" w14:textId="77777777" w:rsidTr="00812887">
        <w:trPr>
          <w:cantSplit/>
        </w:trPr>
        <w:tc>
          <w:tcPr>
            <w:tcW w:w="3227" w:type="dxa"/>
          </w:tcPr>
          <w:p w14:paraId="5944756D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259CAD0" w14:textId="12331042" w:rsidR="002E0D61" w:rsidRPr="00DD2F9B" w:rsidRDefault="0038070C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34B28C06" w14:textId="77777777" w:rsidTr="00812887">
        <w:trPr>
          <w:cantSplit/>
        </w:trPr>
        <w:tc>
          <w:tcPr>
            <w:tcW w:w="3227" w:type="dxa"/>
          </w:tcPr>
          <w:p w14:paraId="09E45E54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1903752A" w14:textId="3076E6D0" w:rsidR="002E0D61" w:rsidRPr="00DD2F9B" w:rsidRDefault="0038070C" w:rsidP="00DD2F9B">
            <w:pPr>
              <w:pStyle w:val="Tablefont"/>
            </w:pPr>
            <w:r w:rsidRPr="0038070C">
              <w:t>Carcinogenicity – category 3</w:t>
            </w:r>
          </w:p>
        </w:tc>
      </w:tr>
      <w:tr w:rsidR="00386093" w:rsidRPr="004C23F4" w14:paraId="064BFB88" w14:textId="77777777" w:rsidTr="00812887">
        <w:trPr>
          <w:cantSplit/>
        </w:trPr>
        <w:tc>
          <w:tcPr>
            <w:tcW w:w="3227" w:type="dxa"/>
          </w:tcPr>
          <w:p w14:paraId="40B28BC2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1CA8798E" w14:textId="35FBEEF2" w:rsidR="00386093" w:rsidRPr="00DD2F9B" w:rsidRDefault="0038070C" w:rsidP="00DD2F9B">
            <w:pPr>
              <w:pStyle w:val="Tablefont"/>
            </w:pPr>
            <w:r w:rsidRPr="0038070C">
              <w:t>Carcinogenicity – Group 2B</w:t>
            </w:r>
          </w:p>
        </w:tc>
      </w:tr>
      <w:tr w:rsidR="00386093" w:rsidRPr="004C23F4" w14:paraId="5F015AEF" w14:textId="77777777" w:rsidTr="00812887">
        <w:trPr>
          <w:cantSplit/>
        </w:trPr>
        <w:tc>
          <w:tcPr>
            <w:tcW w:w="3227" w:type="dxa"/>
          </w:tcPr>
          <w:p w14:paraId="2BFD33B3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2BB522B6" w14:textId="310E2970" w:rsidR="00386093" w:rsidRPr="00DD2F9B" w:rsidRDefault="0038070C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520A7337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75F2F080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419E281A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04015172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0F561503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760" w:type="dxa"/>
              <w:tblLook w:val="04A0" w:firstRow="1" w:lastRow="0" w:firstColumn="1" w:lastColumn="0" w:noHBand="0" w:noVBand="1"/>
            </w:tblPr>
            <w:tblGrid>
              <w:gridCol w:w="3314"/>
              <w:gridCol w:w="976"/>
              <w:gridCol w:w="976"/>
              <w:gridCol w:w="1747"/>
              <w:gridCol w:w="1747"/>
            </w:tblGrid>
            <w:tr w:rsidR="00AF00F6" w:rsidRPr="00AF00F6" w14:paraId="30D5E137" w14:textId="77777777" w:rsidTr="00AF00F6">
              <w:trPr>
                <w:trHeight w:val="342"/>
              </w:trPr>
              <w:tc>
                <w:tcPr>
                  <w:tcW w:w="33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00D8D91" w14:textId="77777777" w:rsidR="00AF00F6" w:rsidRPr="00AF00F6" w:rsidRDefault="00AF00F6" w:rsidP="00AF00F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F00F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2FCBAC9" w14:textId="77777777" w:rsidR="00AF00F6" w:rsidRPr="00AF00F6" w:rsidRDefault="00AF00F6" w:rsidP="00AF00F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F00F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49672F6" w14:textId="77777777" w:rsidR="00AF00F6" w:rsidRPr="00AF00F6" w:rsidRDefault="00AF00F6" w:rsidP="00AF00F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AF00F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7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AC4F4DA" w14:textId="77777777" w:rsidR="00AF00F6" w:rsidRPr="00AF00F6" w:rsidRDefault="00AF00F6" w:rsidP="00AF00F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F00F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7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0F20C7D" w14:textId="77777777" w:rsidR="00AF00F6" w:rsidRPr="00AF00F6" w:rsidRDefault="00AF00F6" w:rsidP="00AF00F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F00F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AF00F6" w:rsidRPr="00AF00F6" w14:paraId="37A2F671" w14:textId="77777777" w:rsidTr="00AF00F6">
              <w:trPr>
                <w:trHeight w:val="342"/>
              </w:trPr>
              <w:tc>
                <w:tcPr>
                  <w:tcW w:w="33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82DD19A" w14:textId="77777777" w:rsidR="00AF00F6" w:rsidRPr="00AF00F6" w:rsidRDefault="00AF00F6" w:rsidP="00AF00F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F00F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AF00F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AF00F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0CEB386" w14:textId="77777777" w:rsidR="00AF00F6" w:rsidRPr="00AF00F6" w:rsidRDefault="00AF00F6" w:rsidP="00AF00F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F00F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4C9E676" w14:textId="77777777" w:rsidR="00AF00F6" w:rsidRPr="00AF00F6" w:rsidRDefault="00AF00F6" w:rsidP="00AF00F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AF00F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7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09AFAFB" w14:textId="77777777" w:rsidR="00AF00F6" w:rsidRPr="00AF00F6" w:rsidRDefault="00AF00F6" w:rsidP="00AF00F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F00F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7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49B5F46" w14:textId="77777777" w:rsidR="00AF00F6" w:rsidRPr="00AF00F6" w:rsidRDefault="00AF00F6" w:rsidP="00AF00F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F00F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AF00F6" w:rsidRPr="00AF00F6" w14:paraId="52D69F7E" w14:textId="77777777" w:rsidTr="00AF00F6">
              <w:trPr>
                <w:trHeight w:val="342"/>
              </w:trPr>
              <w:tc>
                <w:tcPr>
                  <w:tcW w:w="33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1D52A1E" w14:textId="77777777" w:rsidR="00AF00F6" w:rsidRPr="00AF00F6" w:rsidRDefault="00AF00F6" w:rsidP="00AF00F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F00F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9BD64F0" w14:textId="77777777" w:rsidR="00AF00F6" w:rsidRPr="00AF00F6" w:rsidRDefault="00AF00F6" w:rsidP="00AF00F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F00F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1D63331" w14:textId="77777777" w:rsidR="00AF00F6" w:rsidRPr="00AF00F6" w:rsidRDefault="00AF00F6" w:rsidP="00AF00F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AF00F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7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176ADC7" w14:textId="77777777" w:rsidR="00AF00F6" w:rsidRPr="00AF00F6" w:rsidRDefault="00AF00F6" w:rsidP="00AF00F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F00F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7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0F57001" w14:textId="77777777" w:rsidR="00AF00F6" w:rsidRPr="00AF00F6" w:rsidRDefault="00AF00F6" w:rsidP="00AF00F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F00F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AF00F6" w:rsidRPr="00AF00F6" w14:paraId="75E51AE0" w14:textId="77777777" w:rsidTr="00AF00F6">
              <w:trPr>
                <w:trHeight w:val="342"/>
              </w:trPr>
              <w:tc>
                <w:tcPr>
                  <w:tcW w:w="33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EB18968" w14:textId="77777777" w:rsidR="00AF00F6" w:rsidRPr="00AF00F6" w:rsidRDefault="00AF00F6" w:rsidP="00AF00F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F00F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AF00F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AF00F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AF00F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AF00F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BF10C15" w14:textId="77777777" w:rsidR="00AF00F6" w:rsidRPr="00AF00F6" w:rsidRDefault="00AF00F6" w:rsidP="00AF00F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F00F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9696F65" w14:textId="77777777" w:rsidR="00AF00F6" w:rsidRPr="00AF00F6" w:rsidRDefault="00AF00F6" w:rsidP="00AF00F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AF00F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7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CE379DD" w14:textId="77777777" w:rsidR="00AF00F6" w:rsidRPr="00AF00F6" w:rsidRDefault="00AF00F6" w:rsidP="00AF00F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F00F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7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DC6FD03" w14:textId="77777777" w:rsidR="00AF00F6" w:rsidRPr="00AF00F6" w:rsidRDefault="00AF00F6" w:rsidP="00AF00F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F00F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AF00F6" w:rsidRPr="00AF00F6" w14:paraId="13101874" w14:textId="77777777" w:rsidTr="00AF00F6">
              <w:trPr>
                <w:trHeight w:val="342"/>
              </w:trPr>
              <w:tc>
                <w:tcPr>
                  <w:tcW w:w="33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1450BD1" w14:textId="77777777" w:rsidR="00AF00F6" w:rsidRPr="00AF00F6" w:rsidRDefault="00AF00F6" w:rsidP="00AF00F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AF00F6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AF00F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0E3484A" w14:textId="77777777" w:rsidR="00AF00F6" w:rsidRPr="00AF00F6" w:rsidRDefault="00AF00F6" w:rsidP="00AF00F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F00F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A58FFFF" w14:textId="77777777" w:rsidR="00AF00F6" w:rsidRPr="00AF00F6" w:rsidRDefault="00AF00F6" w:rsidP="00AF00F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AF00F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7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361AD8F" w14:textId="77777777" w:rsidR="00AF00F6" w:rsidRPr="00AF00F6" w:rsidRDefault="00AF00F6" w:rsidP="00AF00F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F00F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7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54C16B6" w14:textId="77777777" w:rsidR="00AF00F6" w:rsidRPr="00AF00F6" w:rsidRDefault="00AF00F6" w:rsidP="00AF00F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F00F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AF00F6" w:rsidRPr="00AF00F6" w14:paraId="75AA0891" w14:textId="77777777" w:rsidTr="00AF00F6">
              <w:trPr>
                <w:trHeight w:val="342"/>
              </w:trPr>
              <w:tc>
                <w:tcPr>
                  <w:tcW w:w="33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B86CB24" w14:textId="77777777" w:rsidR="00AF00F6" w:rsidRPr="00AF00F6" w:rsidRDefault="00AF00F6" w:rsidP="00AF00F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F00F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2D2C1C57" w14:textId="77777777" w:rsidR="00AF00F6" w:rsidRPr="00AF00F6" w:rsidRDefault="00AF00F6" w:rsidP="00AF00F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AF00F6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047FD9D" w14:textId="77777777" w:rsidR="00AF00F6" w:rsidRPr="00AF00F6" w:rsidRDefault="00AF00F6" w:rsidP="00AF00F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AF00F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2.00</w:t>
                  </w:r>
                </w:p>
              </w:tc>
              <w:tc>
                <w:tcPr>
                  <w:tcW w:w="17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4D938DE" w14:textId="77777777" w:rsidR="00AF00F6" w:rsidRPr="00AF00F6" w:rsidRDefault="00AF00F6" w:rsidP="00AF00F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F00F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7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C676568" w14:textId="77777777" w:rsidR="00AF00F6" w:rsidRPr="00AF00F6" w:rsidRDefault="00AF00F6" w:rsidP="00AF00F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F00F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AF00F6" w:rsidRPr="00AF00F6" w14:paraId="01F55771" w14:textId="77777777" w:rsidTr="00AF00F6">
              <w:trPr>
                <w:trHeight w:val="342"/>
              </w:trPr>
              <w:tc>
                <w:tcPr>
                  <w:tcW w:w="33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7178EF3" w14:textId="77777777" w:rsidR="00AF00F6" w:rsidRPr="00AF00F6" w:rsidRDefault="00AF00F6" w:rsidP="00AF00F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F00F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DD3C5E2" w14:textId="77777777" w:rsidR="00AF00F6" w:rsidRPr="00AF00F6" w:rsidRDefault="00AF00F6" w:rsidP="00AF00F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F00F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05B657D" w14:textId="77777777" w:rsidR="00AF00F6" w:rsidRPr="00AF00F6" w:rsidRDefault="00AF00F6" w:rsidP="00AF00F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AF00F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2</w:t>
                  </w:r>
                </w:p>
              </w:tc>
              <w:tc>
                <w:tcPr>
                  <w:tcW w:w="349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D5145F4" w14:textId="77777777" w:rsidR="00AF00F6" w:rsidRPr="00AF00F6" w:rsidRDefault="00AF00F6" w:rsidP="00AF00F6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AF00F6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insufficient data to assign a skin notation</w:t>
                  </w:r>
                </w:p>
              </w:tc>
            </w:tr>
          </w:tbl>
          <w:p w14:paraId="6B75554B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7470C3D1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5BE5BF4B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25151DD1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6259C30" w14:textId="7D06D4EB" w:rsidR="00EB3D1B" w:rsidRDefault="0038070C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17E882A1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0D36852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DE820EC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5D43CDAE" w14:textId="57D8A9D2" w:rsidR="001B79E5" w:rsidRDefault="0038070C" w:rsidP="001B79E5">
                <w:pPr>
                  <w:pStyle w:val="Tablefont"/>
                </w:pPr>
                <w:r w:rsidRPr="0038070C">
                  <w:t>128.17</w:t>
                </w:r>
              </w:p>
            </w:tc>
          </w:sdtContent>
        </w:sdt>
      </w:tr>
      <w:tr w:rsidR="00A31D99" w:rsidRPr="004C23F4" w14:paraId="29646601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F9EBCB9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07BAEEB6" w14:textId="2B727E1C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38070C">
                  <w:t>5.24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38070C">
                  <w:t>0.191</w:t>
                </w:r>
              </w:sdtContent>
            </w:sdt>
            <w:r w:rsidRPr="0038070C">
              <w:t xml:space="preserve"> </w:t>
            </w:r>
            <w:r>
              <w:t>ppm</w:t>
            </w:r>
          </w:p>
        </w:tc>
      </w:tr>
      <w:tr w:rsidR="00687890" w:rsidRPr="004C23F4" w14:paraId="10720F9E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BA9FC73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3467137" w14:textId="0B82FF24" w:rsidR="00687890" w:rsidRPr="004C23F4" w:rsidRDefault="00F62EE2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60E55A52" w14:textId="77777777" w:rsidTr="00EA6243">
        <w:trPr>
          <w:cantSplit/>
        </w:trPr>
        <w:tc>
          <w:tcPr>
            <w:tcW w:w="4077" w:type="dxa"/>
            <w:vAlign w:val="center"/>
          </w:tcPr>
          <w:p w14:paraId="02CDE290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F7970B3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C7DD17A" w14:textId="77777777" w:rsidTr="00EA6243">
        <w:trPr>
          <w:cantSplit/>
        </w:trPr>
        <w:tc>
          <w:tcPr>
            <w:tcW w:w="4077" w:type="dxa"/>
            <w:vAlign w:val="center"/>
          </w:tcPr>
          <w:p w14:paraId="59C6DDB8" w14:textId="77777777" w:rsidR="00687890" w:rsidRPr="00263255" w:rsidRDefault="00687890" w:rsidP="00263255">
            <w:pPr>
              <w:pStyle w:val="Tablefont"/>
            </w:pPr>
            <w:r w:rsidRPr="00263255">
              <w:lastRenderedPageBreak/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D34C532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1EE43107" w14:textId="77777777" w:rsidTr="00EA6243">
        <w:trPr>
          <w:cantSplit/>
        </w:trPr>
        <w:tc>
          <w:tcPr>
            <w:tcW w:w="4077" w:type="dxa"/>
            <w:vAlign w:val="center"/>
          </w:tcPr>
          <w:p w14:paraId="71DA05A4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541759FD" w14:textId="4CB2B69E" w:rsidR="00E06F40" w:rsidRPr="00A006A0" w:rsidRDefault="0029212A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0638F1">
                  <w:sym w:font="Wingdings" w:char="F0FC"/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0638F1">
                  <w:sym w:font="Wingdings" w:char="F0FC"/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3339A585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7A125700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458FC03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6CD390C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66260FFB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2CA08C71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638A531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5D3FFF73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7B37D4DC" w14:textId="4E447F61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1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4D7845B" w14:textId="7D680F02" w:rsidR="0038070C" w:rsidRDefault="0038070C" w:rsidP="00084859">
      <w:r w:rsidRPr="002022B6">
        <w:t>Deutsche Forschungsgemeinschaft (DFG)</w:t>
      </w:r>
      <w:r>
        <w:t xml:space="preserve"> (201</w:t>
      </w:r>
      <w:r w:rsidR="002F14E1">
        <w:t>5</w:t>
      </w:r>
      <w:r>
        <w:t xml:space="preserve">) </w:t>
      </w:r>
      <w:r w:rsidRPr="0038070C">
        <w:t>Naphthalene</w:t>
      </w:r>
      <w:r>
        <w:t xml:space="preserve"> – MAK value documentation.</w:t>
      </w:r>
    </w:p>
    <w:p w14:paraId="1EFAED69" w14:textId="657B033E" w:rsidR="0038070C" w:rsidRDefault="0038070C" w:rsidP="00084859">
      <w:r>
        <w:t xml:space="preserve">European Chemicals Agency (ECHA) (2019) </w:t>
      </w:r>
      <w:r w:rsidRPr="0038070C">
        <w:t>Naphthalene</w:t>
      </w:r>
      <w:r>
        <w:t xml:space="preserve"> – REACH assessment.</w:t>
      </w:r>
    </w:p>
    <w:p w14:paraId="0ECA7DEF" w14:textId="3BC5F0B7" w:rsidR="0038070C" w:rsidRDefault="0038070C" w:rsidP="00084859">
      <w:r w:rsidRPr="002022B6">
        <w:t>EU Scientific Committee on Occupational Exposure Limits (SCOEL)</w:t>
      </w:r>
      <w:r>
        <w:t xml:space="preserve"> (</w:t>
      </w:r>
      <w:r w:rsidRPr="0038070C">
        <w:t>2010</w:t>
      </w:r>
      <w:r>
        <w:t xml:space="preserve">) Recommendation from the Scientific Committee on Occupational Exposure Limits for </w:t>
      </w:r>
      <w:r w:rsidRPr="0038070C">
        <w:t>naphthalene</w:t>
      </w:r>
      <w:r>
        <w:t>. SCOEL/</w:t>
      </w:r>
      <w:r w:rsidRPr="0038070C">
        <w:t>SUM/90</w:t>
      </w:r>
      <w:r>
        <w:t>.</w:t>
      </w:r>
    </w:p>
    <w:p w14:paraId="5736A2C5" w14:textId="0BEF2B6E" w:rsidR="0038070C" w:rsidRDefault="0038070C" w:rsidP="00084859">
      <w:r w:rsidRPr="002022B6">
        <w:t>Health Council of the Netherlands</w:t>
      </w:r>
      <w:r>
        <w:t xml:space="preserve"> (HCOTN) (2012) </w:t>
      </w:r>
      <w:r w:rsidRPr="0038070C">
        <w:t>Naphthalene</w:t>
      </w:r>
      <w:r w:rsidRPr="005F7416">
        <w:t xml:space="preserve">. Health-based calculated occupational cancer risk values. The Hague: Health Council of the Netherlands; publication no. </w:t>
      </w:r>
      <w:r w:rsidRPr="0038070C">
        <w:t>2012/30</w:t>
      </w:r>
      <w:r>
        <w:t>.</w:t>
      </w:r>
    </w:p>
    <w:p w14:paraId="7131065C" w14:textId="6872F273" w:rsidR="0038070C" w:rsidRDefault="0038070C" w:rsidP="00084859">
      <w:r w:rsidRPr="002022B6">
        <w:t>International Agency for Research on Cancer</w:t>
      </w:r>
      <w:r>
        <w:t xml:space="preserve"> (IARC) (</w:t>
      </w:r>
      <w:r w:rsidRPr="0038070C">
        <w:t>2002</w:t>
      </w:r>
      <w:r>
        <w:t xml:space="preserve">) </w:t>
      </w:r>
      <w:r w:rsidRPr="0038070C">
        <w:t>Naphthalene</w:t>
      </w:r>
      <w:r>
        <w:t>. IARC Monographs on the evaluation of the carcinogenic risk to humans.</w:t>
      </w:r>
    </w:p>
    <w:p w14:paraId="09B9308D" w14:textId="7D926B8E" w:rsidR="0038070C" w:rsidRDefault="0038070C" w:rsidP="00084859">
      <w:r w:rsidRPr="002022B6">
        <w:t>National Industrial Chemicals Notification and Assessment Scheme (NICNAS)</w:t>
      </w:r>
      <w:r>
        <w:t xml:space="preserve"> (</w:t>
      </w:r>
      <w:r w:rsidRPr="0038070C">
        <w:t>2015</w:t>
      </w:r>
      <w:r>
        <w:t xml:space="preserve">) </w:t>
      </w:r>
      <w:r w:rsidRPr="0038070C">
        <w:t>Naphthalene</w:t>
      </w:r>
      <w:r w:rsidRPr="0071660C">
        <w:t xml:space="preserve">: Human health </w:t>
      </w:r>
      <w:r w:rsidRPr="0038070C">
        <w:t>tier II</w:t>
      </w:r>
      <w:r>
        <w:t xml:space="preserve"> </w:t>
      </w:r>
      <w:r w:rsidRPr="0071660C">
        <w:t>assessment</w:t>
      </w:r>
      <w:r>
        <w:t xml:space="preserve"> – IMAP report.</w:t>
      </w:r>
    </w:p>
    <w:p w14:paraId="5869C19F" w14:textId="77777777" w:rsidR="009C70D8" w:rsidRDefault="009C70D8" w:rsidP="009C70D8">
      <w:r w:rsidRPr="0035432C">
        <w:t>Tenth Adaptation to Technical Progress Commission Regulation (EU) No 2017/776 amending, for the purposes of its adaptation to technical and scientific progress, Regulation (EC) No 1272/2008 of the European Parliament and of the Council on classification, labelling and packaging of substances and mixtures (the CLP Regulation).</w:t>
      </w:r>
    </w:p>
    <w:p w14:paraId="757F1F51" w14:textId="5142C678" w:rsidR="0038070C" w:rsidRPr="00351FE0" w:rsidRDefault="0038070C" w:rsidP="00084859">
      <w:r w:rsidRPr="00D86E03">
        <w:t>US National Institute for Occupational Safety and Health (NIOSH)</w:t>
      </w:r>
      <w:r>
        <w:t xml:space="preserve"> (</w:t>
      </w:r>
      <w:r w:rsidRPr="0038070C">
        <w:t>1994</w:t>
      </w:r>
      <w:r>
        <w:t xml:space="preserve">) Immediately dangerous to life or health concentrations – </w:t>
      </w:r>
      <w:r w:rsidRPr="0038070C">
        <w:t>Naphthalene</w:t>
      </w:r>
      <w:r>
        <w:t>.</w:t>
      </w:r>
    </w:p>
    <w:sectPr w:rsidR="0038070C" w:rsidRPr="00351FE0" w:rsidSect="002F14E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CBF4BE" w14:textId="77777777" w:rsidR="00DD2FB6" w:rsidRDefault="00DD2FB6" w:rsidP="00F43AD5">
      <w:pPr>
        <w:spacing w:after="0" w:line="240" w:lineRule="auto"/>
      </w:pPr>
      <w:r>
        <w:separator/>
      </w:r>
    </w:p>
  </w:endnote>
  <w:endnote w:type="continuationSeparator" w:id="0">
    <w:p w14:paraId="2BEBAD41" w14:textId="77777777" w:rsidR="00DD2FB6" w:rsidRDefault="00DD2FB6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A78DC" w14:textId="77777777" w:rsidR="00124B62" w:rsidRDefault="00124B6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39A67" w14:textId="237D76A2" w:rsidR="002F14E1" w:rsidRDefault="000638F1" w:rsidP="002F14E1">
    <w:pPr>
      <w:pStyle w:val="Footer"/>
      <w:jc w:val="right"/>
      <w:rPr>
        <w:sz w:val="18"/>
        <w:szCs w:val="18"/>
      </w:rPr>
    </w:pPr>
    <w:r>
      <w:rPr>
        <w:b/>
        <w:sz w:val="18"/>
        <w:szCs w:val="18"/>
      </w:rPr>
      <w:t>Naphthalene (91-20-3)</w:t>
    </w:r>
    <w:r w:rsidR="002F14E1">
      <w:rPr>
        <w:b/>
        <w:sz w:val="18"/>
        <w:szCs w:val="18"/>
      </w:rPr>
      <w:tab/>
    </w:r>
    <w:r w:rsidR="002F14E1">
      <w:rPr>
        <w:b/>
        <w:sz w:val="18"/>
        <w:szCs w:val="18"/>
      </w:rPr>
      <w:tab/>
    </w:r>
    <w:r w:rsidR="002F14E1">
      <w:rPr>
        <w:sz w:val="18"/>
        <w:szCs w:val="18"/>
      </w:rPr>
      <w:fldChar w:fldCharType="begin"/>
    </w:r>
    <w:r w:rsidR="002F14E1">
      <w:rPr>
        <w:sz w:val="18"/>
        <w:szCs w:val="18"/>
      </w:rPr>
      <w:instrText xml:space="preserve"> PAGE   \* MERGEFORMAT </w:instrText>
    </w:r>
    <w:r w:rsidR="002F14E1">
      <w:rPr>
        <w:sz w:val="18"/>
        <w:szCs w:val="18"/>
      </w:rPr>
      <w:fldChar w:fldCharType="separate"/>
    </w:r>
    <w:r w:rsidR="00124B62">
      <w:rPr>
        <w:noProof/>
        <w:sz w:val="18"/>
        <w:szCs w:val="18"/>
      </w:rPr>
      <w:t>2</w:t>
    </w:r>
    <w:r w:rsidR="002F14E1">
      <w:rPr>
        <w:noProof/>
        <w:sz w:val="18"/>
        <w:szCs w:val="18"/>
      </w:rPr>
      <w:fldChar w:fldCharType="end"/>
    </w:r>
  </w:p>
  <w:p w14:paraId="45BBD30C" w14:textId="6D4F1850" w:rsidR="000638F1" w:rsidRDefault="000638F1" w:rsidP="000638F1">
    <w:pPr>
      <w:pStyle w:val="Footer"/>
      <w:rPr>
        <w:sz w:val="18"/>
        <w:szCs w:val="18"/>
      </w:rPr>
    </w:pPr>
    <w:r>
      <w:rPr>
        <w:sz w:val="18"/>
        <w:szCs w:val="18"/>
      </w:rPr>
      <w:t xml:space="preserve">Safe Work Australia </w:t>
    </w:r>
    <w:r>
      <w:rPr>
        <w:rFonts w:ascii="Courier New" w:hAnsi="Courier New" w:cs="Courier New"/>
        <w:sz w:val="18"/>
        <w:szCs w:val="18"/>
      </w:rPr>
      <w:t>—</w:t>
    </w:r>
    <w:r>
      <w:rPr>
        <w:sz w:val="18"/>
        <w:szCs w:val="18"/>
      </w:rPr>
      <w:t xml:space="preserve"> 2020</w:t>
    </w:r>
  </w:p>
  <w:p w14:paraId="2C2CCB51" w14:textId="77777777" w:rsidR="000638F1" w:rsidRDefault="000638F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F0438F" w14:textId="2E13054D" w:rsidR="002F14E1" w:rsidRDefault="002F14E1" w:rsidP="002F14E1">
    <w:pPr>
      <w:pStyle w:val="Footer"/>
      <w:jc w:val="right"/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 \* MERGEFORMAT </w:instrText>
    </w:r>
    <w:r>
      <w:rPr>
        <w:sz w:val="18"/>
        <w:szCs w:val="18"/>
      </w:rPr>
      <w:fldChar w:fldCharType="separate"/>
    </w:r>
    <w:r w:rsidR="00124B62">
      <w:rPr>
        <w:noProof/>
        <w:sz w:val="18"/>
        <w:szCs w:val="18"/>
      </w:rPr>
      <w:t>1</w:t>
    </w:r>
    <w:r>
      <w:rPr>
        <w:noProof/>
        <w:sz w:val="18"/>
        <w:szCs w:val="18"/>
      </w:rPr>
      <w:fldChar w:fldCharType="end"/>
    </w:r>
  </w:p>
  <w:p w14:paraId="3C307F05" w14:textId="77777777" w:rsidR="002F14E1" w:rsidRDefault="002F14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506823" w14:textId="77777777" w:rsidR="00DD2FB6" w:rsidRDefault="00DD2FB6" w:rsidP="00F43AD5">
      <w:pPr>
        <w:spacing w:after="0" w:line="240" w:lineRule="auto"/>
      </w:pPr>
      <w:r>
        <w:separator/>
      </w:r>
    </w:p>
  </w:footnote>
  <w:footnote w:type="continuationSeparator" w:id="0">
    <w:p w14:paraId="0542C3DE" w14:textId="77777777" w:rsidR="00DD2FB6" w:rsidRDefault="00DD2FB6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920006" w14:textId="2559767F" w:rsidR="00124B62" w:rsidRDefault="00124B6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517C8" w14:textId="74239A95" w:rsidR="008A36CF" w:rsidRDefault="00124B62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7946EA62" wp14:editId="309AB63A">
          <wp:extent cx="2938780" cy="59753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8780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47056" w14:textId="1451E8B7" w:rsidR="000638F1" w:rsidRDefault="002F14E1" w:rsidP="002F14E1">
    <w:pPr>
      <w:pStyle w:val="Header"/>
      <w:jc w:val="right"/>
    </w:pPr>
    <w:r>
      <w:rPr>
        <w:noProof/>
        <w:lang w:eastAsia="en-AU"/>
      </w:rPr>
      <w:drawing>
        <wp:inline distT="0" distB="0" distL="0" distR="0" wp14:anchorId="4AC20FB8" wp14:editId="4CD2A976">
          <wp:extent cx="2938780" cy="59753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8780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086AEB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08244D1"/>
    <w:multiLevelType w:val="hybridMultilevel"/>
    <w:tmpl w:val="8C88A5C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D182D23"/>
    <w:multiLevelType w:val="hybridMultilevel"/>
    <w:tmpl w:val="C536641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A9E251E"/>
    <w:multiLevelType w:val="hybridMultilevel"/>
    <w:tmpl w:val="5BCE49C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0392A3D"/>
    <w:multiLevelType w:val="hybridMultilevel"/>
    <w:tmpl w:val="446A275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430130026">
    <w:abstractNumId w:val="0"/>
  </w:num>
  <w:num w:numId="2" w16cid:durableId="945308456">
    <w:abstractNumId w:val="0"/>
  </w:num>
  <w:num w:numId="3" w16cid:durableId="380252530">
    <w:abstractNumId w:val="2"/>
  </w:num>
  <w:num w:numId="4" w16cid:durableId="1580401564">
    <w:abstractNumId w:val="1"/>
  </w:num>
  <w:num w:numId="5" w16cid:durableId="751970119">
    <w:abstractNumId w:val="3"/>
  </w:num>
  <w:num w:numId="6" w16cid:durableId="3211266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819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38F1"/>
    <w:rsid w:val="00067F32"/>
    <w:rsid w:val="00071807"/>
    <w:rsid w:val="000803E1"/>
    <w:rsid w:val="00081E93"/>
    <w:rsid w:val="00082A20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34D5"/>
    <w:rsid w:val="0010461E"/>
    <w:rsid w:val="00106D46"/>
    <w:rsid w:val="00106FAA"/>
    <w:rsid w:val="00113443"/>
    <w:rsid w:val="00124B62"/>
    <w:rsid w:val="001269A7"/>
    <w:rsid w:val="00131092"/>
    <w:rsid w:val="001404A5"/>
    <w:rsid w:val="00140E6A"/>
    <w:rsid w:val="00146545"/>
    <w:rsid w:val="00146B75"/>
    <w:rsid w:val="0015266D"/>
    <w:rsid w:val="0015288A"/>
    <w:rsid w:val="00160F47"/>
    <w:rsid w:val="0017271D"/>
    <w:rsid w:val="00177CA1"/>
    <w:rsid w:val="00183823"/>
    <w:rsid w:val="00183942"/>
    <w:rsid w:val="001958C6"/>
    <w:rsid w:val="001A009E"/>
    <w:rsid w:val="001A1287"/>
    <w:rsid w:val="001A3859"/>
    <w:rsid w:val="001A3C9D"/>
    <w:rsid w:val="001A43F8"/>
    <w:rsid w:val="001A72D6"/>
    <w:rsid w:val="001B5C32"/>
    <w:rsid w:val="001B79E5"/>
    <w:rsid w:val="001C6784"/>
    <w:rsid w:val="001D56F0"/>
    <w:rsid w:val="001D663B"/>
    <w:rsid w:val="001D7B41"/>
    <w:rsid w:val="001E362F"/>
    <w:rsid w:val="001E3BF4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2E61"/>
    <w:rsid w:val="00276494"/>
    <w:rsid w:val="00277B0C"/>
    <w:rsid w:val="002850BB"/>
    <w:rsid w:val="0029212A"/>
    <w:rsid w:val="002B1A2C"/>
    <w:rsid w:val="002C34F2"/>
    <w:rsid w:val="002C58FF"/>
    <w:rsid w:val="002C7AFE"/>
    <w:rsid w:val="002D05D2"/>
    <w:rsid w:val="002E0D61"/>
    <w:rsid w:val="002E4C7B"/>
    <w:rsid w:val="002F14E1"/>
    <w:rsid w:val="00301C60"/>
    <w:rsid w:val="00303F44"/>
    <w:rsid w:val="0030740C"/>
    <w:rsid w:val="00311A70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04E0"/>
    <w:rsid w:val="00362895"/>
    <w:rsid w:val="00370DBF"/>
    <w:rsid w:val="0038070C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4522"/>
    <w:rsid w:val="003E51FB"/>
    <w:rsid w:val="003E6B39"/>
    <w:rsid w:val="003F03C0"/>
    <w:rsid w:val="003F07E1"/>
    <w:rsid w:val="003F2191"/>
    <w:rsid w:val="004030BC"/>
    <w:rsid w:val="00403F7D"/>
    <w:rsid w:val="00406785"/>
    <w:rsid w:val="004079B4"/>
    <w:rsid w:val="00417A56"/>
    <w:rsid w:val="00420957"/>
    <w:rsid w:val="00421630"/>
    <w:rsid w:val="00422A10"/>
    <w:rsid w:val="00427489"/>
    <w:rsid w:val="00430179"/>
    <w:rsid w:val="00432265"/>
    <w:rsid w:val="00436139"/>
    <w:rsid w:val="004414B5"/>
    <w:rsid w:val="00444482"/>
    <w:rsid w:val="00444B42"/>
    <w:rsid w:val="00445E44"/>
    <w:rsid w:val="00447C8D"/>
    <w:rsid w:val="004509E2"/>
    <w:rsid w:val="00450C3F"/>
    <w:rsid w:val="004515EE"/>
    <w:rsid w:val="004529F0"/>
    <w:rsid w:val="0045375D"/>
    <w:rsid w:val="00460A03"/>
    <w:rsid w:val="00472A11"/>
    <w:rsid w:val="00472AAD"/>
    <w:rsid w:val="00474E33"/>
    <w:rsid w:val="00476803"/>
    <w:rsid w:val="00485BFD"/>
    <w:rsid w:val="00485CAC"/>
    <w:rsid w:val="004867A2"/>
    <w:rsid w:val="004873F2"/>
    <w:rsid w:val="00490D4C"/>
    <w:rsid w:val="004933F7"/>
    <w:rsid w:val="00493A35"/>
    <w:rsid w:val="0049527A"/>
    <w:rsid w:val="004966BF"/>
    <w:rsid w:val="00497984"/>
    <w:rsid w:val="004A5088"/>
    <w:rsid w:val="004A6261"/>
    <w:rsid w:val="004B2441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154D2"/>
    <w:rsid w:val="005272E2"/>
    <w:rsid w:val="00527382"/>
    <w:rsid w:val="0053108F"/>
    <w:rsid w:val="00532B56"/>
    <w:rsid w:val="00534B10"/>
    <w:rsid w:val="00535C2E"/>
    <w:rsid w:val="00536D78"/>
    <w:rsid w:val="00541B20"/>
    <w:rsid w:val="005446A2"/>
    <w:rsid w:val="00544D2F"/>
    <w:rsid w:val="00551BD8"/>
    <w:rsid w:val="00573F26"/>
    <w:rsid w:val="00581055"/>
    <w:rsid w:val="005910A8"/>
    <w:rsid w:val="00591E38"/>
    <w:rsid w:val="005A19C5"/>
    <w:rsid w:val="005A3034"/>
    <w:rsid w:val="005A32B9"/>
    <w:rsid w:val="005A462D"/>
    <w:rsid w:val="005B253B"/>
    <w:rsid w:val="005B771D"/>
    <w:rsid w:val="005C5D16"/>
    <w:rsid w:val="005D211B"/>
    <w:rsid w:val="005D3193"/>
    <w:rsid w:val="005D4A6E"/>
    <w:rsid w:val="005E1C68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457AE"/>
    <w:rsid w:val="00650905"/>
    <w:rsid w:val="006532ED"/>
    <w:rsid w:val="00653F0A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A351D"/>
    <w:rsid w:val="006A56BB"/>
    <w:rsid w:val="006B160A"/>
    <w:rsid w:val="006B2DEA"/>
    <w:rsid w:val="006B4E6C"/>
    <w:rsid w:val="006B50B6"/>
    <w:rsid w:val="006B7036"/>
    <w:rsid w:val="006C6146"/>
    <w:rsid w:val="006D79EA"/>
    <w:rsid w:val="006E5D05"/>
    <w:rsid w:val="006F09D3"/>
    <w:rsid w:val="00701053"/>
    <w:rsid w:val="00701507"/>
    <w:rsid w:val="00712A65"/>
    <w:rsid w:val="00714021"/>
    <w:rsid w:val="00716A0F"/>
    <w:rsid w:val="00717D45"/>
    <w:rsid w:val="007208F7"/>
    <w:rsid w:val="007218AF"/>
    <w:rsid w:val="00723BA4"/>
    <w:rsid w:val="007365D1"/>
    <w:rsid w:val="00740E0E"/>
    <w:rsid w:val="00750212"/>
    <w:rsid w:val="00754779"/>
    <w:rsid w:val="007564D5"/>
    <w:rsid w:val="0075716D"/>
    <w:rsid w:val="00765F14"/>
    <w:rsid w:val="00770E31"/>
    <w:rsid w:val="007770F1"/>
    <w:rsid w:val="00783AE4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AB2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4D8A"/>
    <w:rsid w:val="0088798F"/>
    <w:rsid w:val="00887E4B"/>
    <w:rsid w:val="008915C8"/>
    <w:rsid w:val="008A36CF"/>
    <w:rsid w:val="008A3BC4"/>
    <w:rsid w:val="008B403C"/>
    <w:rsid w:val="008B7983"/>
    <w:rsid w:val="008C2511"/>
    <w:rsid w:val="008C5606"/>
    <w:rsid w:val="008D026D"/>
    <w:rsid w:val="008D23AB"/>
    <w:rsid w:val="008D4B8B"/>
    <w:rsid w:val="008D5A78"/>
    <w:rsid w:val="008E7B64"/>
    <w:rsid w:val="008F49C3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640EE"/>
    <w:rsid w:val="00970AC7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C70D8"/>
    <w:rsid w:val="009C7BDA"/>
    <w:rsid w:val="009D381F"/>
    <w:rsid w:val="009D3B5A"/>
    <w:rsid w:val="009D79AC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369A6"/>
    <w:rsid w:val="00A402A3"/>
    <w:rsid w:val="00A45C6B"/>
    <w:rsid w:val="00A53681"/>
    <w:rsid w:val="00A615D6"/>
    <w:rsid w:val="00A633D4"/>
    <w:rsid w:val="00A6461A"/>
    <w:rsid w:val="00A84504"/>
    <w:rsid w:val="00A8672F"/>
    <w:rsid w:val="00A93057"/>
    <w:rsid w:val="00A95FE4"/>
    <w:rsid w:val="00A968B0"/>
    <w:rsid w:val="00AA1DA2"/>
    <w:rsid w:val="00AB2672"/>
    <w:rsid w:val="00AB2817"/>
    <w:rsid w:val="00AB2C69"/>
    <w:rsid w:val="00AB43C4"/>
    <w:rsid w:val="00AC32E7"/>
    <w:rsid w:val="00AC3A9F"/>
    <w:rsid w:val="00AC6D2F"/>
    <w:rsid w:val="00AE2745"/>
    <w:rsid w:val="00AE2F64"/>
    <w:rsid w:val="00AF00F6"/>
    <w:rsid w:val="00AF42CB"/>
    <w:rsid w:val="00AF483F"/>
    <w:rsid w:val="00AF4B24"/>
    <w:rsid w:val="00AF5E07"/>
    <w:rsid w:val="00AF5F06"/>
    <w:rsid w:val="00B00A25"/>
    <w:rsid w:val="00B0207D"/>
    <w:rsid w:val="00B1422A"/>
    <w:rsid w:val="00B16464"/>
    <w:rsid w:val="00B1765C"/>
    <w:rsid w:val="00B213C4"/>
    <w:rsid w:val="00B40C60"/>
    <w:rsid w:val="00B479A9"/>
    <w:rsid w:val="00B52EDF"/>
    <w:rsid w:val="00B57D07"/>
    <w:rsid w:val="00B7063B"/>
    <w:rsid w:val="00B71188"/>
    <w:rsid w:val="00B76A41"/>
    <w:rsid w:val="00B87D4C"/>
    <w:rsid w:val="00B93646"/>
    <w:rsid w:val="00BA0B38"/>
    <w:rsid w:val="00BA1DBB"/>
    <w:rsid w:val="00BA4015"/>
    <w:rsid w:val="00BA4510"/>
    <w:rsid w:val="00BA529A"/>
    <w:rsid w:val="00BB2154"/>
    <w:rsid w:val="00BB612A"/>
    <w:rsid w:val="00BD499F"/>
    <w:rsid w:val="00BD56DE"/>
    <w:rsid w:val="00BD6115"/>
    <w:rsid w:val="00BE5FDF"/>
    <w:rsid w:val="00BF2406"/>
    <w:rsid w:val="00C06E43"/>
    <w:rsid w:val="00C16315"/>
    <w:rsid w:val="00C2432A"/>
    <w:rsid w:val="00C3091E"/>
    <w:rsid w:val="00C40FF1"/>
    <w:rsid w:val="00C419E2"/>
    <w:rsid w:val="00C428DD"/>
    <w:rsid w:val="00C462CB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7DA"/>
    <w:rsid w:val="00CC1A68"/>
    <w:rsid w:val="00CC2123"/>
    <w:rsid w:val="00CD2BFD"/>
    <w:rsid w:val="00CE5AD6"/>
    <w:rsid w:val="00CE617F"/>
    <w:rsid w:val="00CE78EF"/>
    <w:rsid w:val="00CF28B1"/>
    <w:rsid w:val="00D048F7"/>
    <w:rsid w:val="00D0517E"/>
    <w:rsid w:val="00D140FC"/>
    <w:rsid w:val="00D14D0E"/>
    <w:rsid w:val="00D21D8C"/>
    <w:rsid w:val="00D31357"/>
    <w:rsid w:val="00D33220"/>
    <w:rsid w:val="00D334D1"/>
    <w:rsid w:val="00D44C89"/>
    <w:rsid w:val="00D516CD"/>
    <w:rsid w:val="00D664D7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7694"/>
    <w:rsid w:val="00DC7CC1"/>
    <w:rsid w:val="00DD1BF6"/>
    <w:rsid w:val="00DD2F9B"/>
    <w:rsid w:val="00DD2FB6"/>
    <w:rsid w:val="00DE2513"/>
    <w:rsid w:val="00DE26E8"/>
    <w:rsid w:val="00DF6F36"/>
    <w:rsid w:val="00E0084C"/>
    <w:rsid w:val="00E025AB"/>
    <w:rsid w:val="00E02B23"/>
    <w:rsid w:val="00E06F40"/>
    <w:rsid w:val="00E07CE8"/>
    <w:rsid w:val="00E10327"/>
    <w:rsid w:val="00E26A07"/>
    <w:rsid w:val="00E32595"/>
    <w:rsid w:val="00E37CFD"/>
    <w:rsid w:val="00E41A26"/>
    <w:rsid w:val="00E46BCB"/>
    <w:rsid w:val="00E51CAF"/>
    <w:rsid w:val="00E60F04"/>
    <w:rsid w:val="00E62AAC"/>
    <w:rsid w:val="00E65CA1"/>
    <w:rsid w:val="00E67C2F"/>
    <w:rsid w:val="00E67EF5"/>
    <w:rsid w:val="00E804EA"/>
    <w:rsid w:val="00E80A71"/>
    <w:rsid w:val="00E8146A"/>
    <w:rsid w:val="00E82337"/>
    <w:rsid w:val="00E92499"/>
    <w:rsid w:val="00E92859"/>
    <w:rsid w:val="00E949AF"/>
    <w:rsid w:val="00E96077"/>
    <w:rsid w:val="00EA0A06"/>
    <w:rsid w:val="00EA6243"/>
    <w:rsid w:val="00EA74AB"/>
    <w:rsid w:val="00EB3D1B"/>
    <w:rsid w:val="00EB625A"/>
    <w:rsid w:val="00ED1D89"/>
    <w:rsid w:val="00ED2BC7"/>
    <w:rsid w:val="00ED66BC"/>
    <w:rsid w:val="00ED74D9"/>
    <w:rsid w:val="00EE5705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33F7D"/>
    <w:rsid w:val="00F43AD5"/>
    <w:rsid w:val="00F4402E"/>
    <w:rsid w:val="00F529B9"/>
    <w:rsid w:val="00F56DD0"/>
    <w:rsid w:val="00F62EE2"/>
    <w:rsid w:val="00F6491C"/>
    <w:rsid w:val="00F67BBB"/>
    <w:rsid w:val="00F7057F"/>
    <w:rsid w:val="00F87D92"/>
    <w:rsid w:val="00F90AA7"/>
    <w:rsid w:val="00F92498"/>
    <w:rsid w:val="00F9496B"/>
    <w:rsid w:val="00F970C9"/>
    <w:rsid w:val="00FA06A8"/>
    <w:rsid w:val="00FA2718"/>
    <w:rsid w:val="00FA3DF5"/>
    <w:rsid w:val="00FA741F"/>
    <w:rsid w:val="00FB4E07"/>
    <w:rsid w:val="00FB755A"/>
    <w:rsid w:val="00FC60A2"/>
    <w:rsid w:val="00FD1871"/>
    <w:rsid w:val="00FD2910"/>
    <w:rsid w:val="00FD3110"/>
    <w:rsid w:val="00FE3D93"/>
    <w:rsid w:val="00FF5C3D"/>
    <w:rsid w:val="00FF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6"/>
    <o:shapelayout v:ext="edit">
      <o:idmap v:ext="edit" data="1"/>
    </o:shapelayout>
  </w:shapeDefaults>
  <w:decimalSymbol w:val="."/>
  <w:listSeparator w:val=","/>
  <w14:docId w14:val="090CACBD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CC17DA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273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738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738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73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7382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1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acgih.org/tlv-bei-guidelines/policies-procedures-presentation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81A9047B6AE84EB7ACF3C7690952DF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4439F8-637B-4515-B789-B155A5823B9D}"/>
      </w:docPartPr>
      <w:docPartBody>
        <w:p w:rsidR="006F5DF3" w:rsidRDefault="007E4E24" w:rsidP="007E4E24">
          <w:pPr>
            <w:pStyle w:val="81A9047B6AE84EB7ACF3C7690952DFD1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692B7C"/>
    <w:rsid w:val="006D5D04"/>
    <w:rsid w:val="006F5DF3"/>
    <w:rsid w:val="007E4E24"/>
    <w:rsid w:val="00D21A9F"/>
    <w:rsid w:val="00D66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E4E24"/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81A9047B6AE84EB7ACF3C7690952DFD1">
    <w:name w:val="81A9047B6AE84EB7ACF3C7690952DFD1"/>
    <w:rsid w:val="007E4E2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FD3B4-E5FF-44D0-A85D-1656AEB7AF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75CBFAE-D153-4E6D-B155-464A4D1BAF3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160C7FD-BE36-4C45-8BA7-C2C593F9E75F}"/>
</file>

<file path=customXml/itemProps4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1501</TotalTime>
  <Pages>6</Pages>
  <Words>1321</Words>
  <Characters>7625</Characters>
  <Application>Microsoft Office Word</Application>
  <DocSecurity>0</DocSecurity>
  <Lines>254</Lines>
  <Paragraphs>154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8871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76</cp:revision>
  <cp:lastPrinted>2018-10-22T22:41:00Z</cp:lastPrinted>
  <dcterms:created xsi:type="dcterms:W3CDTF">2019-09-13T05:14:00Z</dcterms:created>
  <dcterms:modified xsi:type="dcterms:W3CDTF">2025-12-24T00:14:00Z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2025-12-24T00:14:23Z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da919918-564d-4dbe-bd9e-9975f5c951ad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