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596EED2" w14:textId="34C0BE56" w:rsidR="00BD499F" w:rsidRPr="004C23F4" w:rsidRDefault="00803D51" w:rsidP="00B40C60">
          <w:pPr>
            <w:pStyle w:val="Heading1"/>
            <w:jc w:val="center"/>
            <w:rPr>
              <w:rFonts w:ascii="Arial" w:hAnsi="Arial" w:cs="Arial"/>
            </w:rPr>
          </w:pPr>
          <w:r w:rsidRPr="00803D51">
            <w:rPr>
              <w:rFonts w:ascii="Arial" w:hAnsi="Arial" w:cs="Arial"/>
            </w:rPr>
            <w:t>Monochloroacetic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42EED145" w14:textId="77777777" w:rsidTr="00B76A41">
        <w:trPr>
          <w:cantSplit/>
          <w:tblHeader/>
        </w:trPr>
        <w:tc>
          <w:tcPr>
            <w:tcW w:w="4077" w:type="dxa"/>
          </w:tcPr>
          <w:p w14:paraId="3A54DE3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4DE65A8" w14:textId="4C23F236" w:rsidR="00F43AD5" w:rsidRPr="00717D45" w:rsidRDefault="002C6092" w:rsidP="00B76A41">
            <w:pPr>
              <w:pStyle w:val="Tablefont"/>
            </w:pPr>
            <w:r w:rsidRPr="002C6092">
              <w:t>79-11-8</w:t>
            </w:r>
          </w:p>
        </w:tc>
      </w:tr>
      <w:tr w:rsidR="00F43AD5" w:rsidRPr="004C23F4" w14:paraId="03583FB3" w14:textId="77777777" w:rsidTr="00B76A41">
        <w:trPr>
          <w:cantSplit/>
        </w:trPr>
        <w:tc>
          <w:tcPr>
            <w:tcW w:w="4077" w:type="dxa"/>
          </w:tcPr>
          <w:p w14:paraId="5EDF2BD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A1C6E6" w14:textId="19DBFAA8" w:rsidR="00F43AD5" w:rsidRPr="00717D45" w:rsidRDefault="002C6092" w:rsidP="00B76A41">
            <w:pPr>
              <w:pStyle w:val="Tablefont"/>
            </w:pPr>
            <w:r>
              <w:t xml:space="preserve">Chloroactic acid, </w:t>
            </w:r>
            <w:r>
              <w:rPr>
                <w:rFonts w:cs="Arial"/>
              </w:rPr>
              <w:t>α</w:t>
            </w:r>
            <w:r>
              <w:t>-chloroacetic acid, MCAA</w:t>
            </w:r>
          </w:p>
        </w:tc>
      </w:tr>
      <w:tr w:rsidR="00F43AD5" w:rsidRPr="004C23F4" w14:paraId="61DDA175" w14:textId="77777777" w:rsidTr="00B76A41">
        <w:trPr>
          <w:cantSplit/>
        </w:trPr>
        <w:tc>
          <w:tcPr>
            <w:tcW w:w="4077" w:type="dxa"/>
          </w:tcPr>
          <w:p w14:paraId="6B9056D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B608BBD" w14:textId="72B5B78D" w:rsidR="00F43AD5" w:rsidRPr="00717D45" w:rsidRDefault="002C6092" w:rsidP="00B76A41">
            <w:pPr>
              <w:pStyle w:val="Tablefont"/>
            </w:pPr>
            <w:r>
              <w:t>C</w:t>
            </w:r>
            <w:r w:rsidRPr="002C6092">
              <w:rPr>
                <w:vertAlign w:val="subscript"/>
              </w:rPr>
              <w:t>2</w:t>
            </w:r>
            <w:r>
              <w:t>H</w:t>
            </w:r>
            <w:r w:rsidRPr="002C6092">
              <w:rPr>
                <w:vertAlign w:val="subscript"/>
              </w:rPr>
              <w:t>3</w:t>
            </w:r>
            <w:r>
              <w:t>ClO</w:t>
            </w:r>
            <w:r w:rsidRPr="002C6092">
              <w:rPr>
                <w:vertAlign w:val="subscript"/>
              </w:rPr>
              <w:t>2</w:t>
            </w:r>
          </w:p>
        </w:tc>
      </w:tr>
      <w:tr w:rsidR="00F43AD5" w:rsidRPr="004C23F4" w14:paraId="0E0B99EF" w14:textId="77777777" w:rsidTr="00B76A41">
        <w:trPr>
          <w:cantSplit/>
        </w:trPr>
        <w:tc>
          <w:tcPr>
            <w:tcW w:w="4077" w:type="dxa"/>
          </w:tcPr>
          <w:p w14:paraId="0E87F08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0224707" w14:textId="491AD2BC" w:rsidR="00F43AD5" w:rsidRPr="006D1216" w:rsidRDefault="002C6092" w:rsidP="00B76A41">
            <w:pPr>
              <w:pStyle w:val="Tablerowheading"/>
              <w:rPr>
                <w:b w:val="0"/>
              </w:rPr>
            </w:pPr>
            <w:r w:rsidRPr="00A665CE">
              <w:rPr>
                <w:b w:val="0"/>
              </w:rPr>
              <w:t>—</w:t>
            </w:r>
          </w:p>
        </w:tc>
      </w:tr>
    </w:tbl>
    <w:p w14:paraId="6E1D16C0" w14:textId="324DC29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96B9D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ED73B49" w14:textId="77777777" w:rsidTr="005667C8">
        <w:trPr>
          <w:cantSplit/>
          <w:tblHeader/>
        </w:trPr>
        <w:tc>
          <w:tcPr>
            <w:tcW w:w="4010" w:type="dxa"/>
            <w:vAlign w:val="center"/>
          </w:tcPr>
          <w:p w14:paraId="6CFEB50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0274330D" w14:textId="0BB4170E" w:rsidR="002C7AFE" w:rsidRPr="00596B9D" w:rsidRDefault="00596B9D" w:rsidP="00017C82">
            <w:pPr>
              <w:pStyle w:val="Tablefont"/>
              <w:rPr>
                <w:b/>
              </w:rPr>
            </w:pPr>
            <w:r w:rsidRPr="00596B9D">
              <w:rPr>
                <w:b/>
              </w:rPr>
              <w:t>0.5 ppm (2.0 mg/m</w:t>
            </w:r>
            <w:r w:rsidRPr="00596B9D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1E7B80" w:rsidRPr="004C23F4" w14:paraId="40375403" w14:textId="77777777" w:rsidTr="005667C8">
        <w:trPr>
          <w:cantSplit/>
        </w:trPr>
        <w:tc>
          <w:tcPr>
            <w:tcW w:w="4010" w:type="dxa"/>
            <w:vAlign w:val="center"/>
          </w:tcPr>
          <w:p w14:paraId="620A36E3" w14:textId="77777777" w:rsidR="001E7B80" w:rsidRPr="002C58FF" w:rsidRDefault="001E7B80" w:rsidP="001E7B80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CE88B5D" w14:textId="304D9C41" w:rsidR="001E7B80" w:rsidRPr="006D1216" w:rsidRDefault="001E7B80" w:rsidP="001E7B80">
            <w:pPr>
              <w:pStyle w:val="Tablefont"/>
              <w:rPr>
                <w:b/>
              </w:rPr>
            </w:pPr>
            <w:r w:rsidRPr="00A665CE">
              <w:rPr>
                <w:b/>
              </w:rPr>
              <w:t>—</w:t>
            </w:r>
          </w:p>
        </w:tc>
      </w:tr>
      <w:tr w:rsidR="001E7B80" w:rsidRPr="004C23F4" w14:paraId="192E458C" w14:textId="77777777" w:rsidTr="005667C8">
        <w:trPr>
          <w:cantSplit/>
        </w:trPr>
        <w:tc>
          <w:tcPr>
            <w:tcW w:w="4010" w:type="dxa"/>
            <w:vAlign w:val="center"/>
          </w:tcPr>
          <w:p w14:paraId="259EE024" w14:textId="77777777" w:rsidR="001E7B80" w:rsidRPr="002C58FF" w:rsidRDefault="001E7B80" w:rsidP="001E7B80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B0991E1" w14:textId="2C702D46" w:rsidR="001E7B80" w:rsidRPr="006D1216" w:rsidRDefault="001E7B80" w:rsidP="001E7B80">
            <w:pPr>
              <w:pStyle w:val="Tablefont"/>
              <w:rPr>
                <w:b/>
              </w:rPr>
            </w:pPr>
            <w:r w:rsidRPr="00A665CE">
              <w:rPr>
                <w:b/>
              </w:rPr>
              <w:t>—</w:t>
            </w:r>
          </w:p>
        </w:tc>
      </w:tr>
      <w:tr w:rsidR="002C7AFE" w:rsidRPr="004C23F4" w14:paraId="2BAD3759" w14:textId="77777777" w:rsidTr="005667C8">
        <w:trPr>
          <w:cantSplit/>
        </w:trPr>
        <w:tc>
          <w:tcPr>
            <w:tcW w:w="4010" w:type="dxa"/>
          </w:tcPr>
          <w:p w14:paraId="1F2ED96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63576AE8" w14:textId="17E8BC91" w:rsidR="002C7AFE" w:rsidRPr="00EB3D1B" w:rsidRDefault="001E7B80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5D9D3310" w14:textId="77777777" w:rsidTr="005667C8">
        <w:trPr>
          <w:cantSplit/>
        </w:trPr>
        <w:tc>
          <w:tcPr>
            <w:tcW w:w="4010" w:type="dxa"/>
            <w:vAlign w:val="center"/>
          </w:tcPr>
          <w:p w14:paraId="2F312ED8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0CDEE253" w14:textId="3320FAE0" w:rsidR="002C7AFE" w:rsidRPr="006D1216" w:rsidRDefault="002C6092" w:rsidP="00017C82">
            <w:pPr>
              <w:pStyle w:val="Tablefont"/>
              <w:rPr>
                <w:b/>
              </w:rPr>
            </w:pPr>
            <w:r w:rsidRPr="00A665CE">
              <w:rPr>
                <w:b/>
              </w:rPr>
              <w:t>—</w:t>
            </w:r>
          </w:p>
        </w:tc>
      </w:tr>
      <w:tr w:rsidR="005667C8" w:rsidRPr="004C23F4" w14:paraId="09100B29" w14:textId="77777777" w:rsidTr="00B0716F">
        <w:trPr>
          <w:cantSplit/>
        </w:trPr>
        <w:tc>
          <w:tcPr>
            <w:tcW w:w="9026" w:type="dxa"/>
            <w:gridSpan w:val="2"/>
            <w:vAlign w:val="center"/>
          </w:tcPr>
          <w:p w14:paraId="50207AB3" w14:textId="27ED6DE2" w:rsidR="005667C8" w:rsidRPr="005667C8" w:rsidRDefault="005667C8" w:rsidP="00017C82">
            <w:pPr>
              <w:pStyle w:val="Tablefont"/>
              <w:rPr>
                <w:b/>
              </w:rPr>
            </w:pPr>
            <w:r w:rsidRPr="005667C8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CD3812CF9CC4D5BBA0B1B5D4F54CCCB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A665CE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788C71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54B653F" w14:textId="277E7439" w:rsidR="006639B4" w:rsidRPr="004C23F4" w:rsidRDefault="00596B9D" w:rsidP="000C139A">
      <w:pPr>
        <w:rPr>
          <w:rFonts w:cs="Arial"/>
        </w:rPr>
      </w:pPr>
      <w:r w:rsidRPr="00596B9D">
        <w:rPr>
          <w:rFonts w:cs="Arial"/>
        </w:rPr>
        <w:t xml:space="preserve">A TWA of </w:t>
      </w:r>
      <w:r>
        <w:rPr>
          <w:rFonts w:cs="Arial"/>
        </w:rPr>
        <w:t>0.5</w:t>
      </w:r>
      <w:r w:rsidRPr="00596B9D">
        <w:rPr>
          <w:rFonts w:cs="Arial"/>
        </w:rPr>
        <w:t xml:space="preserve"> ppm (</w:t>
      </w:r>
      <w:r>
        <w:rPr>
          <w:rFonts w:cs="Arial"/>
        </w:rPr>
        <w:t>2.0</w:t>
      </w:r>
      <w:r w:rsidRPr="00596B9D">
        <w:rPr>
          <w:rFonts w:cs="Arial"/>
        </w:rPr>
        <w:t xml:space="preserve"> mg/m</w:t>
      </w:r>
      <w:r w:rsidRPr="00596B9D">
        <w:rPr>
          <w:rFonts w:cs="Arial"/>
          <w:vertAlign w:val="superscript"/>
        </w:rPr>
        <w:t>3</w:t>
      </w:r>
      <w:r w:rsidRPr="00596B9D">
        <w:rPr>
          <w:rFonts w:cs="Arial"/>
        </w:rPr>
        <w:t xml:space="preserve">) is recommended to protect for </w:t>
      </w:r>
      <w:r>
        <w:t>respiratory and eye irritation and systemic effects</w:t>
      </w:r>
      <w:r w:rsidRPr="00596B9D">
        <w:rPr>
          <w:rFonts w:cs="Arial"/>
        </w:rPr>
        <w:t xml:space="preserve"> in exposed workers.</w:t>
      </w:r>
    </w:p>
    <w:p w14:paraId="1878073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A777A42" w14:textId="1D19F1CC" w:rsidR="0070244E" w:rsidRDefault="0028733C" w:rsidP="006639B4">
      <w:pPr>
        <w:rPr>
          <w:rFonts w:cs="Arial"/>
        </w:rPr>
      </w:pPr>
      <w:r>
        <w:rPr>
          <w:rFonts w:cs="Arial"/>
        </w:rPr>
        <w:t xml:space="preserve">Monochloroacetic acid is used as a post-emergence herbicide and detergent, disinfectant and drying agent for canning processes. It is also used as an intermediate for several chemicals including </w:t>
      </w:r>
      <w:r w:rsidR="00C13A70">
        <w:rPr>
          <w:rFonts w:cs="Arial"/>
        </w:rPr>
        <w:t xml:space="preserve">synthetic </w:t>
      </w:r>
      <w:r w:rsidR="00A665CE">
        <w:rPr>
          <w:rFonts w:cs="Arial"/>
        </w:rPr>
        <w:t>caffeine and dyes</w:t>
      </w:r>
      <w:r>
        <w:rPr>
          <w:rFonts w:cs="Arial"/>
        </w:rPr>
        <w:t xml:space="preserve"> (ACGIH, 20</w:t>
      </w:r>
      <w:r w:rsidR="00A665CE">
        <w:rPr>
          <w:rFonts w:cs="Arial"/>
        </w:rPr>
        <w:t>18</w:t>
      </w:r>
      <w:r>
        <w:rPr>
          <w:rFonts w:cs="Arial"/>
        </w:rPr>
        <w:t xml:space="preserve">). </w:t>
      </w:r>
    </w:p>
    <w:p w14:paraId="4FB8AC74" w14:textId="1D94E191" w:rsidR="006639B4" w:rsidRDefault="0028733C" w:rsidP="006639B4">
      <w:pPr>
        <w:rPr>
          <w:rFonts w:cs="Arial"/>
        </w:rPr>
      </w:pPr>
      <w:r>
        <w:rPr>
          <w:rFonts w:cs="Arial"/>
        </w:rPr>
        <w:t>Based on cases of accidental exposure in humans, monochloroacetic acid is corrosive to eyes and skin and highly irritating to the respiratory tract.</w:t>
      </w:r>
      <w:r w:rsidR="00244DAF">
        <w:rPr>
          <w:rFonts w:cs="Arial"/>
        </w:rPr>
        <w:t xml:space="preserve"> It caused chemical burns, acute systemic toxicity and death</w:t>
      </w:r>
      <w:r w:rsidR="00F97AD9">
        <w:rPr>
          <w:rFonts w:cs="Arial"/>
        </w:rPr>
        <w:t xml:space="preserve"> (ACGIH, 20</w:t>
      </w:r>
      <w:r w:rsidR="00A665CE">
        <w:rPr>
          <w:rFonts w:cs="Arial"/>
        </w:rPr>
        <w:t>18</w:t>
      </w:r>
      <w:r w:rsidR="00F97AD9">
        <w:rPr>
          <w:rFonts w:cs="Arial"/>
        </w:rPr>
        <w:t xml:space="preserve">). </w:t>
      </w:r>
      <w:r w:rsidR="00581D0B">
        <w:t xml:space="preserve">Based on </w:t>
      </w:r>
      <w:r w:rsidR="00F83FB5">
        <w:t xml:space="preserve">chronic studies, rats have been identified as </w:t>
      </w:r>
      <w:r w:rsidR="004C7EB5">
        <w:t xml:space="preserve">the </w:t>
      </w:r>
      <w:r w:rsidR="00F83FB5">
        <w:t xml:space="preserve">most sensitive species (DFG, 2019). </w:t>
      </w:r>
      <w:r w:rsidR="00267D29">
        <w:t>A</w:t>
      </w:r>
      <w:r w:rsidR="00F83FB5">
        <w:t xml:space="preserve"> </w:t>
      </w:r>
      <w:r w:rsidR="000C13BF">
        <w:rPr>
          <w:rFonts w:cs="Arial"/>
        </w:rPr>
        <w:t xml:space="preserve">sub-chronic </w:t>
      </w:r>
      <w:r w:rsidR="00F83FB5">
        <w:t>LO</w:t>
      </w:r>
      <w:r w:rsidR="00606043">
        <w:t>A</w:t>
      </w:r>
      <w:r w:rsidR="00F83FB5">
        <w:t>EL of 15</w:t>
      </w:r>
      <w:r w:rsidR="004D799C">
        <w:t> </w:t>
      </w:r>
      <w:r w:rsidR="00F83FB5">
        <w:t>mg/kg</w:t>
      </w:r>
      <w:r w:rsidR="00581D0B">
        <w:t>/day</w:t>
      </w:r>
      <w:r w:rsidR="00F83FB5">
        <w:t xml:space="preserve"> </w:t>
      </w:r>
      <w:r w:rsidR="003B2E88">
        <w:t xml:space="preserve">(administered by aqueous gavage) </w:t>
      </w:r>
      <w:r w:rsidR="00F83FB5">
        <w:t xml:space="preserve">and </w:t>
      </w:r>
      <w:r w:rsidR="00F83FB5">
        <w:rPr>
          <w:rFonts w:cs="Arial"/>
        </w:rPr>
        <w:t xml:space="preserve">a </w:t>
      </w:r>
      <w:r w:rsidR="000C13BF">
        <w:rPr>
          <w:rFonts w:cs="Arial"/>
        </w:rPr>
        <w:t xml:space="preserve">chronic </w:t>
      </w:r>
      <w:r w:rsidR="00F83FB5">
        <w:rPr>
          <w:rFonts w:cs="Arial"/>
        </w:rPr>
        <w:t>NO</w:t>
      </w:r>
      <w:r w:rsidR="00606043">
        <w:rPr>
          <w:rFonts w:cs="Arial"/>
        </w:rPr>
        <w:t>A</w:t>
      </w:r>
      <w:r w:rsidR="00F83FB5">
        <w:rPr>
          <w:rFonts w:cs="Arial"/>
        </w:rPr>
        <w:t xml:space="preserve">EL of 3.5 </w:t>
      </w:r>
      <w:r w:rsidR="00F83FB5">
        <w:t>mg/kg</w:t>
      </w:r>
      <w:r w:rsidR="00581D0B">
        <w:t>/day</w:t>
      </w:r>
      <w:r w:rsidR="00F83FB5">
        <w:t xml:space="preserve"> </w:t>
      </w:r>
      <w:r w:rsidR="000C13BF">
        <w:t xml:space="preserve">(administered </w:t>
      </w:r>
      <w:r w:rsidR="00060247">
        <w:t>by</w:t>
      </w:r>
      <w:r w:rsidR="000C13BF">
        <w:t xml:space="preserve"> drinking water)</w:t>
      </w:r>
      <w:r w:rsidR="000C13BF">
        <w:rPr>
          <w:rFonts w:cs="Arial"/>
        </w:rPr>
        <w:t xml:space="preserve"> </w:t>
      </w:r>
      <w:r w:rsidR="00F51BB4">
        <w:t xml:space="preserve">based on </w:t>
      </w:r>
      <w:r w:rsidR="00F51BB4">
        <w:rPr>
          <w:rFonts w:cs="Arial"/>
          <w:color w:val="1C1D1E"/>
          <w:shd w:val="clear" w:color="auto" w:fill="FFFFFF"/>
        </w:rPr>
        <w:t>reduced body weight gains and reduced liver and kidney weights</w:t>
      </w:r>
      <w:r w:rsidR="00F51BB4">
        <w:t xml:space="preserve"> </w:t>
      </w:r>
      <w:r w:rsidR="00F83FB5">
        <w:t xml:space="preserve">was identified in rats </w:t>
      </w:r>
      <w:r w:rsidR="00F83FB5">
        <w:rPr>
          <w:rFonts w:cs="Arial"/>
        </w:rPr>
        <w:t>(ACGIH, 20</w:t>
      </w:r>
      <w:r w:rsidR="00A665CE">
        <w:rPr>
          <w:rFonts w:cs="Arial"/>
        </w:rPr>
        <w:t>18</w:t>
      </w:r>
      <w:r w:rsidR="00F83FB5">
        <w:rPr>
          <w:rFonts w:cs="Arial"/>
        </w:rPr>
        <w:t xml:space="preserve"> and DFG, 2019).</w:t>
      </w:r>
      <w:r w:rsidR="003F00F4">
        <w:t xml:space="preserve"> </w:t>
      </w:r>
    </w:p>
    <w:p w14:paraId="103EA734" w14:textId="08CBF3F1" w:rsidR="0028733C" w:rsidRPr="00F83FB5" w:rsidRDefault="00F83FB5" w:rsidP="006639B4">
      <w:pPr>
        <w:rPr>
          <w:rFonts w:cs="Arial"/>
        </w:rPr>
      </w:pPr>
      <w:r>
        <w:rPr>
          <w:rFonts w:cs="Arial"/>
        </w:rPr>
        <w:t>A TWA of 0.5 ppm (2.0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</w:t>
      </w:r>
      <w:r w:rsidR="00606043" w:rsidRPr="00F83FB5">
        <w:rPr>
          <w:rFonts w:cs="Arial"/>
        </w:rPr>
        <w:t>by ACGIH (20</w:t>
      </w:r>
      <w:r w:rsidR="00606043">
        <w:rPr>
          <w:rFonts w:cs="Arial"/>
        </w:rPr>
        <w:t>18</w:t>
      </w:r>
      <w:r w:rsidR="00606043" w:rsidRPr="00F83FB5">
        <w:rPr>
          <w:rFonts w:cs="Arial"/>
        </w:rPr>
        <w:t>) and DFG (201</w:t>
      </w:r>
      <w:r w:rsidR="00606043">
        <w:rPr>
          <w:rFonts w:cs="Arial"/>
        </w:rPr>
        <w:t>9</w:t>
      </w:r>
      <w:r w:rsidR="00606043" w:rsidRPr="00F83FB5">
        <w:rPr>
          <w:rFonts w:cs="Arial"/>
        </w:rPr>
        <w:t>)</w:t>
      </w:r>
      <w:r w:rsidR="00606043">
        <w:rPr>
          <w:rFonts w:cs="Arial"/>
        </w:rPr>
        <w:t xml:space="preserve"> </w:t>
      </w:r>
      <w:r>
        <w:rPr>
          <w:rFonts w:cs="Arial"/>
        </w:rPr>
        <w:t>is recommended</w:t>
      </w:r>
      <w:r w:rsidRPr="00F83FB5">
        <w:rPr>
          <w:rFonts w:cs="Arial"/>
        </w:rPr>
        <w:t>.</w:t>
      </w:r>
      <w:r>
        <w:rPr>
          <w:rFonts w:cs="Arial"/>
        </w:rPr>
        <w:t xml:space="preserve"> Based on the weight of evidence presented</w:t>
      </w:r>
      <w:r w:rsidR="007C62C1">
        <w:rPr>
          <w:rFonts w:cs="Arial"/>
        </w:rPr>
        <w:t>, the recommended TWA</w:t>
      </w:r>
      <w:r>
        <w:rPr>
          <w:rFonts w:cs="Arial"/>
        </w:rPr>
        <w:t xml:space="preserve"> is considered adequately protective of irritant and systemic effects</w:t>
      </w:r>
      <w:r w:rsidR="006E2791">
        <w:rPr>
          <w:rFonts w:cs="Arial"/>
        </w:rPr>
        <w:t xml:space="preserve"> in exposed workers</w:t>
      </w:r>
      <w:r>
        <w:rPr>
          <w:rFonts w:cs="Arial"/>
        </w:rPr>
        <w:t xml:space="preserve">. </w:t>
      </w:r>
    </w:p>
    <w:p w14:paraId="7ABCCD2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049E1FC" w14:textId="5260C6E6" w:rsidR="002C6092" w:rsidRDefault="002C6092" w:rsidP="002C6092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5667C8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5D6F6BFE" w14:textId="5F1BFFF8" w:rsidR="002C6092" w:rsidRDefault="002C6092" w:rsidP="002C6092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5667C8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1AF15F15" w14:textId="51A66B7C" w:rsidR="0025734A" w:rsidRPr="004C23F4" w:rsidRDefault="00596B9D">
      <w:pPr>
        <w:rPr>
          <w:rFonts w:cs="Arial"/>
        </w:rPr>
      </w:pPr>
      <w:r w:rsidRPr="00596B9D">
        <w:rPr>
          <w:rFonts w:cs="Arial"/>
        </w:rPr>
        <w:t>A skin notation is warranted as evidence indicates rapid absorption through the skin and reports of acute poisonings in the workplace</w:t>
      </w:r>
      <w:r w:rsidR="002C6092">
        <w:rPr>
          <w:rFonts w:cs="Arial"/>
        </w:rPr>
        <w:t>.</w:t>
      </w:r>
    </w:p>
    <w:p w14:paraId="1F000A39" w14:textId="4B8EE911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F94E9B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ED64C5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0D31E46" w14:textId="77777777" w:rsidTr="004C7EB5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E3ACCE4" w14:textId="77777777" w:rsidR="00C978F0" w:rsidRPr="00DA352E" w:rsidRDefault="00C978F0" w:rsidP="00063CF5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87F35A2" w14:textId="77777777" w:rsidTr="004C7EB5">
        <w:tc>
          <w:tcPr>
            <w:tcW w:w="5000" w:type="pct"/>
            <w:gridSpan w:val="2"/>
            <w:shd w:val="clear" w:color="auto" w:fill="F2F2F2" w:themeFill="background1" w:themeFillShade="F2"/>
          </w:tcPr>
          <w:p w14:paraId="5E3D15EE" w14:textId="36A73249" w:rsidR="00DE26E8" w:rsidRPr="003365A5" w:rsidRDefault="00DE26E8" w:rsidP="00A665C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C609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C6092">
                  <w:t>TWA: 0.3 ppm (1.2 mg/m</w:t>
                </w:r>
                <w:r w:rsidR="002C6092" w:rsidRPr="002C6092">
                  <w:rPr>
                    <w:vertAlign w:val="superscript"/>
                  </w:rPr>
                  <w:t>3</w:t>
                </w:r>
                <w:r w:rsidR="002C6092">
                  <w:t>)</w:t>
                </w:r>
              </w:sdtContent>
            </w:sdt>
          </w:p>
        </w:tc>
      </w:tr>
      <w:tr w:rsidR="00C978F0" w:rsidRPr="00DA352E" w14:paraId="7D9BDB7E" w14:textId="77777777" w:rsidTr="004C7EB5">
        <w:trPr>
          <w:gridAfter w:val="1"/>
          <w:wAfter w:w="8" w:type="pct"/>
        </w:trPr>
        <w:tc>
          <w:tcPr>
            <w:tcW w:w="4992" w:type="pct"/>
          </w:tcPr>
          <w:p w14:paraId="73397073" w14:textId="77777777" w:rsidR="00C978F0" w:rsidRPr="00DA352E" w:rsidRDefault="00C978F0" w:rsidP="00063CF5">
            <w:pPr>
              <w:pStyle w:val="Tabletextprimarysource"/>
            </w:pPr>
          </w:p>
        </w:tc>
      </w:tr>
      <w:tr w:rsidR="00C978F0" w:rsidRPr="00DA352E" w14:paraId="453E03F3" w14:textId="77777777" w:rsidTr="004C7EB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F406A61" w14:textId="308ADC52" w:rsidR="00C978F0" w:rsidRPr="00DA352E" w:rsidRDefault="00DA352E" w:rsidP="00A665C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C6092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C6092">
                  <w:t>TLV-TWA: 0.5 ppm (2.0 mg/m</w:t>
                </w:r>
                <w:r w:rsidR="002C6092" w:rsidRPr="002C6092">
                  <w:rPr>
                    <w:vertAlign w:val="superscript"/>
                  </w:rPr>
                  <w:t>3</w:t>
                </w:r>
                <w:r w:rsidR="002C6092">
                  <w:t>)</w:t>
                </w:r>
              </w:sdtContent>
            </w:sdt>
          </w:p>
        </w:tc>
      </w:tr>
      <w:tr w:rsidR="00C978F0" w:rsidRPr="00DA352E" w14:paraId="2CCB9888" w14:textId="77777777" w:rsidTr="004C7EB5">
        <w:trPr>
          <w:gridAfter w:val="1"/>
          <w:wAfter w:w="8" w:type="pct"/>
        </w:trPr>
        <w:tc>
          <w:tcPr>
            <w:tcW w:w="4992" w:type="pct"/>
          </w:tcPr>
          <w:p w14:paraId="41BC94AB" w14:textId="0DA6F525" w:rsidR="00C978F0" w:rsidRPr="00CD15EC" w:rsidRDefault="005667C8" w:rsidP="00063CF5">
            <w:pPr>
              <w:pStyle w:val="Tabletextprimarysource"/>
            </w:pPr>
            <w:r>
              <w:t xml:space="preserve">TLV-TWA recommended to minimise potential for respiratory </w:t>
            </w:r>
            <w:r w:rsidR="00477625">
              <w:t xml:space="preserve">and eye </w:t>
            </w:r>
            <w:r>
              <w:t>irritation and systemic effects in exposed workers.</w:t>
            </w:r>
            <w:r w:rsidR="005E304F">
              <w:t xml:space="preserve"> The TLV-TWA provides an adequate degree of protection based on </w:t>
            </w:r>
            <w:r w:rsidR="00CD15EC">
              <w:t>estimated minimum toxic concentration for irritation from read across with acetic acid and a suggested threshold for irritation of 6 mg/m</w:t>
            </w:r>
            <w:r w:rsidR="00CD15EC" w:rsidRPr="004C7EB5">
              <w:rPr>
                <w:vertAlign w:val="superscript"/>
              </w:rPr>
              <w:t>3</w:t>
            </w:r>
            <w:r w:rsidR="00CD15EC">
              <w:t>.</w:t>
            </w:r>
          </w:p>
          <w:p w14:paraId="1CFF9F28" w14:textId="77777777" w:rsidR="00477625" w:rsidRDefault="00477625" w:rsidP="00063CF5">
            <w:pPr>
              <w:pStyle w:val="Tabletextprimarysource"/>
            </w:pPr>
            <w:r>
              <w:t>Summary of data:</w:t>
            </w:r>
          </w:p>
          <w:p w14:paraId="59908EE6" w14:textId="77777777" w:rsidR="00477625" w:rsidRDefault="00477625" w:rsidP="00A665CE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1FA67969" w14:textId="1D9758E8" w:rsidR="005667C8" w:rsidRDefault="00063CF5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3 </w:t>
            </w:r>
            <w:r w:rsidR="00537687">
              <w:t>separate cases of accidental exposure to skin resulted in first degree burns despite quick and prolonged washing, then deterioration in condition resulting in death</w:t>
            </w:r>
            <w:r w:rsidR="00BE168F">
              <w:t xml:space="preserve">. </w:t>
            </w:r>
            <w:r w:rsidR="002B2A28">
              <w:t>A</w:t>
            </w:r>
            <w:r w:rsidR="00BE168F">
              <w:t>utopsy findings included congestion, haemorrhage, confluent petechia of heart, lungs, thymus and blood in the lungs</w:t>
            </w:r>
          </w:p>
          <w:p w14:paraId="2CA02C24" w14:textId="794EC7BF" w:rsidR="00BE168F" w:rsidRDefault="00BE168F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Systemic poisoning symptoms include disorientation, agitation, metabolic acidosis, cerebral oedema, cardiac failure and coma</w:t>
            </w:r>
          </w:p>
          <w:p w14:paraId="3533CE2A" w14:textId="24AC06AE" w:rsidR="005727F6" w:rsidRDefault="00BE168F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Accidental ingestion </w:t>
            </w:r>
            <w:r w:rsidR="005727F6">
              <w:t xml:space="preserve">of 1 teaspoon </w:t>
            </w:r>
            <w:r>
              <w:t xml:space="preserve">in </w:t>
            </w:r>
            <w:r w:rsidR="005727F6">
              <w:t>5 y</w:t>
            </w:r>
            <w:r w:rsidR="00063CF5">
              <w:t>r</w:t>
            </w:r>
            <w:r w:rsidR="005727F6">
              <w:t xml:space="preserve"> old girl</w:t>
            </w:r>
            <w:r w:rsidR="009A62B3">
              <w:t>,</w:t>
            </w:r>
            <w:r w:rsidR="005727F6">
              <w:t xml:space="preserve"> which was immediately vomited</w:t>
            </w:r>
            <w:r w:rsidR="009A62B3">
              <w:t>,</w:t>
            </w:r>
            <w:r w:rsidR="005727F6">
              <w:t xml:space="preserve"> caused death due to metabolic acidosis and cardiac arrhythmias</w:t>
            </w:r>
          </w:p>
          <w:p w14:paraId="271CCB05" w14:textId="6A09FAAC" w:rsidR="00BE168F" w:rsidRDefault="005727F6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 irritant that causes severe damage to eyes, respiratory tract, and mucous membranes</w:t>
            </w:r>
            <w:r w:rsidR="00596B9D">
              <w:t>;</w:t>
            </w:r>
            <w:r>
              <w:t xml:space="preserve"> air concentrations</w:t>
            </w:r>
            <w:r w:rsidR="00596B9D">
              <w:t xml:space="preserve"> causing these effects</w:t>
            </w:r>
            <w:r>
              <w:t xml:space="preserve"> not available</w:t>
            </w:r>
          </w:p>
          <w:p w14:paraId="529564E3" w14:textId="76B48320" w:rsidR="005727F6" w:rsidRDefault="005727F6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Poorly documented reports indicate threshold for irritation of </w:t>
            </w:r>
            <w:r w:rsidR="00507115">
              <w:rPr>
                <w:rFonts w:cs="Arial"/>
              </w:rPr>
              <w:t>≈</w:t>
            </w:r>
            <w:r>
              <w:t>6 mg/m</w:t>
            </w:r>
            <w:r w:rsidRPr="005727F6">
              <w:rPr>
                <w:vertAlign w:val="superscript"/>
              </w:rPr>
              <w:t>3</w:t>
            </w:r>
            <w:r w:rsidR="00063CF5">
              <w:t>.</w:t>
            </w:r>
          </w:p>
          <w:p w14:paraId="6F00DE34" w14:textId="77777777" w:rsidR="005727F6" w:rsidRDefault="005727F6" w:rsidP="00063CF5">
            <w:pPr>
              <w:pStyle w:val="Tabletextprimarysource"/>
            </w:pPr>
            <w:r>
              <w:t>Animal data:</w:t>
            </w:r>
          </w:p>
          <w:p w14:paraId="6B760C98" w14:textId="52E030D3" w:rsidR="005727F6" w:rsidRDefault="005727F6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5727F6">
              <w:rPr>
                <w:vertAlign w:val="subscript"/>
              </w:rPr>
              <w:t>50</w:t>
            </w:r>
            <w:r>
              <w:t>: 55</w:t>
            </w:r>
            <w:r w:rsidR="00063CF5">
              <w:t>–</w:t>
            </w:r>
            <w:r>
              <w:t>580 mg/kg (rats); 165</w:t>
            </w:r>
            <w:r w:rsidR="00063CF5">
              <w:t>–</w:t>
            </w:r>
            <w:r>
              <w:t>260 mg/kg (mice); 80 mg/kg (guinea pigs)</w:t>
            </w:r>
          </w:p>
          <w:p w14:paraId="7FACE7D1" w14:textId="77777777" w:rsidR="005727F6" w:rsidRDefault="005727F6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 toxicity signs in rats included clonic, tonic convulsions, followed by respiratory depression</w:t>
            </w:r>
          </w:p>
          <w:p w14:paraId="33986688" w14:textId="77777777" w:rsidR="00BF5542" w:rsidRDefault="00BF5542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Very steep dose-lethality curves</w:t>
            </w:r>
          </w:p>
          <w:p w14:paraId="4B28BD1A" w14:textId="3DDB8F92" w:rsidR="00BF5542" w:rsidRDefault="00BF5542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Neurotoxicity reported in mice, geese, sheep and cat</w:t>
            </w:r>
            <w:r w:rsidR="009A62B3">
              <w:t>tle following single oral doses</w:t>
            </w:r>
          </w:p>
          <w:p w14:paraId="10368C55" w14:textId="77777777" w:rsidR="005727F6" w:rsidRDefault="00BF5542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BF5542">
              <w:rPr>
                <w:vertAlign w:val="subscript"/>
              </w:rPr>
              <w:t>50</w:t>
            </w:r>
            <w:r>
              <w:t>: 145 mg/kg (rats, dermal)</w:t>
            </w:r>
          </w:p>
          <w:p w14:paraId="62B5ABF7" w14:textId="7DBDF2FA" w:rsidR="00BF5542" w:rsidRDefault="00BF5542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BF5542">
              <w:rPr>
                <w:vertAlign w:val="subscript"/>
              </w:rPr>
              <w:t>50</w:t>
            </w:r>
            <w:r>
              <w:t>: 180 mg/m</w:t>
            </w:r>
            <w:r w:rsidRPr="00BF5542">
              <w:rPr>
                <w:vertAlign w:val="superscript"/>
              </w:rPr>
              <w:t>3</w:t>
            </w:r>
            <w:r>
              <w:t xml:space="preserve"> (rats, in</w:t>
            </w:r>
            <w:r w:rsidR="004256AE">
              <w:t>halation, 24 h) of condensed aerosol</w:t>
            </w:r>
          </w:p>
          <w:p w14:paraId="703B6CDF" w14:textId="29FCBC27" w:rsidR="00BF5542" w:rsidRDefault="00BF5542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Threshold for irritation (reported as increased breathing frequency)</w:t>
            </w:r>
            <w:r w:rsidR="00507115">
              <w:t>:</w:t>
            </w:r>
            <w:r>
              <w:t xml:space="preserve"> 23.7 mg/mg</w:t>
            </w:r>
            <w:r w:rsidRPr="00BF5542">
              <w:rPr>
                <w:vertAlign w:val="superscript"/>
              </w:rPr>
              <w:t>3</w:t>
            </w:r>
            <w:r>
              <w:t xml:space="preserve"> (rats)</w:t>
            </w:r>
          </w:p>
          <w:p w14:paraId="3DB2EFD9" w14:textId="210ED6A7" w:rsidR="00BF5542" w:rsidRDefault="00BF5542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Concentrated solutions </w:t>
            </w:r>
            <w:r w:rsidR="00957BC9">
              <w:t>(</w:t>
            </w:r>
            <w:r w:rsidR="00A665CE">
              <w:rPr>
                <w:rFonts w:cs="Arial"/>
              </w:rPr>
              <w:t>≥</w:t>
            </w:r>
            <w:r w:rsidR="00957BC9">
              <w:t xml:space="preserve">1%) </w:t>
            </w:r>
            <w:r>
              <w:t>caused severe conjunctivital burns to eyes of rabbits</w:t>
            </w:r>
          </w:p>
          <w:p w14:paraId="4426A6CA" w14:textId="72F5728E" w:rsidR="00957BC9" w:rsidRDefault="00A7523C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</w:t>
            </w:r>
            <w:r w:rsidR="002B2A28">
              <w:t>A</w:t>
            </w:r>
            <w:r>
              <w:t>EL</w:t>
            </w:r>
            <w:r w:rsidR="009A62B3">
              <w:t>:</w:t>
            </w:r>
            <w:r>
              <w:t xml:space="preserve"> 100 mg/kg/d in 13 wk mice study administered by oral gavage 5 d/wk</w:t>
            </w:r>
            <w:r w:rsidR="001E0B81">
              <w:t>; 500 ppm (male rat, 208 d)</w:t>
            </w:r>
          </w:p>
          <w:p w14:paraId="2FBE6538" w14:textId="4C0B9920" w:rsidR="00A7523C" w:rsidRDefault="00A7523C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LOEL</w:t>
            </w:r>
            <w:r w:rsidR="009A62B3">
              <w:t>:</w:t>
            </w:r>
            <w:r>
              <w:t xml:space="preserve"> 15 mg/kg/d (rats, aqueous gavage, 90 d)</w:t>
            </w:r>
            <w:r w:rsidR="00BD7366">
              <w:t>; chronic heart inflammation reported at all doses in males, but 30 mg/kg or greater in females</w:t>
            </w:r>
          </w:p>
          <w:p w14:paraId="6857161B" w14:textId="458DA83E" w:rsidR="00507115" w:rsidRDefault="00BD7366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4 mo inhalation study (poorly documented) with rats and guinea pigs exposed to </w:t>
            </w:r>
            <w:r w:rsidR="00507115">
              <w:rPr>
                <w:rFonts w:cs="Arial"/>
              </w:rPr>
              <w:t>≈</w:t>
            </w:r>
            <w:r>
              <w:t>6 mg/m</w:t>
            </w:r>
            <w:r>
              <w:rPr>
                <w:vertAlign w:val="superscript"/>
              </w:rPr>
              <w:t>3</w:t>
            </w:r>
            <w:r>
              <w:t xml:space="preserve"> and 21 mg/m</w:t>
            </w:r>
            <w:r>
              <w:rPr>
                <w:vertAlign w:val="superscript"/>
              </w:rPr>
              <w:t>3</w:t>
            </w:r>
            <w:r w:rsidR="00507115">
              <w:t>:</w:t>
            </w:r>
            <w:r>
              <w:t xml:space="preserve"> </w:t>
            </w:r>
          </w:p>
          <w:p w14:paraId="6EBB6F56" w14:textId="3BE63A42" w:rsidR="00BD7366" w:rsidRDefault="00BD7366" w:rsidP="00BE79EE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rats at 6 mg/m</w:t>
            </w:r>
            <w:r>
              <w:rPr>
                <w:vertAlign w:val="superscript"/>
              </w:rPr>
              <w:t>3</w:t>
            </w:r>
            <w:r>
              <w:t xml:space="preserve"> mostly unaffected and at 21 mg/m</w:t>
            </w:r>
            <w:r>
              <w:rPr>
                <w:vertAlign w:val="superscript"/>
              </w:rPr>
              <w:t>3</w:t>
            </w:r>
            <w:r>
              <w:t xml:space="preserve"> weight loss, reduced oxygen consumption and body temperature, </w:t>
            </w:r>
            <w:r w:rsidR="00A665CE">
              <w:t>haemoglobinuria</w:t>
            </w:r>
            <w:r>
              <w:t>, reduced chloride levels and inflammatory changes in respiratory tract</w:t>
            </w:r>
            <w:r w:rsidR="001E0B81">
              <w:t xml:space="preserve"> (</w:t>
            </w:r>
            <w:r w:rsidR="007C62C1">
              <w:t xml:space="preserve">effects in </w:t>
            </w:r>
            <w:r w:rsidR="001E0B81">
              <w:t>guinea pigs not reported)</w:t>
            </w:r>
          </w:p>
          <w:p w14:paraId="28ADC774" w14:textId="77777777" w:rsidR="00BD7366" w:rsidRDefault="001E0B81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for carcinogenicity</w:t>
            </w:r>
          </w:p>
          <w:p w14:paraId="5630C192" w14:textId="69501A0C" w:rsidR="001E0B81" w:rsidRDefault="001E0B81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Evaluation of genotoxicity data by NTP found </w:t>
            </w:r>
            <w:r w:rsidR="00E63ACD">
              <w:t>potential to cause DNA damage and mutagenicity was probably low.</w:t>
            </w:r>
          </w:p>
          <w:p w14:paraId="6EB202E1" w14:textId="77777777" w:rsidR="006E2791" w:rsidRDefault="006E2791" w:rsidP="00063CF5">
            <w:pPr>
              <w:pStyle w:val="Tabletextprimarysource"/>
            </w:pPr>
          </w:p>
          <w:p w14:paraId="751FEFB8" w14:textId="77777777" w:rsidR="00E63ACD" w:rsidRDefault="00E63ACD" w:rsidP="00063CF5">
            <w:pPr>
              <w:pStyle w:val="Tabletextprimarysource"/>
            </w:pPr>
            <w:r>
              <w:t>Insufficient data to recommend a SEN notation or TLV-STEL.</w:t>
            </w:r>
          </w:p>
          <w:p w14:paraId="772A4CA7" w14:textId="6849DFEA" w:rsidR="006E2791" w:rsidRPr="00DA352E" w:rsidRDefault="006E2791" w:rsidP="00063CF5">
            <w:pPr>
              <w:pStyle w:val="Tabletextprimarysource"/>
            </w:pPr>
          </w:p>
        </w:tc>
      </w:tr>
      <w:tr w:rsidR="00C978F0" w:rsidRPr="00DA352E" w14:paraId="4664DBEC" w14:textId="77777777" w:rsidTr="004C7EB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9A7689C" w14:textId="19910A6A" w:rsidR="00C978F0" w:rsidRPr="00DA352E" w:rsidRDefault="00DA352E" w:rsidP="00A665C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C6092">
                  <w:t>201</w:t>
                </w:r>
                <w:r w:rsidR="006879B6">
                  <w:t>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C6092">
                  <w:t>MAK: 0.5 ppm (2.0 mg/m</w:t>
                </w:r>
                <w:r w:rsidR="002C6092" w:rsidRPr="002C6092">
                  <w:rPr>
                    <w:vertAlign w:val="superscript"/>
                  </w:rPr>
                  <w:t>3</w:t>
                </w:r>
                <w:r w:rsidR="002C6092">
                  <w:t>)</w:t>
                </w:r>
              </w:sdtContent>
            </w:sdt>
          </w:p>
        </w:tc>
      </w:tr>
      <w:tr w:rsidR="00C978F0" w:rsidRPr="00DA352E" w14:paraId="4514370A" w14:textId="77777777" w:rsidTr="004C7EB5">
        <w:trPr>
          <w:gridAfter w:val="1"/>
          <w:wAfter w:w="8" w:type="pct"/>
        </w:trPr>
        <w:tc>
          <w:tcPr>
            <w:tcW w:w="4992" w:type="pct"/>
          </w:tcPr>
          <w:p w14:paraId="4AB0DAEA" w14:textId="77777777" w:rsidR="006879B6" w:rsidRPr="00193D9F" w:rsidRDefault="006879B6" w:rsidP="00063CF5">
            <w:pPr>
              <w:pStyle w:val="Tabletextprimarysource"/>
            </w:pPr>
            <w:r>
              <w:t>Summary of additional data:</w:t>
            </w:r>
          </w:p>
          <w:p w14:paraId="1A90F319" w14:textId="77777777" w:rsidR="00C978F0" w:rsidRDefault="006879B6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MAK established based on analogy to phosphoric acid</w:t>
            </w:r>
          </w:p>
          <w:p w14:paraId="23325ED2" w14:textId="56E0DE85" w:rsidR="006879B6" w:rsidRDefault="00F75135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Recent studies demonstrated </w:t>
            </w:r>
            <w:r w:rsidR="006879B6">
              <w:t>DNA damag</w:t>
            </w:r>
            <w:r w:rsidR="001E7B80">
              <w:t>e</w:t>
            </w:r>
            <w:r w:rsidR="006879B6">
              <w:t xml:space="preserve"> </w:t>
            </w:r>
            <w:r w:rsidR="006879B6">
              <w:rPr>
                <w:i/>
              </w:rPr>
              <w:t>in vitro</w:t>
            </w:r>
            <w:r>
              <w:t>, however</w:t>
            </w:r>
            <w:r w:rsidR="001E7B80">
              <w:t xml:space="preserve"> </w:t>
            </w:r>
            <w:r w:rsidR="00C13A70">
              <w:t xml:space="preserve">it </w:t>
            </w:r>
            <w:r>
              <w:t xml:space="preserve">occurs at cytotoxic concentrations and </w:t>
            </w:r>
            <w:r w:rsidR="001E7B80">
              <w:t>caused by oxidative stress</w:t>
            </w:r>
          </w:p>
          <w:p w14:paraId="4F7B60BF" w14:textId="7F3286C1" w:rsidR="0058357F" w:rsidRDefault="0058357F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Of chronic studies, rats </w:t>
            </w:r>
            <w:r w:rsidR="00C13A70">
              <w:t xml:space="preserve">considered the </w:t>
            </w:r>
            <w:r>
              <w:t>most sensitive species and NOAEL of 3.5 mg/kg</w:t>
            </w:r>
            <w:r w:rsidR="00507115">
              <w:t>/d</w:t>
            </w:r>
            <w:r>
              <w:t xml:space="preserve"> (2 y</w:t>
            </w:r>
            <w:r w:rsidR="00063CF5">
              <w:t>r</w:t>
            </w:r>
            <w:r>
              <w:t xml:space="preserve">, </w:t>
            </w:r>
            <w:r w:rsidR="003B2E88">
              <w:t>drinking water</w:t>
            </w:r>
            <w:r w:rsidR="00C13A70">
              <w:t>, rats</w:t>
            </w:r>
            <w:r>
              <w:t>)</w:t>
            </w:r>
            <w:r w:rsidR="00DF794A">
              <w:t xml:space="preserve">; based on </w:t>
            </w:r>
            <w:r w:rsidR="00DF794A">
              <w:rPr>
                <w:rFonts w:cs="Arial"/>
                <w:color w:val="1C1D1E"/>
                <w:shd w:val="clear" w:color="auto" w:fill="FFFFFF"/>
              </w:rPr>
              <w:t xml:space="preserve">reduced </w:t>
            </w:r>
            <w:r w:rsidR="004C7EB5">
              <w:rPr>
                <w:rFonts w:cs="Arial"/>
                <w:color w:val="1C1D1E"/>
                <w:shd w:val="clear" w:color="auto" w:fill="FFFFFF"/>
              </w:rPr>
              <w:t>bw</w:t>
            </w:r>
            <w:r w:rsidR="00DF794A">
              <w:rPr>
                <w:rFonts w:cs="Arial"/>
                <w:color w:val="1C1D1E"/>
                <w:shd w:val="clear" w:color="auto" w:fill="FFFFFF"/>
              </w:rPr>
              <w:t xml:space="preserve"> gains and reduced liver and kidney weights</w:t>
            </w:r>
            <w:r w:rsidR="00192286">
              <w:t>.</w:t>
            </w:r>
          </w:p>
          <w:p w14:paraId="2655CFDE" w14:textId="3ABBBE2C" w:rsidR="006E2791" w:rsidRPr="00DA352E" w:rsidRDefault="006E2791" w:rsidP="0050711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411CCD9D" w14:textId="77777777" w:rsidTr="004C7EB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39047BC" w14:textId="564EEABC" w:rsidR="00C978F0" w:rsidRPr="00DA352E" w:rsidRDefault="00DA352E" w:rsidP="00A665C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C6092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2C6092">
                  <w:t>Not assigned</w:t>
                </w:r>
              </w:sdtContent>
            </w:sdt>
          </w:p>
        </w:tc>
      </w:tr>
      <w:tr w:rsidR="00C978F0" w:rsidRPr="00DA352E" w14:paraId="350B277E" w14:textId="77777777" w:rsidTr="004C7EB5">
        <w:trPr>
          <w:gridAfter w:val="1"/>
          <w:wAfter w:w="8" w:type="pct"/>
        </w:trPr>
        <w:tc>
          <w:tcPr>
            <w:tcW w:w="4992" w:type="pct"/>
          </w:tcPr>
          <w:p w14:paraId="3270A430" w14:textId="77777777" w:rsidR="00C978F0" w:rsidRDefault="00192286" w:rsidP="00063CF5">
            <w:pPr>
              <w:pStyle w:val="Tabletextprimarysource"/>
            </w:pPr>
            <w:r>
              <w:t>Summary of additional data:</w:t>
            </w:r>
          </w:p>
          <w:p w14:paraId="5A25C042" w14:textId="77777777" w:rsidR="00192286" w:rsidRDefault="00192286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European Risk Assessment Report concluded </w:t>
            </w:r>
            <w:r w:rsidR="009E16A0">
              <w:t>MCAA is not genotoxic</w:t>
            </w:r>
          </w:p>
          <w:p w14:paraId="78C7007D" w14:textId="77777777" w:rsidR="009E16A0" w:rsidRDefault="009E16A0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evidence to suggest it is a skin sensitiser</w:t>
            </w:r>
          </w:p>
          <w:p w14:paraId="2A185B1E" w14:textId="77777777" w:rsidR="009E16A0" w:rsidRDefault="009E16A0" w:rsidP="00A665C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Threshold for respiratory irritation not supported by available data and OEL not assigned.</w:t>
            </w:r>
          </w:p>
          <w:p w14:paraId="0908E378" w14:textId="2A30B83A" w:rsidR="006E2791" w:rsidRPr="00DA352E" w:rsidRDefault="006E2791" w:rsidP="0050711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275896EE" w14:textId="77777777" w:rsidTr="004C7EB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7F6EFC2" w14:textId="760CDF0B" w:rsidR="00DA352E" w:rsidRPr="00DA352E" w:rsidRDefault="00DA352E" w:rsidP="00A665C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C6092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2C6092">
                  <w:t xml:space="preserve">8-hr TWA: 0.5 ppm </w:t>
                </w:r>
              </w:sdtContent>
            </w:sdt>
          </w:p>
        </w:tc>
      </w:tr>
      <w:tr w:rsidR="00DA352E" w:rsidRPr="00DA352E" w14:paraId="63EF9D67" w14:textId="77777777" w:rsidTr="004C7EB5">
        <w:trPr>
          <w:gridAfter w:val="1"/>
          <w:wAfter w:w="8" w:type="pct"/>
        </w:trPr>
        <w:tc>
          <w:tcPr>
            <w:tcW w:w="4992" w:type="pct"/>
          </w:tcPr>
          <w:p w14:paraId="0CA2FDCF" w14:textId="3C5A1BCC" w:rsidR="00DA352E" w:rsidRPr="00DA352E" w:rsidRDefault="00391F17" w:rsidP="00063CF5">
            <w:pPr>
              <w:pStyle w:val="Tabletextprimarysource"/>
            </w:pPr>
            <w:r>
              <w:t>No</w:t>
            </w:r>
            <w:r w:rsidR="009E16A0">
              <w:t xml:space="preserve"> additional </w:t>
            </w:r>
            <w:r>
              <w:t>information.</w:t>
            </w:r>
          </w:p>
        </w:tc>
      </w:tr>
      <w:tr w:rsidR="00DA352E" w:rsidRPr="00DA352E" w14:paraId="2ABCA2F1" w14:textId="77777777" w:rsidTr="004C7EB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A7662E3" w14:textId="2AC8B820" w:rsidR="00DA352E" w:rsidRPr="00DA352E" w:rsidRDefault="00DA352E" w:rsidP="00A665C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C609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2C6092">
                  <w:t>NA</w:t>
                </w:r>
              </w:sdtContent>
            </w:sdt>
          </w:p>
        </w:tc>
      </w:tr>
      <w:tr w:rsidR="00DA352E" w:rsidRPr="00DA352E" w14:paraId="6B53F3E7" w14:textId="77777777" w:rsidTr="004C7EB5">
        <w:trPr>
          <w:gridAfter w:val="1"/>
          <w:wAfter w:w="8" w:type="pct"/>
        </w:trPr>
        <w:tc>
          <w:tcPr>
            <w:tcW w:w="4992" w:type="pct"/>
          </w:tcPr>
          <w:p w14:paraId="21C3B06C" w14:textId="3AAE9F44" w:rsidR="00DA352E" w:rsidRPr="00DA352E" w:rsidRDefault="002C6092" w:rsidP="00063CF5">
            <w:pPr>
              <w:pStyle w:val="Tabletextprimarysource"/>
            </w:pPr>
            <w:r>
              <w:t>No report</w:t>
            </w:r>
            <w:r w:rsidR="00063CF5">
              <w:t>.</w:t>
            </w:r>
          </w:p>
        </w:tc>
      </w:tr>
    </w:tbl>
    <w:p w14:paraId="0EC0C88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0649E3C0" w14:textId="37EE3EE2" w:rsidR="007E2A4B" w:rsidRDefault="00C7431C">
      <w:r>
        <w:t>NIL</w:t>
      </w:r>
      <w:r w:rsidR="00507115">
        <w:t>.</w:t>
      </w:r>
    </w:p>
    <w:bookmarkEnd w:id="0"/>
    <w:p w14:paraId="5BB3034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9DED04F" w14:textId="77777777" w:rsidTr="006879B6">
        <w:trPr>
          <w:trHeight w:val="454"/>
          <w:tblHeader/>
        </w:trPr>
        <w:tc>
          <w:tcPr>
            <w:tcW w:w="6597" w:type="dxa"/>
            <w:vAlign w:val="center"/>
          </w:tcPr>
          <w:p w14:paraId="7D90D1E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7D10CA4" w14:textId="10AC3189" w:rsidR="002E0D61" w:rsidRDefault="006879B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B809559" w14:textId="77777777" w:rsidTr="006879B6">
        <w:trPr>
          <w:trHeight w:val="454"/>
        </w:trPr>
        <w:tc>
          <w:tcPr>
            <w:tcW w:w="6597" w:type="dxa"/>
            <w:vAlign w:val="center"/>
          </w:tcPr>
          <w:p w14:paraId="23EA53A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F97BED3" w14:textId="38685F6D" w:rsidR="008A36CF" w:rsidRDefault="006879B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A47B20E" w14:textId="77777777" w:rsidTr="006879B6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7EEE31FF" w14:textId="6F52E985" w:rsidR="008A36CF" w:rsidRPr="006901A2" w:rsidRDefault="006879B6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3010C7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A5A8EA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BC02CB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F1FCBD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1DC4E9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8C3D7D0" w14:textId="77777777" w:rsidTr="00812887">
        <w:trPr>
          <w:cantSplit/>
        </w:trPr>
        <w:tc>
          <w:tcPr>
            <w:tcW w:w="3227" w:type="dxa"/>
          </w:tcPr>
          <w:p w14:paraId="467FEF8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514C484" w14:textId="38C5F382" w:rsidR="00687890" w:rsidRPr="00DD2F9B" w:rsidRDefault="002C6092" w:rsidP="00DD2F9B">
            <w:pPr>
              <w:pStyle w:val="Tablefont"/>
            </w:pPr>
            <w:r w:rsidRPr="002C6092">
              <w:t>Skin</w:t>
            </w:r>
          </w:p>
        </w:tc>
      </w:tr>
      <w:tr w:rsidR="007925F0" w:rsidRPr="004C23F4" w14:paraId="446755E9" w14:textId="77777777" w:rsidTr="00812887">
        <w:trPr>
          <w:cantSplit/>
        </w:trPr>
        <w:tc>
          <w:tcPr>
            <w:tcW w:w="3227" w:type="dxa"/>
          </w:tcPr>
          <w:p w14:paraId="0C3B3AE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7507362" w14:textId="6B488426" w:rsidR="007925F0" w:rsidRPr="00DD2F9B" w:rsidRDefault="002C6092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6CEFF49B" w14:textId="77777777" w:rsidTr="00812887">
        <w:trPr>
          <w:cantSplit/>
        </w:trPr>
        <w:tc>
          <w:tcPr>
            <w:tcW w:w="3227" w:type="dxa"/>
          </w:tcPr>
          <w:p w14:paraId="4B57A74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CB9549D" w14:textId="7DD1179F" w:rsidR="00AF483F" w:rsidRPr="00DD2F9B" w:rsidRDefault="002C6092" w:rsidP="00DD2F9B">
            <w:pPr>
              <w:pStyle w:val="Tablefont"/>
            </w:pPr>
            <w:r w:rsidRPr="002C6092">
              <w:t>Skin</w:t>
            </w:r>
          </w:p>
        </w:tc>
      </w:tr>
      <w:tr w:rsidR="00687890" w:rsidRPr="004C23F4" w14:paraId="292EC852" w14:textId="77777777" w:rsidTr="00812887">
        <w:trPr>
          <w:cantSplit/>
        </w:trPr>
        <w:tc>
          <w:tcPr>
            <w:tcW w:w="3227" w:type="dxa"/>
          </w:tcPr>
          <w:p w14:paraId="4C87DBF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30E5DBD" w14:textId="088969F3" w:rsidR="00687890" w:rsidRPr="00DD2F9B" w:rsidRDefault="00F22F3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7A31CD5" w14:textId="77777777" w:rsidTr="00812887">
        <w:trPr>
          <w:cantSplit/>
        </w:trPr>
        <w:tc>
          <w:tcPr>
            <w:tcW w:w="3227" w:type="dxa"/>
          </w:tcPr>
          <w:p w14:paraId="02C7AF2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197624E" w14:textId="170EE2BE" w:rsidR="00E41A26" w:rsidRPr="00DD2F9B" w:rsidRDefault="00F22F3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8F16131" w14:textId="77777777" w:rsidTr="00812887">
        <w:trPr>
          <w:cantSplit/>
        </w:trPr>
        <w:tc>
          <w:tcPr>
            <w:tcW w:w="3227" w:type="dxa"/>
          </w:tcPr>
          <w:p w14:paraId="779607B1" w14:textId="77777777" w:rsidR="004079B4" w:rsidRPr="004C23F4" w:rsidRDefault="002E0D61" w:rsidP="00F4402E">
            <w:pPr>
              <w:pStyle w:val="Tablefont"/>
            </w:pPr>
            <w:r>
              <w:lastRenderedPageBreak/>
              <w:t>ACGIH</w:t>
            </w:r>
          </w:p>
        </w:tc>
        <w:tc>
          <w:tcPr>
            <w:tcW w:w="6015" w:type="dxa"/>
          </w:tcPr>
          <w:p w14:paraId="51B21C38" w14:textId="21665A6D" w:rsidR="002E0D61" w:rsidRPr="00DD2F9B" w:rsidRDefault="00F22F30" w:rsidP="00DD2F9B">
            <w:pPr>
              <w:pStyle w:val="Tablefont"/>
            </w:pPr>
            <w:r w:rsidRPr="00F22F30">
              <w:t>Carcinogenicity – A4</w:t>
            </w:r>
            <w:r>
              <w:t xml:space="preserve">, </w:t>
            </w:r>
            <w:r w:rsidRPr="00F22F30">
              <w:t>Skin</w:t>
            </w:r>
          </w:p>
        </w:tc>
      </w:tr>
      <w:tr w:rsidR="002E0D61" w:rsidRPr="004C23F4" w14:paraId="3AD06E30" w14:textId="77777777" w:rsidTr="00812887">
        <w:trPr>
          <w:cantSplit/>
        </w:trPr>
        <w:tc>
          <w:tcPr>
            <w:tcW w:w="3227" w:type="dxa"/>
          </w:tcPr>
          <w:p w14:paraId="1F2A6E4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9D4FBE6" w14:textId="3C2E4EDC" w:rsidR="002E0D61" w:rsidRPr="00DD2F9B" w:rsidRDefault="00F22F30" w:rsidP="00DD2F9B">
            <w:pPr>
              <w:pStyle w:val="Tablefont"/>
            </w:pPr>
            <w:r w:rsidRPr="00F22F30">
              <w:t>H (skin)</w:t>
            </w:r>
          </w:p>
        </w:tc>
      </w:tr>
      <w:tr w:rsidR="002E0D61" w:rsidRPr="004C23F4" w14:paraId="4E5D844D" w14:textId="77777777" w:rsidTr="00812887">
        <w:trPr>
          <w:cantSplit/>
        </w:trPr>
        <w:tc>
          <w:tcPr>
            <w:tcW w:w="3227" w:type="dxa"/>
          </w:tcPr>
          <w:p w14:paraId="691FF3C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9D869BF" w14:textId="13B3C07E" w:rsidR="002E0D61" w:rsidRPr="00DD2F9B" w:rsidRDefault="00F22F3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E483CA7" w14:textId="77777777" w:rsidTr="00812887">
        <w:trPr>
          <w:cantSplit/>
        </w:trPr>
        <w:tc>
          <w:tcPr>
            <w:tcW w:w="3227" w:type="dxa"/>
          </w:tcPr>
          <w:p w14:paraId="74A9557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F417C3F" w14:textId="5AE295F4" w:rsidR="002E0D61" w:rsidRPr="00DD2F9B" w:rsidRDefault="00F22F3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8E936AB" w14:textId="77777777" w:rsidTr="00812887">
        <w:trPr>
          <w:cantSplit/>
        </w:trPr>
        <w:tc>
          <w:tcPr>
            <w:tcW w:w="3227" w:type="dxa"/>
          </w:tcPr>
          <w:p w14:paraId="244B9C4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3B604F7" w14:textId="5F2EE09C" w:rsidR="00386093" w:rsidRPr="00DD2F9B" w:rsidRDefault="00F22F3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DCA4A87" w14:textId="77777777" w:rsidTr="00812887">
        <w:trPr>
          <w:cantSplit/>
        </w:trPr>
        <w:tc>
          <w:tcPr>
            <w:tcW w:w="3227" w:type="dxa"/>
          </w:tcPr>
          <w:p w14:paraId="25E32E2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76DE3D6" w14:textId="45F191C2" w:rsidR="00386093" w:rsidRPr="00DD2F9B" w:rsidRDefault="00F22F3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49A095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4642E0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3F119C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246DF4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904"/>
        <w:gridCol w:w="1173"/>
        <w:gridCol w:w="1173"/>
        <w:gridCol w:w="2776"/>
      </w:tblGrid>
      <w:tr w:rsidR="006879B6" w:rsidRPr="006879B6" w14:paraId="13E87DCF" w14:textId="77777777" w:rsidTr="006879B6">
        <w:trPr>
          <w:trHeight w:val="342"/>
        </w:trPr>
        <w:tc>
          <w:tcPr>
            <w:tcW w:w="216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3"/>
          <w:p w14:paraId="613DB5D0" w14:textId="77777777" w:rsidR="006879B6" w:rsidRPr="006879B6" w:rsidRDefault="006879B6" w:rsidP="006879B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Adverse effects in human case study: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1774DBE9" w14:textId="77777777" w:rsidR="006879B6" w:rsidRPr="006879B6" w:rsidRDefault="006879B6" w:rsidP="006879B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92529F8" w14:textId="77777777" w:rsidR="006879B6" w:rsidRPr="006879B6" w:rsidRDefault="006879B6" w:rsidP="006879B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4.00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C8155E" w14:textId="77777777" w:rsidR="006879B6" w:rsidRPr="006879B6" w:rsidRDefault="006879B6" w:rsidP="006879B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6879B6" w:rsidRPr="006879B6" w14:paraId="78D72A2E" w14:textId="77777777" w:rsidTr="006879B6">
        <w:trPr>
          <w:trHeight w:val="342"/>
        </w:trPr>
        <w:tc>
          <w:tcPr>
            <w:tcW w:w="216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2F2CB0" w14:textId="77777777" w:rsidR="006879B6" w:rsidRPr="006879B6" w:rsidRDefault="006879B6" w:rsidP="006879B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≤1000 mg/kg: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01D24883" w14:textId="77777777" w:rsidR="006879B6" w:rsidRPr="006879B6" w:rsidRDefault="006879B6" w:rsidP="006879B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B3484A1" w14:textId="77777777" w:rsidR="006879B6" w:rsidRPr="006879B6" w:rsidRDefault="006879B6" w:rsidP="006879B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3.00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8D119CA" w14:textId="77777777" w:rsidR="006879B6" w:rsidRPr="006879B6" w:rsidRDefault="006879B6" w:rsidP="006879B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6879B6" w:rsidRPr="006879B6" w14:paraId="47716E13" w14:textId="77777777" w:rsidTr="006879B6">
        <w:trPr>
          <w:trHeight w:val="342"/>
        </w:trPr>
        <w:tc>
          <w:tcPr>
            <w:tcW w:w="216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17A11B5" w14:textId="77777777" w:rsidR="006879B6" w:rsidRPr="006879B6" w:rsidRDefault="006879B6" w:rsidP="006879B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repeat-dose NOAEL ≤200 mg/kg: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063547" w14:textId="77777777" w:rsidR="006879B6" w:rsidRPr="006879B6" w:rsidRDefault="006879B6" w:rsidP="006879B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036CD9E" w14:textId="77777777" w:rsidR="006879B6" w:rsidRPr="006879B6" w:rsidRDefault="006879B6" w:rsidP="006879B6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17B04BB" w14:textId="77777777" w:rsidR="006879B6" w:rsidRPr="006879B6" w:rsidRDefault="006879B6" w:rsidP="006879B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6879B6" w:rsidRPr="006879B6" w14:paraId="3595A779" w14:textId="77777777" w:rsidTr="006879B6">
        <w:trPr>
          <w:trHeight w:val="342"/>
        </w:trPr>
        <w:tc>
          <w:tcPr>
            <w:tcW w:w="216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5989735" w14:textId="77777777" w:rsidR="006879B6" w:rsidRPr="006879B6" w:rsidRDefault="006879B6" w:rsidP="006879B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/Inhalation LD</w:t>
            </w: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&lt;10: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29EDB0F6" w14:textId="77777777" w:rsidR="006879B6" w:rsidRPr="006879B6" w:rsidRDefault="006879B6" w:rsidP="006879B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EAA85A4" w14:textId="77777777" w:rsidR="006879B6" w:rsidRPr="006879B6" w:rsidRDefault="006879B6" w:rsidP="006879B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3.00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ED5A7DE" w14:textId="77777777" w:rsidR="006879B6" w:rsidRPr="006879B6" w:rsidRDefault="006879B6" w:rsidP="006879B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6879B6" w:rsidRPr="006879B6" w14:paraId="439AA247" w14:textId="77777777" w:rsidTr="006879B6">
        <w:trPr>
          <w:trHeight w:val="342"/>
        </w:trPr>
        <w:tc>
          <w:tcPr>
            <w:tcW w:w="216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9468CCC" w14:textId="77777777" w:rsidR="006879B6" w:rsidRPr="006879B6" w:rsidRDefault="006879B6" w:rsidP="006879B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  <w:t>In vivo</w:t>
            </w: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dermal absorption rate &gt;10%: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2943EA9" w14:textId="77777777" w:rsidR="006879B6" w:rsidRPr="006879B6" w:rsidRDefault="006879B6" w:rsidP="006879B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C3496FB" w14:textId="77777777" w:rsidR="006879B6" w:rsidRPr="006879B6" w:rsidRDefault="006879B6" w:rsidP="006879B6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891273A" w14:textId="77777777" w:rsidR="006879B6" w:rsidRPr="006879B6" w:rsidRDefault="006879B6" w:rsidP="006879B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6879B6" w:rsidRPr="006879B6" w14:paraId="45E3003A" w14:textId="77777777" w:rsidTr="006879B6">
        <w:trPr>
          <w:trHeight w:val="342"/>
        </w:trPr>
        <w:tc>
          <w:tcPr>
            <w:tcW w:w="216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E505F34" w14:textId="77777777" w:rsidR="006879B6" w:rsidRPr="006879B6" w:rsidRDefault="006879B6" w:rsidP="006879B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Estimated dermal exposure at WES &gt;10%: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610677" w14:textId="77777777" w:rsidR="006879B6" w:rsidRPr="006879B6" w:rsidRDefault="006879B6" w:rsidP="006879B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41BC08" w14:textId="77777777" w:rsidR="006879B6" w:rsidRPr="006879B6" w:rsidRDefault="006879B6" w:rsidP="006879B6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1D7263E" w14:textId="77777777" w:rsidR="006879B6" w:rsidRPr="006879B6" w:rsidRDefault="006879B6" w:rsidP="006879B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6879B6" w:rsidRPr="006879B6" w14:paraId="5AAFB240" w14:textId="77777777" w:rsidTr="006879B6">
        <w:trPr>
          <w:trHeight w:val="342"/>
        </w:trPr>
        <w:tc>
          <w:tcPr>
            <w:tcW w:w="216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08C7EFF" w14:textId="77777777" w:rsidR="006879B6" w:rsidRPr="006879B6" w:rsidRDefault="006879B6" w:rsidP="006879B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F0D2E2" w14:textId="77777777" w:rsidR="006879B6" w:rsidRPr="006879B6" w:rsidRDefault="006879B6" w:rsidP="006879B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9D6DE33" w14:textId="77777777" w:rsidR="006879B6" w:rsidRPr="006879B6" w:rsidRDefault="006879B6" w:rsidP="006879B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1729E9" w14:textId="77777777" w:rsidR="006879B6" w:rsidRPr="006879B6" w:rsidRDefault="006879B6" w:rsidP="006879B6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6879B6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a skin notation is warranted</w:t>
            </w:r>
          </w:p>
        </w:tc>
      </w:tr>
    </w:tbl>
    <w:p w14:paraId="2134AD3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CAB73E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CE6172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21437C0" w14:textId="1B74AC37" w:rsidR="00EB3D1B" w:rsidRDefault="00F22F30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88B2742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A5AFE8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D6DF8F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EF64FAA" w14:textId="62178128" w:rsidR="001B79E5" w:rsidRDefault="00F22F30" w:rsidP="001B79E5">
                <w:pPr>
                  <w:pStyle w:val="Tablefont"/>
                </w:pPr>
                <w:r w:rsidRPr="00F22F30">
                  <w:t>94.5</w:t>
                </w:r>
                <w:r>
                  <w:t>0</w:t>
                </w:r>
              </w:p>
            </w:tc>
          </w:sdtContent>
        </w:sdt>
      </w:tr>
      <w:tr w:rsidR="00A31D99" w:rsidRPr="004C23F4" w14:paraId="4F050EB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FE27B3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E9E03D0" w14:textId="7D12DF65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F22F30">
                  <w:t>3.87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F22F30">
                  <w:t>0.259</w:t>
                </w:r>
              </w:sdtContent>
            </w:sdt>
            <w:r w:rsidRPr="00F22F30">
              <w:t xml:space="preserve"> </w:t>
            </w:r>
            <w:r>
              <w:t>ppm</w:t>
            </w:r>
          </w:p>
        </w:tc>
      </w:tr>
      <w:tr w:rsidR="00687890" w:rsidRPr="004C23F4" w14:paraId="40CEEC8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01164C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65332C2" w14:textId="375D193B" w:rsidR="00687890" w:rsidRPr="004C23F4" w:rsidRDefault="006879B6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4142209" w14:textId="77777777" w:rsidTr="00EA6243">
        <w:trPr>
          <w:cantSplit/>
        </w:trPr>
        <w:tc>
          <w:tcPr>
            <w:tcW w:w="4077" w:type="dxa"/>
            <w:vAlign w:val="center"/>
          </w:tcPr>
          <w:p w14:paraId="5D53FB4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9DB107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B9503E6" w14:textId="77777777" w:rsidTr="00EA6243">
        <w:trPr>
          <w:cantSplit/>
        </w:trPr>
        <w:tc>
          <w:tcPr>
            <w:tcW w:w="4077" w:type="dxa"/>
            <w:vAlign w:val="center"/>
          </w:tcPr>
          <w:p w14:paraId="736AAE1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EA503F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20A86E8" w14:textId="77777777" w:rsidTr="00EA6243">
        <w:trPr>
          <w:cantSplit/>
        </w:trPr>
        <w:tc>
          <w:tcPr>
            <w:tcW w:w="4077" w:type="dxa"/>
            <w:vAlign w:val="center"/>
          </w:tcPr>
          <w:p w14:paraId="1EC3761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B96C4D9" w14:textId="77777777" w:rsidR="00E06F40" w:rsidRPr="00A006A0" w:rsidRDefault="009D11C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8E6567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51B961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78FC12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0F228F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9DA7F7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E59562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44A1A2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E59F47D" w14:textId="77777777" w:rsidR="00F87D92" w:rsidRDefault="00F87D92" w:rsidP="00063CF5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0C0558F3" w14:textId="4EF5D87D" w:rsidR="007F1005" w:rsidRDefault="006650FE" w:rsidP="00A665CE">
      <w:pPr>
        <w:keepNext/>
      </w:pPr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87F0C0D" w14:textId="657C47FC" w:rsidR="00F22F30" w:rsidRDefault="00F22F30" w:rsidP="00A665CE">
      <w:pPr>
        <w:keepNext/>
      </w:pPr>
      <w:r w:rsidRPr="002022B6">
        <w:t>Deutsche Forschungsgemeinschaft (DFG)</w:t>
      </w:r>
      <w:r>
        <w:t xml:space="preserve"> (2019) Monochloressigsäure, Natriummonochloracetat – MAK value documentation.</w:t>
      </w:r>
    </w:p>
    <w:p w14:paraId="09DAD139" w14:textId="3DC4DD15" w:rsidR="00F22F30" w:rsidRDefault="00F22F30" w:rsidP="00A665CE">
      <w:pPr>
        <w:keepNext/>
      </w:pPr>
      <w:r w:rsidRPr="002022B6">
        <w:t>EU Scientific Committee on Occupational Exposure Limits (SCOEL)</w:t>
      </w:r>
      <w:r>
        <w:t xml:space="preserve"> (2008) Recommendation from the Scientific Committee on Occupational Exposure Limits for </w:t>
      </w:r>
      <w:r w:rsidRPr="00F22F30">
        <w:t>Monochloroacetic Acid</w:t>
      </w:r>
      <w:r>
        <w:t>. SCOEL/</w:t>
      </w:r>
      <w:r w:rsidRPr="00F22F30">
        <w:t>SUM/131</w:t>
      </w:r>
      <w:r>
        <w:t>.</w:t>
      </w:r>
    </w:p>
    <w:p w14:paraId="5E2D7F5D" w14:textId="19F45FE3" w:rsidR="00F22F30" w:rsidRPr="00351FE0" w:rsidRDefault="00F22F30" w:rsidP="00084859">
      <w:r w:rsidRPr="00DA129F">
        <w:t>Occupational Alliance for Risk Science</w:t>
      </w:r>
      <w:r>
        <w:t xml:space="preserve"> (OARS) (</w:t>
      </w:r>
      <w:r w:rsidR="00B40102">
        <w:t>2004</w:t>
      </w:r>
      <w:r>
        <w:t xml:space="preserve">) Workplace environmental exposure level – </w:t>
      </w:r>
      <w:r w:rsidR="00B40102" w:rsidRPr="00B40102">
        <w:t>Monochloroacetic Acid</w:t>
      </w:r>
      <w:r>
        <w:t>.</w:t>
      </w:r>
    </w:p>
    <w:sectPr w:rsidR="00F22F30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F90BB" w14:textId="77777777" w:rsidR="0094001E" w:rsidRDefault="0094001E" w:rsidP="00F43AD5">
      <w:pPr>
        <w:spacing w:after="0" w:line="240" w:lineRule="auto"/>
      </w:pPr>
      <w:r>
        <w:separator/>
      </w:r>
    </w:p>
  </w:endnote>
  <w:endnote w:type="continuationSeparator" w:id="0">
    <w:p w14:paraId="5C02BB22" w14:textId="77777777" w:rsidR="0094001E" w:rsidRDefault="0094001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3F0D2" w14:textId="77777777" w:rsidR="00A64B12" w:rsidRDefault="00A64B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DB532D7" w14:textId="2ED7901A" w:rsidR="008A36CF" w:rsidRDefault="002C6092" w:rsidP="0034744C">
        <w:pPr>
          <w:pStyle w:val="Footer"/>
          <w:rPr>
            <w:sz w:val="18"/>
            <w:szCs w:val="18"/>
          </w:rPr>
        </w:pPr>
        <w:r w:rsidRPr="002C6092">
          <w:rPr>
            <w:b/>
            <w:sz w:val="18"/>
            <w:szCs w:val="18"/>
          </w:rPr>
          <w:t>Monochloroacetic acid</w:t>
        </w:r>
        <w:r w:rsidR="008A36CF">
          <w:rPr>
            <w:b/>
            <w:sz w:val="18"/>
            <w:szCs w:val="18"/>
          </w:rPr>
          <w:t xml:space="preserve"> (</w:t>
        </w:r>
        <w:r w:rsidRPr="002C6092">
          <w:rPr>
            <w:b/>
            <w:sz w:val="18"/>
            <w:szCs w:val="18"/>
          </w:rPr>
          <w:t>79-11-8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B6C2625" w14:textId="4AC1741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F3EB3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84A30" w14:textId="77777777" w:rsidR="00A64B12" w:rsidRDefault="00A64B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13E76" w14:textId="77777777" w:rsidR="0094001E" w:rsidRDefault="0094001E" w:rsidP="00F43AD5">
      <w:pPr>
        <w:spacing w:after="0" w:line="240" w:lineRule="auto"/>
      </w:pPr>
      <w:r>
        <w:separator/>
      </w:r>
    </w:p>
  </w:footnote>
  <w:footnote w:type="continuationSeparator" w:id="0">
    <w:p w14:paraId="220517C5" w14:textId="77777777" w:rsidR="0094001E" w:rsidRDefault="0094001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CEEBC" w14:textId="77777777" w:rsidR="00A64B12" w:rsidRDefault="00A64B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B6F93" w14:textId="7B009B76" w:rsidR="00A64B12" w:rsidRDefault="00A64B12" w:rsidP="00A64B12">
    <w:pPr>
      <w:pStyle w:val="Header"/>
      <w:jc w:val="right"/>
    </w:pPr>
    <w:r>
      <w:rPr>
        <w:noProof/>
        <w:lang w:eastAsia="en-AU"/>
      </w:rPr>
      <w:drawing>
        <wp:inline distT="0" distB="0" distL="0" distR="0" wp14:anchorId="4657E28F" wp14:editId="69623681">
          <wp:extent cx="2943225" cy="590550"/>
          <wp:effectExtent l="0" t="0" r="0" b="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60FEF0" w14:textId="18E40C5D" w:rsidR="008A36CF" w:rsidRPr="00A64B12" w:rsidRDefault="008A36CF" w:rsidP="00A64B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58040" w14:textId="77777777" w:rsidR="00A64B12" w:rsidRDefault="00A64B1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DF26F" w14:textId="6A504A36" w:rsidR="00A64B12" w:rsidRDefault="00A64B12" w:rsidP="00A64B12">
    <w:pPr>
      <w:pStyle w:val="Header"/>
      <w:jc w:val="right"/>
    </w:pPr>
    <w:r>
      <w:rPr>
        <w:noProof/>
        <w:lang w:eastAsia="en-AU"/>
      </w:rPr>
      <w:drawing>
        <wp:inline distT="0" distB="0" distL="0" distR="0" wp14:anchorId="37E5CB30" wp14:editId="5B8D0258">
          <wp:extent cx="2943225" cy="590550"/>
          <wp:effectExtent l="0" t="0" r="0" b="0"/>
          <wp:docPr id="5" name="Picture 5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51779D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14818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AE839EF"/>
    <w:multiLevelType w:val="hybridMultilevel"/>
    <w:tmpl w:val="87A43C06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1793401597">
    <w:abstractNumId w:val="0"/>
  </w:num>
  <w:num w:numId="2" w16cid:durableId="669870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247"/>
    <w:rsid w:val="00060B48"/>
    <w:rsid w:val="00063CF5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13BF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228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0B81"/>
    <w:rsid w:val="001E46DA"/>
    <w:rsid w:val="001E7B80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4DAF"/>
    <w:rsid w:val="002463BC"/>
    <w:rsid w:val="002465CE"/>
    <w:rsid w:val="0025734A"/>
    <w:rsid w:val="00263255"/>
    <w:rsid w:val="00267D29"/>
    <w:rsid w:val="00276494"/>
    <w:rsid w:val="00277B0C"/>
    <w:rsid w:val="0028733C"/>
    <w:rsid w:val="00293BC3"/>
    <w:rsid w:val="002A78DA"/>
    <w:rsid w:val="002B1A2C"/>
    <w:rsid w:val="002B2A28"/>
    <w:rsid w:val="002C34F2"/>
    <w:rsid w:val="002C58FF"/>
    <w:rsid w:val="002C6092"/>
    <w:rsid w:val="002C7AFE"/>
    <w:rsid w:val="002D05D2"/>
    <w:rsid w:val="002E0D61"/>
    <w:rsid w:val="002E4C7B"/>
    <w:rsid w:val="002F0586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71D4"/>
    <w:rsid w:val="00386093"/>
    <w:rsid w:val="003904A4"/>
    <w:rsid w:val="00391841"/>
    <w:rsid w:val="00391B6D"/>
    <w:rsid w:val="00391F17"/>
    <w:rsid w:val="00394922"/>
    <w:rsid w:val="003A0E32"/>
    <w:rsid w:val="003A2B94"/>
    <w:rsid w:val="003B2E88"/>
    <w:rsid w:val="003B309D"/>
    <w:rsid w:val="003B387D"/>
    <w:rsid w:val="003B71E2"/>
    <w:rsid w:val="003C0D58"/>
    <w:rsid w:val="003D4FA3"/>
    <w:rsid w:val="003E0807"/>
    <w:rsid w:val="003E51FB"/>
    <w:rsid w:val="003E6B39"/>
    <w:rsid w:val="003F00F4"/>
    <w:rsid w:val="003F07E1"/>
    <w:rsid w:val="004030BC"/>
    <w:rsid w:val="00403F7D"/>
    <w:rsid w:val="00406785"/>
    <w:rsid w:val="004079B4"/>
    <w:rsid w:val="00417A56"/>
    <w:rsid w:val="00420957"/>
    <w:rsid w:val="00422A10"/>
    <w:rsid w:val="004256AE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77625"/>
    <w:rsid w:val="00477ED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C7EB5"/>
    <w:rsid w:val="004D16A3"/>
    <w:rsid w:val="004D4AA1"/>
    <w:rsid w:val="004D6D68"/>
    <w:rsid w:val="004D799C"/>
    <w:rsid w:val="004E5EDD"/>
    <w:rsid w:val="004F448A"/>
    <w:rsid w:val="004F493D"/>
    <w:rsid w:val="004F65E8"/>
    <w:rsid w:val="0050005E"/>
    <w:rsid w:val="00502B88"/>
    <w:rsid w:val="00503730"/>
    <w:rsid w:val="00507115"/>
    <w:rsid w:val="005142C4"/>
    <w:rsid w:val="0051509C"/>
    <w:rsid w:val="005272E2"/>
    <w:rsid w:val="0053108F"/>
    <w:rsid w:val="00532B56"/>
    <w:rsid w:val="00534B10"/>
    <w:rsid w:val="00537687"/>
    <w:rsid w:val="005446A2"/>
    <w:rsid w:val="00544D2F"/>
    <w:rsid w:val="00544F9C"/>
    <w:rsid w:val="00551BD8"/>
    <w:rsid w:val="005667C8"/>
    <w:rsid w:val="005727F6"/>
    <w:rsid w:val="00581055"/>
    <w:rsid w:val="00581D0B"/>
    <w:rsid w:val="0058357F"/>
    <w:rsid w:val="00591E38"/>
    <w:rsid w:val="00596B9D"/>
    <w:rsid w:val="005A19C5"/>
    <w:rsid w:val="005A3034"/>
    <w:rsid w:val="005A462D"/>
    <w:rsid w:val="005B253B"/>
    <w:rsid w:val="005B771D"/>
    <w:rsid w:val="005C5D16"/>
    <w:rsid w:val="005D3193"/>
    <w:rsid w:val="005D4A6E"/>
    <w:rsid w:val="005E304F"/>
    <w:rsid w:val="005E6979"/>
    <w:rsid w:val="005E75CB"/>
    <w:rsid w:val="005F3EB3"/>
    <w:rsid w:val="006013C1"/>
    <w:rsid w:val="00606043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879B6"/>
    <w:rsid w:val="006901A2"/>
    <w:rsid w:val="00690368"/>
    <w:rsid w:val="0069079C"/>
    <w:rsid w:val="00690B53"/>
    <w:rsid w:val="00695B72"/>
    <w:rsid w:val="006B160A"/>
    <w:rsid w:val="006B4E6C"/>
    <w:rsid w:val="006B50B6"/>
    <w:rsid w:val="006D1216"/>
    <w:rsid w:val="006D715D"/>
    <w:rsid w:val="006D79EA"/>
    <w:rsid w:val="006E2791"/>
    <w:rsid w:val="006E5D05"/>
    <w:rsid w:val="00701053"/>
    <w:rsid w:val="00701507"/>
    <w:rsid w:val="0070244E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62C1"/>
    <w:rsid w:val="007E063C"/>
    <w:rsid w:val="007E2A4B"/>
    <w:rsid w:val="007E307D"/>
    <w:rsid w:val="007E6A4E"/>
    <w:rsid w:val="007E6C94"/>
    <w:rsid w:val="007F1005"/>
    <w:rsid w:val="007F1B62"/>
    <w:rsid w:val="007F25E0"/>
    <w:rsid w:val="007F5328"/>
    <w:rsid w:val="00803D51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3FE4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001E"/>
    <w:rsid w:val="00946044"/>
    <w:rsid w:val="0094660B"/>
    <w:rsid w:val="00946A33"/>
    <w:rsid w:val="0095260E"/>
    <w:rsid w:val="009578DD"/>
    <w:rsid w:val="00957A0B"/>
    <w:rsid w:val="00957BC9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62B3"/>
    <w:rsid w:val="009B2FF2"/>
    <w:rsid w:val="009B380C"/>
    <w:rsid w:val="009B4843"/>
    <w:rsid w:val="009B6543"/>
    <w:rsid w:val="009C199D"/>
    <w:rsid w:val="009C278F"/>
    <w:rsid w:val="009C2B94"/>
    <w:rsid w:val="009C5874"/>
    <w:rsid w:val="009D11CF"/>
    <w:rsid w:val="009D3B5A"/>
    <w:rsid w:val="009E0C05"/>
    <w:rsid w:val="009E0D1C"/>
    <w:rsid w:val="009E16A0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3668B"/>
    <w:rsid w:val="00A402A3"/>
    <w:rsid w:val="00A53681"/>
    <w:rsid w:val="00A633D4"/>
    <w:rsid w:val="00A6461A"/>
    <w:rsid w:val="00A64B12"/>
    <w:rsid w:val="00A665CE"/>
    <w:rsid w:val="00A7523C"/>
    <w:rsid w:val="00A76420"/>
    <w:rsid w:val="00A84504"/>
    <w:rsid w:val="00A8672F"/>
    <w:rsid w:val="00A93057"/>
    <w:rsid w:val="00A968B0"/>
    <w:rsid w:val="00AB2672"/>
    <w:rsid w:val="00AB2817"/>
    <w:rsid w:val="00AB43C4"/>
    <w:rsid w:val="00AB48A8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102"/>
    <w:rsid w:val="00B40C60"/>
    <w:rsid w:val="00B479A9"/>
    <w:rsid w:val="00B52EDF"/>
    <w:rsid w:val="00B71188"/>
    <w:rsid w:val="00B76A41"/>
    <w:rsid w:val="00B81C02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D7366"/>
    <w:rsid w:val="00BE168F"/>
    <w:rsid w:val="00BE79EE"/>
    <w:rsid w:val="00BF2406"/>
    <w:rsid w:val="00BF5542"/>
    <w:rsid w:val="00C06E43"/>
    <w:rsid w:val="00C13A70"/>
    <w:rsid w:val="00C16315"/>
    <w:rsid w:val="00C3091E"/>
    <w:rsid w:val="00C40FF1"/>
    <w:rsid w:val="00C419E2"/>
    <w:rsid w:val="00C5020E"/>
    <w:rsid w:val="00C57452"/>
    <w:rsid w:val="00C61EDF"/>
    <w:rsid w:val="00C6239D"/>
    <w:rsid w:val="00C639A4"/>
    <w:rsid w:val="00C6594B"/>
    <w:rsid w:val="00C67FFB"/>
    <w:rsid w:val="00C7155E"/>
    <w:rsid w:val="00C71D1E"/>
    <w:rsid w:val="00C71D7D"/>
    <w:rsid w:val="00C7431C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15EC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31E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DF794A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3ACD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20E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2F30"/>
    <w:rsid w:val="00F236DF"/>
    <w:rsid w:val="00F36942"/>
    <w:rsid w:val="00F43AD5"/>
    <w:rsid w:val="00F4402E"/>
    <w:rsid w:val="00F51BB4"/>
    <w:rsid w:val="00F56DD0"/>
    <w:rsid w:val="00F6491C"/>
    <w:rsid w:val="00F67BBB"/>
    <w:rsid w:val="00F75135"/>
    <w:rsid w:val="00F83FB5"/>
    <w:rsid w:val="00F87D92"/>
    <w:rsid w:val="00F90AA7"/>
    <w:rsid w:val="00F92498"/>
    <w:rsid w:val="00F9496B"/>
    <w:rsid w:val="00F970C9"/>
    <w:rsid w:val="00F97AD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F22F30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47762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96B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6B9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6B9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7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715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6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CD3812CF9CC4D5BBA0B1B5D4F54C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F2C42-2A5A-4C3F-A211-2454B6E84C6F}"/>
      </w:docPartPr>
      <w:docPartBody>
        <w:p w:rsidR="00197063" w:rsidRDefault="00254D80" w:rsidP="00254D80">
          <w:pPr>
            <w:pStyle w:val="0CD3812CF9CC4D5BBA0B1B5D4F54CCCB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97063"/>
    <w:rsid w:val="00254D80"/>
    <w:rsid w:val="00503730"/>
    <w:rsid w:val="00957A0B"/>
    <w:rsid w:val="00D1629E"/>
    <w:rsid w:val="00D21A9F"/>
    <w:rsid w:val="00E8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54D8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CD3812CF9CC4D5BBA0B1B5D4F54CCCB">
    <w:name w:val="0CD3812CF9CC4D5BBA0B1B5D4F54CCCB"/>
    <w:rsid w:val="00254D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047C4B-71CE-46CC-8C5E-FEA7CE7AE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DFAF3B-8379-4608-9630-B7B580ACA922}">
  <ds:schemaRefs>
    <ds:schemaRef ds:uri="http://purl.org/dc/terms/"/>
    <ds:schemaRef ds:uri="http://purl.org/dc/elements/1.1/"/>
    <ds:schemaRef ds:uri="http://schemas.microsoft.com/office/2006/documentManagement/types"/>
    <ds:schemaRef ds:uri="a0509f21-ed56-4150-9955-96be669e5f2d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infopath/2007/PartnerControls"/>
    <ds:schemaRef ds:uri="1c567317-0c4d-4a62-8516-c22afd1b535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C2E0AA0-B3F4-48ED-995E-0ED985E45E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E17C61-5242-46DC-8A7E-A5535137EC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2020-01-28T00:53:00Z</dcterms:created>
  <dcterms:modified xsi:type="dcterms:W3CDTF">2026-01-09T00:05:00Z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2026-01-02T03:17:21Z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a3b08fee-7e09-4c5e-8acd-c6623edc61e0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