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48ED4BE" w14:textId="77777777" w:rsidR="00BD499F" w:rsidRPr="004C23F4" w:rsidRDefault="00820EE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</w:t>
          </w:r>
          <w:r w:rsidR="00485B01">
            <w:rPr>
              <w:rFonts w:ascii="Arial" w:hAnsi="Arial" w:cs="Arial"/>
            </w:rPr>
            <w:t>olybdenum, soluble compounds (as mo)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6790E006" w14:textId="77777777" w:rsidTr="00B76A41">
        <w:trPr>
          <w:cantSplit/>
          <w:tblHeader/>
        </w:trPr>
        <w:tc>
          <w:tcPr>
            <w:tcW w:w="4077" w:type="dxa"/>
          </w:tcPr>
          <w:p w14:paraId="3684683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0A00FF5" w14:textId="77777777" w:rsidR="00F43AD5" w:rsidRPr="00717D45" w:rsidRDefault="00485B01" w:rsidP="00485B01">
            <w:pPr>
              <w:pStyle w:val="Tablefont"/>
            </w:pPr>
            <w:r>
              <w:t>7439-98-7</w:t>
            </w:r>
          </w:p>
        </w:tc>
      </w:tr>
      <w:tr w:rsidR="00F43AD5" w:rsidRPr="004C23F4" w14:paraId="498D4DE5" w14:textId="77777777" w:rsidTr="00B76A41">
        <w:trPr>
          <w:cantSplit/>
        </w:trPr>
        <w:tc>
          <w:tcPr>
            <w:tcW w:w="4077" w:type="dxa"/>
          </w:tcPr>
          <w:p w14:paraId="3BEF44F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53551BB" w14:textId="77777777" w:rsidR="00F43AD5" w:rsidRPr="00717D45" w:rsidRDefault="00DA54E7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A951E82" w14:textId="77777777" w:rsidTr="00B76A41">
        <w:trPr>
          <w:cantSplit/>
        </w:trPr>
        <w:tc>
          <w:tcPr>
            <w:tcW w:w="4077" w:type="dxa"/>
          </w:tcPr>
          <w:p w14:paraId="4CF237A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34E36B3" w14:textId="77777777" w:rsidR="00F43AD5" w:rsidRPr="00717D45" w:rsidRDefault="00DA54E7" w:rsidP="00B76A41">
            <w:pPr>
              <w:pStyle w:val="Tablefont"/>
            </w:pPr>
            <w:r>
              <w:t>Mo</w:t>
            </w:r>
          </w:p>
        </w:tc>
      </w:tr>
      <w:tr w:rsidR="00F43AD5" w:rsidRPr="004C23F4" w14:paraId="0D882233" w14:textId="77777777" w:rsidTr="00B76A41">
        <w:trPr>
          <w:cantSplit/>
        </w:trPr>
        <w:tc>
          <w:tcPr>
            <w:tcW w:w="4077" w:type="dxa"/>
          </w:tcPr>
          <w:p w14:paraId="75C044E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C1F72E8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A94B20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B770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8F87DB1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757DA20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FBE0CA8" w14:textId="77777777" w:rsidR="002C7AFE" w:rsidRPr="000B7706" w:rsidRDefault="000B770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(respirable)</w:t>
            </w:r>
          </w:p>
        </w:tc>
      </w:tr>
      <w:tr w:rsidR="00037E52" w:rsidRPr="004C23F4" w14:paraId="6D10F46F" w14:textId="77777777" w:rsidTr="00037E52">
        <w:trPr>
          <w:cantSplit/>
        </w:trPr>
        <w:tc>
          <w:tcPr>
            <w:tcW w:w="4010" w:type="dxa"/>
            <w:vAlign w:val="center"/>
          </w:tcPr>
          <w:p w14:paraId="1FFAE876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7B4C5B0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3F923FD" w14:textId="77777777" w:rsidTr="00037E52">
        <w:trPr>
          <w:cantSplit/>
        </w:trPr>
        <w:tc>
          <w:tcPr>
            <w:tcW w:w="4010" w:type="dxa"/>
            <w:vAlign w:val="center"/>
          </w:tcPr>
          <w:p w14:paraId="3E7E3E23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C22894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4B3F5D6" w14:textId="77777777" w:rsidTr="00037E52">
        <w:trPr>
          <w:cantSplit/>
        </w:trPr>
        <w:tc>
          <w:tcPr>
            <w:tcW w:w="4010" w:type="dxa"/>
          </w:tcPr>
          <w:p w14:paraId="27E6676B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D1A4AC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7512AE5" w14:textId="77777777" w:rsidTr="00037E52">
        <w:trPr>
          <w:cantSplit/>
        </w:trPr>
        <w:tc>
          <w:tcPr>
            <w:tcW w:w="4010" w:type="dxa"/>
            <w:vAlign w:val="center"/>
          </w:tcPr>
          <w:p w14:paraId="06EACD0A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8C8B83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39ED38FF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0FE75D26" w14:textId="77777777" w:rsidR="00155999" w:rsidRPr="00EB3D1B" w:rsidRDefault="00155999" w:rsidP="00037E52">
            <w:pPr>
              <w:pStyle w:val="Tablefont"/>
              <w:rPr>
                <w:b/>
              </w:rPr>
            </w:pPr>
            <w:r w:rsidRPr="00AB536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B536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CB05F5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54631C4" w14:textId="77777777" w:rsidR="006639B4" w:rsidRPr="000B7706" w:rsidRDefault="000B7706" w:rsidP="000C139A">
      <w:pPr>
        <w:rPr>
          <w:rFonts w:cs="Arial"/>
        </w:rPr>
      </w:pPr>
      <w:r>
        <w:rPr>
          <w:rFonts w:cs="Arial"/>
        </w:rPr>
        <w:t>A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(respirable fraction) is recommended to protect for adverse lung effects in exposed workers.</w:t>
      </w:r>
    </w:p>
    <w:p w14:paraId="20F0300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6E5D52" w14:textId="5FA2C4BA" w:rsidR="006639B4" w:rsidRDefault="0049087D" w:rsidP="006639B4">
      <w:r>
        <w:t>Soluble molybdates are used in corrosion control</w:t>
      </w:r>
      <w:r w:rsidRPr="0049087D">
        <w:t xml:space="preserve"> </w:t>
      </w:r>
      <w:r>
        <w:t xml:space="preserve">in ceramic glazes, enamels and pigments and as a reagent for chemical analysis. Molybdenum salts can be found in fertilisers for leguminous crops. Molybdenum is an essential element necessary for human health. This evaluation refers to </w:t>
      </w:r>
      <w:r w:rsidR="009A0373">
        <w:t xml:space="preserve">soluble molybdenum compounds with most </w:t>
      </w:r>
      <w:r w:rsidR="00941FFF">
        <w:t xml:space="preserve">of </w:t>
      </w:r>
      <w:r w:rsidR="009A0373">
        <w:t>the data being for molybdenum trioxide</w:t>
      </w:r>
      <w:r w:rsidR="00AB536C">
        <w:t xml:space="preserve"> (MoO</w:t>
      </w:r>
      <w:r w:rsidR="00AB536C" w:rsidRPr="00AB536C">
        <w:rPr>
          <w:vertAlign w:val="subscript"/>
        </w:rPr>
        <w:t>3</w:t>
      </w:r>
      <w:r w:rsidR="00AB536C">
        <w:t>)</w:t>
      </w:r>
      <w:r w:rsidR="009A0373">
        <w:t>.</w:t>
      </w:r>
      <w:r w:rsidR="007227BE">
        <w:t xml:space="preserve"> There is a separate evaluation for metallic and insoluble molybdenum compounds.</w:t>
      </w:r>
    </w:p>
    <w:p w14:paraId="59FEED27" w14:textId="5CA108C3" w:rsidR="0049087D" w:rsidRDefault="00177198" w:rsidP="006639B4">
      <w:r>
        <w:t xml:space="preserve">Data in humans and animals </w:t>
      </w:r>
      <w:r w:rsidR="00DD733B">
        <w:t>are</w:t>
      </w:r>
      <w:r>
        <w:t xml:space="preserve"> limited. One case-control study linked occupational exposure with an increased risk of lung cancer</w:t>
      </w:r>
      <w:r w:rsidR="00D007F3">
        <w:t>. H</w:t>
      </w:r>
      <w:r>
        <w:t>owever</w:t>
      </w:r>
      <w:r w:rsidR="008326C4">
        <w:t>,</w:t>
      </w:r>
      <w:r>
        <w:t xml:space="preserve"> </w:t>
      </w:r>
      <w:r w:rsidR="00D007F3">
        <w:t>possible</w:t>
      </w:r>
      <w:r>
        <w:t xml:space="preserve"> confounding between molybdenum and other potential carcinogens was noted (ACGIH, 2018). A </w:t>
      </w:r>
      <w:r w:rsidR="008326C4">
        <w:t xml:space="preserve">NOAEC </w:t>
      </w:r>
      <w:r>
        <w:t>of 10 mg/m</w:t>
      </w:r>
      <w:r>
        <w:rPr>
          <w:vertAlign w:val="superscript"/>
        </w:rPr>
        <w:t>3</w:t>
      </w:r>
      <w:r>
        <w:t xml:space="preserve"> </w:t>
      </w:r>
      <w:r w:rsidR="007227BE">
        <w:t xml:space="preserve">for </w:t>
      </w:r>
      <w:r>
        <w:t xml:space="preserve">molybdenum trioxide </w:t>
      </w:r>
      <w:r w:rsidR="00D007F3">
        <w:t>is</w:t>
      </w:r>
      <w:r>
        <w:t xml:space="preserve"> reported in </w:t>
      </w:r>
      <w:r w:rsidR="001B0848">
        <w:t xml:space="preserve">a </w:t>
      </w:r>
      <w:r w:rsidR="008326C4">
        <w:t>two-</w:t>
      </w:r>
      <w:r>
        <w:t>year inhalation study in rats for chronic alveolar inflammation. This</w:t>
      </w:r>
      <w:r w:rsidR="009A0373">
        <w:t xml:space="preserve"> </w:t>
      </w:r>
      <w:r w:rsidR="008326C4">
        <w:t xml:space="preserve">NOAEC </w:t>
      </w:r>
      <w:r w:rsidR="00D007F3">
        <w:t>is</w:t>
      </w:r>
      <w:r w:rsidR="009A0373">
        <w:t xml:space="preserve"> the basis for the ACGIH (2018) TWA of 0.5 mg/m</w:t>
      </w:r>
      <w:r w:rsidR="009A0373">
        <w:rPr>
          <w:vertAlign w:val="superscript"/>
        </w:rPr>
        <w:t>3</w:t>
      </w:r>
      <w:r w:rsidR="009A0373">
        <w:t xml:space="preserve">. </w:t>
      </w:r>
      <w:r w:rsidR="001B0848">
        <w:t xml:space="preserve">In a review of the OEL for molybdenum and molybdenum compounds, </w:t>
      </w:r>
      <w:r w:rsidR="009A0373">
        <w:t>HCOTN (2013) recommends a TWA of 0.1 mg/m</w:t>
      </w:r>
      <w:r w:rsidR="009A0373">
        <w:rPr>
          <w:vertAlign w:val="superscript"/>
        </w:rPr>
        <w:t>3</w:t>
      </w:r>
      <w:r w:rsidR="009A0373">
        <w:t xml:space="preserve"> (molybdenum trioxide) based on a BMDL of 0.29 mg/m</w:t>
      </w:r>
      <w:r w:rsidR="009A0373">
        <w:rPr>
          <w:vertAlign w:val="superscript"/>
        </w:rPr>
        <w:t>3</w:t>
      </w:r>
      <w:r w:rsidR="001B0848">
        <w:t xml:space="preserve"> derived from the</w:t>
      </w:r>
      <w:r w:rsidR="003B4DE9">
        <w:t xml:space="preserve"> same two</w:t>
      </w:r>
      <w:r w:rsidR="001B0848">
        <w:t>-year study in rats cited by ACGIH (2018)</w:t>
      </w:r>
      <w:r w:rsidR="009D1B03">
        <w:t>.</w:t>
      </w:r>
    </w:p>
    <w:p w14:paraId="23DCCD42" w14:textId="6BC2F908" w:rsidR="009A0373" w:rsidRPr="009A0373" w:rsidRDefault="009A0373" w:rsidP="006639B4">
      <w:pPr>
        <w:rPr>
          <w:rFonts w:cs="Arial"/>
        </w:rPr>
      </w:pPr>
      <w:r w:rsidRPr="009A0373">
        <w:rPr>
          <w:rFonts w:cs="Arial"/>
        </w:rPr>
        <w:t xml:space="preserve">A TWA of </w:t>
      </w:r>
      <w:r>
        <w:rPr>
          <w:rFonts w:cs="Arial"/>
        </w:rPr>
        <w:t>0.5</w:t>
      </w:r>
      <w:r w:rsidRPr="009A0373">
        <w:rPr>
          <w:rFonts w:cs="Arial"/>
        </w:rPr>
        <w:t xml:space="preserve"> mg/m</w:t>
      </w:r>
      <w:r w:rsidRPr="009A0373">
        <w:rPr>
          <w:rFonts w:cs="Arial"/>
          <w:vertAlign w:val="superscript"/>
        </w:rPr>
        <w:t>3</w:t>
      </w:r>
      <w:r w:rsidRPr="009A0373">
        <w:rPr>
          <w:rFonts w:cs="Arial"/>
        </w:rPr>
        <w:t xml:space="preserve"> is recommended as assigned by ACGIH (2018). This TWA </w:t>
      </w:r>
      <w:r w:rsidR="0000596A" w:rsidRPr="009A0373">
        <w:rPr>
          <w:rFonts w:cs="Arial"/>
        </w:rPr>
        <w:t>is</w:t>
      </w:r>
      <w:r w:rsidR="0000596A">
        <w:rPr>
          <w:rFonts w:cs="Arial"/>
        </w:rPr>
        <w:t xml:space="preserve"> sufficiently low to protect for</w:t>
      </w:r>
      <w:r w:rsidRPr="009A0373">
        <w:rPr>
          <w:rFonts w:cs="Arial"/>
        </w:rPr>
        <w:t xml:space="preserve"> </w:t>
      </w:r>
      <w:r>
        <w:rPr>
          <w:rFonts w:cs="Arial"/>
        </w:rPr>
        <w:t>adverse effects on the lungs</w:t>
      </w:r>
      <w:r w:rsidRPr="009A0373">
        <w:rPr>
          <w:rFonts w:cs="Arial"/>
        </w:rPr>
        <w:t xml:space="preserve"> </w:t>
      </w:r>
      <w:r w:rsidR="00AB536C">
        <w:rPr>
          <w:rFonts w:cs="Arial"/>
        </w:rPr>
        <w:t xml:space="preserve">as </w:t>
      </w:r>
      <w:r w:rsidRPr="009A0373">
        <w:rPr>
          <w:rFonts w:cs="Arial"/>
        </w:rPr>
        <w:t>reported in animals.</w:t>
      </w:r>
      <w:r w:rsidR="0000596A">
        <w:rPr>
          <w:rFonts w:cs="Arial"/>
        </w:rPr>
        <w:t xml:space="preserve"> The TWA recommended by HCOTN</w:t>
      </w:r>
      <w:r w:rsidR="00483DEE">
        <w:rPr>
          <w:rFonts w:cs="Arial"/>
        </w:rPr>
        <w:t> </w:t>
      </w:r>
      <w:r w:rsidR="0000596A">
        <w:rPr>
          <w:rFonts w:cs="Arial"/>
        </w:rPr>
        <w:t xml:space="preserve">(2016) is considered unnecessarily low. </w:t>
      </w:r>
    </w:p>
    <w:p w14:paraId="68BB198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CCED429" w14:textId="77777777" w:rsidR="008E4F1F" w:rsidRPr="009A0373" w:rsidRDefault="008E4F1F" w:rsidP="008E4F1F">
      <w:pPr>
        <w:rPr>
          <w:rFonts w:cs="Arial"/>
        </w:rPr>
      </w:pPr>
      <w:r w:rsidRPr="009A0373">
        <w:rPr>
          <w:rFonts w:cs="Arial"/>
        </w:rPr>
        <w:t>Not classified as a carcinogen according to the Globally Harmonized System of</w:t>
      </w:r>
      <w:r w:rsidR="00155999" w:rsidRPr="009A0373">
        <w:rPr>
          <w:rFonts w:cs="Arial"/>
        </w:rPr>
        <w:t xml:space="preserve"> Classification and Labelling of</w:t>
      </w:r>
      <w:r w:rsidRPr="009A0373">
        <w:rPr>
          <w:rFonts w:cs="Arial"/>
        </w:rPr>
        <w:t xml:space="preserve"> Chemicals (GHS). </w:t>
      </w:r>
    </w:p>
    <w:p w14:paraId="55AE28B9" w14:textId="77777777" w:rsidR="008E4F1F" w:rsidRPr="009A0373" w:rsidRDefault="008E4F1F" w:rsidP="008E4F1F">
      <w:pPr>
        <w:rPr>
          <w:rFonts w:cs="Arial"/>
        </w:rPr>
      </w:pPr>
      <w:r w:rsidRPr="009A0373">
        <w:rPr>
          <w:rFonts w:cs="Arial"/>
        </w:rPr>
        <w:lastRenderedPageBreak/>
        <w:t xml:space="preserve">Not classified as a skin </w:t>
      </w:r>
      <w:r w:rsidR="00155999" w:rsidRPr="009A0373">
        <w:rPr>
          <w:rFonts w:cs="Arial"/>
        </w:rPr>
        <w:t xml:space="preserve">sensitiser </w:t>
      </w:r>
      <w:r w:rsidRPr="009A0373">
        <w:rPr>
          <w:rFonts w:cs="Arial"/>
        </w:rPr>
        <w:t>or respiratory sensitiser according to the GHS.</w:t>
      </w:r>
    </w:p>
    <w:p w14:paraId="155D168E" w14:textId="09750F4C" w:rsidR="004529F0" w:rsidRPr="004C23F4" w:rsidRDefault="00AB536C" w:rsidP="008E4F1F">
      <w:pPr>
        <w:rPr>
          <w:rFonts w:cs="Arial"/>
        </w:rPr>
      </w:pPr>
      <w:r>
        <w:rPr>
          <w:rFonts w:cs="Arial"/>
        </w:rPr>
        <w:t xml:space="preserve">There </w:t>
      </w:r>
      <w:r w:rsidR="007B213F">
        <w:rPr>
          <w:rFonts w:cs="Arial"/>
        </w:rPr>
        <w:t>are</w:t>
      </w:r>
      <w:r>
        <w:rPr>
          <w:rFonts w:cs="Arial"/>
        </w:rPr>
        <w:t xml:space="preserve"> i</w:t>
      </w:r>
      <w:r w:rsidR="008E4F1F" w:rsidRPr="009A0373">
        <w:rPr>
          <w:rFonts w:cs="Arial"/>
        </w:rPr>
        <w:t xml:space="preserve">nsufficient </w:t>
      </w:r>
      <w:r>
        <w:rPr>
          <w:rFonts w:cs="Arial"/>
        </w:rPr>
        <w:t>data</w:t>
      </w:r>
      <w:r w:rsidRPr="009A0373">
        <w:rPr>
          <w:rFonts w:cs="Arial"/>
        </w:rPr>
        <w:t xml:space="preserve"> </w:t>
      </w:r>
      <w:r w:rsidR="008E4F1F" w:rsidRPr="009A0373">
        <w:rPr>
          <w:rFonts w:cs="Arial"/>
        </w:rPr>
        <w:t>to recommend a skin notation.</w:t>
      </w:r>
    </w:p>
    <w:p w14:paraId="6A59D3D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32156A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06BD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C436327" w14:textId="77777777" w:rsidTr="00941FFF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A9B20B9" w14:textId="77777777" w:rsidR="00C978F0" w:rsidRPr="00DA352E" w:rsidRDefault="00C978F0" w:rsidP="005E4B1D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38E970F" w14:textId="77777777" w:rsidTr="00941FF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03F9D9F" w14:textId="77777777" w:rsidR="00DE26E8" w:rsidRPr="003365A5" w:rsidRDefault="00DE26E8" w:rsidP="00AB536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A54E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A54E7">
                  <w:t>TWA: 5 mg/m</w:t>
                </w:r>
                <w:r w:rsidR="00DA54E7" w:rsidRPr="00DA54E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2CB79D1" w14:textId="77777777" w:rsidTr="00941FFF">
        <w:trPr>
          <w:gridAfter w:val="1"/>
          <w:wAfter w:w="8" w:type="pct"/>
        </w:trPr>
        <w:tc>
          <w:tcPr>
            <w:tcW w:w="4992" w:type="pct"/>
          </w:tcPr>
          <w:p w14:paraId="6045DA10" w14:textId="77777777" w:rsidR="00C978F0" w:rsidRPr="00DA352E" w:rsidRDefault="00C978F0" w:rsidP="005E4B1D">
            <w:pPr>
              <w:pStyle w:val="Tabletextprimarysource"/>
            </w:pPr>
          </w:p>
        </w:tc>
      </w:tr>
      <w:tr w:rsidR="00C978F0" w:rsidRPr="00DA352E" w14:paraId="2D0D2A27" w14:textId="77777777" w:rsidTr="00941FF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30D373F" w14:textId="77777777" w:rsidR="00C978F0" w:rsidRPr="00DA352E" w:rsidRDefault="00DA352E" w:rsidP="00AB536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C0B76">
                  <w:t>2</w:t>
                </w:r>
                <w:r w:rsidR="001B75B9">
                  <w:t>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C0B76">
                  <w:t>TLV-TWA: 0.5 mg/m</w:t>
                </w:r>
                <w:r w:rsidR="00FC0B76" w:rsidRPr="00FC0B76">
                  <w:rPr>
                    <w:vertAlign w:val="superscript"/>
                  </w:rPr>
                  <w:t>3</w:t>
                </w:r>
                <w:r w:rsidR="00FC0B76">
                  <w:t>(Respirable particulate mass)</w:t>
                </w:r>
              </w:sdtContent>
            </w:sdt>
          </w:p>
        </w:tc>
      </w:tr>
      <w:tr w:rsidR="00C978F0" w:rsidRPr="00DA352E" w14:paraId="795A59FC" w14:textId="77777777" w:rsidTr="00941FFF">
        <w:trPr>
          <w:gridAfter w:val="1"/>
          <w:wAfter w:w="8" w:type="pct"/>
        </w:trPr>
        <w:tc>
          <w:tcPr>
            <w:tcW w:w="4992" w:type="pct"/>
          </w:tcPr>
          <w:p w14:paraId="6D16F1D6" w14:textId="77777777" w:rsidR="00C978F0" w:rsidRDefault="00A52C49" w:rsidP="005E4B1D">
            <w:pPr>
              <w:pStyle w:val="Tabletextprimarysource"/>
            </w:pPr>
            <w:r>
              <w:t>TLV-TWA recommended for soluble compounds to minimise adverse lung effects.</w:t>
            </w:r>
          </w:p>
          <w:p w14:paraId="24487D27" w14:textId="77777777" w:rsidR="00A52C49" w:rsidRDefault="00A52C49" w:rsidP="005E4B1D">
            <w:pPr>
              <w:pStyle w:val="Tabletextprimarysource"/>
            </w:pPr>
            <w:r>
              <w:t>Summary of data:</w:t>
            </w:r>
          </w:p>
          <w:p w14:paraId="0BF615EA" w14:textId="77777777" w:rsidR="00A52C49" w:rsidRDefault="00A52C49" w:rsidP="005E4B1D">
            <w:pPr>
              <w:pStyle w:val="Tabletextprimarysource"/>
            </w:pPr>
            <w:r>
              <w:t>Relates to soluble molybdenum compounds including molybdenum trioxide, ammonium molybdate, ammonium paramolybdate, sodium molybdate, calcium molybdite.</w:t>
            </w:r>
          </w:p>
          <w:p w14:paraId="7AB37630" w14:textId="77777777" w:rsidR="00A52C49" w:rsidRDefault="00A52C49" w:rsidP="005E4B1D">
            <w:pPr>
              <w:pStyle w:val="Tabletextprimarysource"/>
            </w:pPr>
            <w:r>
              <w:t>Human data:</w:t>
            </w:r>
          </w:p>
          <w:p w14:paraId="51CA1AE1" w14:textId="77777777" w:rsidR="00A52C49" w:rsidRDefault="00AB536C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E</w:t>
            </w:r>
            <w:r w:rsidR="003504DF" w:rsidRPr="003504DF">
              <w:t>ssential mineral</w:t>
            </w:r>
            <w:r w:rsidR="003504DF">
              <w:t xml:space="preserve"> for human health; deficiency can result in adverse health effects</w:t>
            </w:r>
          </w:p>
          <w:p w14:paraId="517604ED" w14:textId="77777777" w:rsidR="003504DF" w:rsidRDefault="007F4C39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A 44</w:t>
            </w:r>
            <w:r w:rsidR="005E4B1D">
              <w:t xml:space="preserve"> </w:t>
            </w:r>
            <w:r>
              <w:t>yr</w:t>
            </w:r>
            <w:r w:rsidR="005E4B1D">
              <w:t xml:space="preserve"> </w:t>
            </w:r>
            <w:r>
              <w:t xml:space="preserve">old man exposed to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>
              <w:t xml:space="preserve"> </w:t>
            </w:r>
            <w:r>
              <w:t>at 6 to 19 mg/m</w:t>
            </w:r>
            <w:r w:rsidRPr="007F4C39">
              <w:rPr>
                <w:vertAlign w:val="superscript"/>
              </w:rPr>
              <w:t>3</w:t>
            </w:r>
            <w:r>
              <w:t xml:space="preserve"> for 4 yr complained of a dry cough</w:t>
            </w:r>
          </w:p>
          <w:p w14:paraId="37A7D41C" w14:textId="388D3990" w:rsidR="007F4C39" w:rsidRDefault="007F4C39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C</w:t>
            </w:r>
            <w:r w:rsidR="002A350E">
              <w:t>ase-</w:t>
            </w:r>
            <w:r>
              <w:t xml:space="preserve">control study </w:t>
            </w:r>
            <w:r w:rsidR="00413CFE">
              <w:t>linked occupational exposure with an increased risk of lung cancer</w:t>
            </w:r>
            <w:r>
              <w:t>;</w:t>
            </w:r>
            <w:r w:rsidR="00413CFE">
              <w:t xml:space="preserve"> age, socioeconomic status, smoking, and pack-years</w:t>
            </w:r>
            <w:r w:rsidR="008326C4">
              <w:t xml:space="preserve"> were considered</w:t>
            </w:r>
            <w:r w:rsidR="00413CFE">
              <w:t>, as well as addressing exposures and possible confounding between molybdenum and other potential carcinogens</w:t>
            </w:r>
            <w:r w:rsidR="005E4B1D">
              <w:t>.</w:t>
            </w:r>
          </w:p>
          <w:p w14:paraId="3C81121C" w14:textId="77777777" w:rsidR="00413CFE" w:rsidRDefault="002A350E" w:rsidP="005E4B1D">
            <w:pPr>
              <w:pStyle w:val="Tabletextprimarysource"/>
            </w:pPr>
            <w:r>
              <w:t>Animal data:</w:t>
            </w:r>
          </w:p>
          <w:p w14:paraId="3EA09124" w14:textId="77777777" w:rsidR="002A350E" w:rsidRDefault="002A350E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effects in rats exposed to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>
              <w:t xml:space="preserve"> </w:t>
            </w:r>
            <w:r>
              <w:t>at 12</w:t>
            </w:r>
            <w:r w:rsidR="005E4B1D">
              <w:t>–</w:t>
            </w:r>
            <w:r>
              <w:t>15 g/m</w:t>
            </w:r>
            <w:r>
              <w:rPr>
                <w:vertAlign w:val="superscript"/>
              </w:rPr>
              <w:t>3</w:t>
            </w:r>
            <w:r>
              <w:t xml:space="preserve"> for 1 h</w:t>
            </w:r>
          </w:p>
          <w:p w14:paraId="30ECEB2B" w14:textId="77777777" w:rsidR="002A350E" w:rsidRDefault="002A350E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Irritation of the upper respiratory passages and conjunctivae occurred after exposure to ammonium paramolybdate at 3</w:t>
            </w:r>
            <w:r w:rsidR="005E4B1D">
              <w:t>–</w:t>
            </w:r>
            <w:r>
              <w:t>5 g/m</w:t>
            </w:r>
            <w:r>
              <w:rPr>
                <w:vertAlign w:val="superscript"/>
              </w:rPr>
              <w:t>3</w:t>
            </w:r>
            <w:r>
              <w:t xml:space="preserve"> for 1 h</w:t>
            </w:r>
          </w:p>
          <w:p w14:paraId="0C06A957" w14:textId="77777777" w:rsidR="002A350E" w:rsidRDefault="00B9713A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Guinea pigs exposed to 205 mg/m</w:t>
            </w:r>
            <w:r w:rsidRPr="00B9713A">
              <w:rPr>
                <w:vertAlign w:val="superscript"/>
              </w:rPr>
              <w:t>3</w:t>
            </w:r>
            <w:r>
              <w:t xml:space="preserve">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>
              <w:t xml:space="preserve"> </w:t>
            </w:r>
            <w:r>
              <w:t>dust</w:t>
            </w:r>
            <w:r w:rsidR="008E29D9">
              <w:t xml:space="preserve"> (as Mo) showed a small to moderate amount of alveolar and bronchial exudate on histological examination of the lungs</w:t>
            </w:r>
          </w:p>
          <w:p w14:paraId="769B247A" w14:textId="77777777" w:rsidR="009874E8" w:rsidRDefault="008E29D9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Rats exposed 1 h/d for 30 d</w:t>
            </w:r>
            <w:r w:rsidR="009874E8">
              <w:t>:</w:t>
            </w:r>
          </w:p>
          <w:p w14:paraId="38D34D2A" w14:textId="77777777" w:rsidR="008E29D9" w:rsidRDefault="008E29D9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8</w:t>
            </w:r>
            <w:r w:rsidR="005E4B1D">
              <w:t>–</w:t>
            </w:r>
            <w:r>
              <w:t>10 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9874E8">
              <w:t>; lungs showed macroscopic haemorrhages, marked perivascular oedema, and large areas of haemorrhage into the alveolar spaces</w:t>
            </w:r>
          </w:p>
          <w:p w14:paraId="1D440D04" w14:textId="1CB63052" w:rsidR="009874E8" w:rsidRDefault="009874E8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0.5</w:t>
            </w:r>
            <w:r w:rsidR="005E4B1D">
              <w:t>–</w:t>
            </w:r>
            <w:r>
              <w:t>2.5 g/m</w:t>
            </w:r>
            <w:r>
              <w:rPr>
                <w:vertAlign w:val="superscript"/>
              </w:rPr>
              <w:t>3</w:t>
            </w:r>
            <w:r>
              <w:t xml:space="preserve"> ammonium paramolybdate dust; same effects as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>
              <w:t xml:space="preserve"> </w:t>
            </w:r>
            <w:r>
              <w:t>and all animals died</w:t>
            </w:r>
          </w:p>
          <w:p w14:paraId="56B4143D" w14:textId="14687702" w:rsidR="007F0ADD" w:rsidRDefault="007F0ADD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NOAEL of 10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 w:rsidDel="00AB536C">
              <w:t xml:space="preserve"> </w:t>
            </w:r>
            <w:r>
              <w:t>(</w:t>
            </w:r>
            <w:r w:rsidR="00AB536C">
              <w:t>~</w:t>
            </w:r>
            <w:r>
              <w:t>6.8 mg/m</w:t>
            </w:r>
            <w:r>
              <w:rPr>
                <w:vertAlign w:val="superscript"/>
              </w:rPr>
              <w:t>3</w:t>
            </w:r>
            <w:r>
              <w:t xml:space="preserve"> Mo) in rats for chronic alveolar inflammation; 2 yr inhalation study; male rats showed an exposure-related increase in alveolar/bronchiolar adenomas or carcinomas</w:t>
            </w:r>
          </w:p>
          <w:p w14:paraId="5579546E" w14:textId="77777777" w:rsidR="007B0B44" w:rsidRDefault="007B0B44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Sodium and ammonium molybdite reported as possibly genotoxic based on evidence in human and mice cell assays and </w:t>
            </w:r>
            <w:r w:rsidRPr="007B0B44">
              <w:rPr>
                <w:i/>
              </w:rPr>
              <w:t>in vivo</w:t>
            </w:r>
            <w:r>
              <w:t xml:space="preserve"> in mice.</w:t>
            </w:r>
          </w:p>
          <w:p w14:paraId="2AA8EBDC" w14:textId="77777777" w:rsidR="007B213F" w:rsidRDefault="007B213F" w:rsidP="005E4B1D">
            <w:pPr>
              <w:pStyle w:val="Tabletextprimarysource"/>
            </w:pPr>
          </w:p>
          <w:p w14:paraId="2D6D1FFA" w14:textId="74FD0D2F" w:rsidR="007B0B44" w:rsidRDefault="007B0B44" w:rsidP="005E4B1D">
            <w:pPr>
              <w:pStyle w:val="Tabletextprimarysource"/>
            </w:pPr>
            <w:r>
              <w:t>TLV-TWA based on NOAEL for alveolar inflammation with UF of 10 and adjusting for 8</w:t>
            </w:r>
            <w:r w:rsidR="007227BE">
              <w:t>-</w:t>
            </w:r>
            <w:r>
              <w:t>h workday from 6</w:t>
            </w:r>
            <w:r w:rsidR="005E4B1D">
              <w:t xml:space="preserve"> </w:t>
            </w:r>
            <w:r>
              <w:t>h exposures used in the animal study</w:t>
            </w:r>
            <w:r w:rsidR="005E4B1D">
              <w:t>.</w:t>
            </w:r>
          </w:p>
          <w:p w14:paraId="4E70977B" w14:textId="77777777" w:rsidR="007B213F" w:rsidRDefault="007B0B44" w:rsidP="005E4B1D">
            <w:pPr>
              <w:pStyle w:val="Tabletextprimarysource"/>
            </w:pPr>
            <w:r>
              <w:t>Insufficient evidence to recommend a skin or sensitiser notation and TLV-STEL.</w:t>
            </w:r>
          </w:p>
          <w:p w14:paraId="50702578" w14:textId="77777777" w:rsidR="007B0B44" w:rsidRPr="00DA352E" w:rsidRDefault="00486E3B" w:rsidP="005E4B1D">
            <w:pPr>
              <w:pStyle w:val="Tabletextprimarysource"/>
            </w:pPr>
            <w:r>
              <w:t xml:space="preserve"> </w:t>
            </w:r>
          </w:p>
        </w:tc>
      </w:tr>
      <w:tr w:rsidR="00C978F0" w:rsidRPr="00DA352E" w14:paraId="6950C290" w14:textId="77777777" w:rsidTr="00941FF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A3B203F" w14:textId="77777777" w:rsidR="00C978F0" w:rsidRPr="00DA352E" w:rsidRDefault="00DA352E" w:rsidP="00AB536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B75B9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B75B9">
                  <w:t>Not assigned</w:t>
                </w:r>
              </w:sdtContent>
            </w:sdt>
          </w:p>
        </w:tc>
      </w:tr>
      <w:tr w:rsidR="00C978F0" w:rsidRPr="00DA352E" w14:paraId="05FA8A18" w14:textId="77777777" w:rsidTr="00941FFF">
        <w:trPr>
          <w:gridAfter w:val="1"/>
          <w:wAfter w:w="8" w:type="pct"/>
        </w:trPr>
        <w:tc>
          <w:tcPr>
            <w:tcW w:w="4992" w:type="pct"/>
          </w:tcPr>
          <w:p w14:paraId="5A44F88F" w14:textId="77777777" w:rsidR="00A835F4" w:rsidRDefault="00A835F4" w:rsidP="005E4B1D">
            <w:pPr>
              <w:pStyle w:val="Tabletextprimarysource"/>
            </w:pPr>
            <w:r>
              <w:t>I</w:t>
            </w:r>
            <w:r w:rsidRPr="00A835F4">
              <w:t xml:space="preserve">nsufficient information </w:t>
            </w:r>
            <w:r>
              <w:t xml:space="preserve">to establish MAK for molybdenum and its compounds, except for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>
              <w:t>.</w:t>
            </w:r>
          </w:p>
          <w:p w14:paraId="23007585" w14:textId="77777777" w:rsidR="00C978F0" w:rsidRDefault="00486E3B" w:rsidP="005E4B1D">
            <w:pPr>
              <w:pStyle w:val="Tabletextprimarysource"/>
            </w:pPr>
            <w:r>
              <w:t xml:space="preserve">MAK not assigned for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>
              <w:rPr>
                <w:vertAlign w:val="subscript"/>
              </w:rPr>
              <w:t xml:space="preserve"> </w:t>
            </w:r>
            <w:r>
              <w:t xml:space="preserve">based on evidence on animals of carcinogenic effects and a mechanism </w:t>
            </w:r>
            <w:r w:rsidR="007F2E81">
              <w:t>is not understood.</w:t>
            </w:r>
          </w:p>
          <w:p w14:paraId="63A9348C" w14:textId="77777777" w:rsidR="00A835F4" w:rsidRDefault="00A835F4" w:rsidP="005E4B1D">
            <w:pPr>
              <w:pStyle w:val="Tabletextprimarysource"/>
            </w:pPr>
            <w:r>
              <w:t>Summary of additional data:</w:t>
            </w:r>
          </w:p>
          <w:p w14:paraId="6D51D8C4" w14:textId="28F42D09" w:rsidR="00A835F4" w:rsidRDefault="00A835F4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Long-term carcinogenicity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 w:rsidR="00AB536C">
              <w:t xml:space="preserve"> </w:t>
            </w:r>
            <w:r>
              <w:t>study in rats and mice; 0, 10, 30, or 100 mg/m</w:t>
            </w:r>
            <w:r w:rsidR="00554FC9">
              <w:rPr>
                <w:vertAlign w:val="superscript"/>
              </w:rPr>
              <w:t>3</w:t>
            </w:r>
            <w:r w:rsidR="00554FC9">
              <w:t>,</w:t>
            </w:r>
            <w:r>
              <w:t xml:space="preserve"> 6 h/d, 5</w:t>
            </w:r>
            <w:r w:rsidR="007B213F">
              <w:t> </w:t>
            </w:r>
            <w:r>
              <w:t>d/wk for 104 wk</w:t>
            </w:r>
            <w:r w:rsidR="00554FC9">
              <w:t xml:space="preserve"> (cited by ACGIH, 2018)</w:t>
            </w:r>
            <w:r>
              <w:t>:</w:t>
            </w:r>
          </w:p>
          <w:p w14:paraId="77F5C558" w14:textId="77777777" w:rsidR="00554FC9" w:rsidRDefault="00A835F4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number of male mice with lung tumours</w:t>
            </w:r>
            <w:r w:rsidR="00554FC9">
              <w:t xml:space="preserve"> (carcinoma or adenomas plus carcinoma) </w:t>
            </w:r>
            <w:r>
              <w:t>increased significantly from the lowest exposure concentration of 10 mg/m</w:t>
            </w:r>
            <w:r w:rsidRPr="00A835F4">
              <w:rPr>
                <w:vertAlign w:val="superscript"/>
              </w:rPr>
              <w:t>3</w:t>
            </w:r>
            <w:r w:rsidR="00554FC9">
              <w:t xml:space="preserve">; </w:t>
            </w:r>
            <w:r>
              <w:t>in</w:t>
            </w:r>
            <w:r w:rsidR="00554FC9">
              <w:t>crease was not dose-dependent</w:t>
            </w:r>
            <w:r>
              <w:t xml:space="preserve"> </w:t>
            </w:r>
          </w:p>
          <w:p w14:paraId="2AA0C1C6" w14:textId="608F7CD2" w:rsidR="00554FC9" w:rsidRDefault="00A835F4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incidence of lung adenomas was significantly increased in female mice exposed to 30</w:t>
            </w:r>
            <w:r w:rsidR="008326C4">
              <w:t> </w:t>
            </w:r>
            <w:r>
              <w:t>and 100 mg/m</w:t>
            </w:r>
            <w:r w:rsidRPr="00554FC9">
              <w:rPr>
                <w:vertAlign w:val="superscript"/>
              </w:rPr>
              <w:t>3</w:t>
            </w:r>
          </w:p>
          <w:p w14:paraId="743685B2" w14:textId="77777777" w:rsidR="00554FC9" w:rsidRPr="00554FC9" w:rsidRDefault="00554FC9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female mice, significant increase in adenomas plus carcinomas in the 100 mg/m</w:t>
            </w:r>
            <w:r w:rsidRPr="00554FC9">
              <w:rPr>
                <w:vertAlign w:val="superscript"/>
              </w:rPr>
              <w:t>3</w:t>
            </w:r>
            <w:r>
              <w:t xml:space="preserve"> group</w:t>
            </w:r>
          </w:p>
          <w:p w14:paraId="6AB3E36A" w14:textId="77777777" w:rsidR="00554FC9" w:rsidRDefault="00554FC9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A835F4">
              <w:t xml:space="preserve">n male rats </w:t>
            </w:r>
            <w:r>
              <w:t>a</w:t>
            </w:r>
            <w:r w:rsidR="00A835F4">
              <w:t xml:space="preserve"> marginally significant positive trend towards an increase in the incide</w:t>
            </w:r>
            <w:r>
              <w:t xml:space="preserve">nce of adenomas plus carcinomas; </w:t>
            </w:r>
            <w:r w:rsidR="00A835F4">
              <w:t xml:space="preserve">incidences within historical control </w:t>
            </w:r>
            <w:r w:rsidR="00AB536C">
              <w:t xml:space="preserve">range </w:t>
            </w:r>
            <w:r w:rsidR="00A835F4">
              <w:t>values</w:t>
            </w:r>
          </w:p>
          <w:p w14:paraId="12284D20" w14:textId="02E39FAE" w:rsidR="00A835F4" w:rsidRDefault="00A835F4" w:rsidP="007227B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increases in lung tumour incidence observed</w:t>
            </w:r>
            <w:r w:rsidR="007227BE">
              <w:t xml:space="preserve"> in female rats</w:t>
            </w:r>
          </w:p>
          <w:p w14:paraId="2F238284" w14:textId="1472CA14" w:rsidR="007F2E81" w:rsidRDefault="00C457C8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information available </w:t>
            </w:r>
            <w:r w:rsidR="007227BE">
              <w:t xml:space="preserve">on </w:t>
            </w:r>
            <w:r>
              <w:t>molybdenum or its compounds and dermal absorption in humans.</w:t>
            </w:r>
          </w:p>
          <w:p w14:paraId="0052DD25" w14:textId="77777777" w:rsidR="007B213F" w:rsidRPr="00DA352E" w:rsidRDefault="007B213F" w:rsidP="007227B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B30D095" w14:textId="77777777" w:rsidTr="00941FF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790704A" w14:textId="77777777" w:rsidR="00C978F0" w:rsidRPr="00DA352E" w:rsidRDefault="00DA352E" w:rsidP="00AB536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618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61845">
                  <w:t>NA</w:t>
                </w:r>
              </w:sdtContent>
            </w:sdt>
          </w:p>
        </w:tc>
      </w:tr>
      <w:tr w:rsidR="00C978F0" w:rsidRPr="00DA352E" w14:paraId="29CB914C" w14:textId="77777777" w:rsidTr="00941FFF">
        <w:trPr>
          <w:gridAfter w:val="1"/>
          <w:wAfter w:w="8" w:type="pct"/>
        </w:trPr>
        <w:tc>
          <w:tcPr>
            <w:tcW w:w="4992" w:type="pct"/>
          </w:tcPr>
          <w:p w14:paraId="1ABEEE60" w14:textId="77777777" w:rsidR="00C978F0" w:rsidRPr="00DA352E" w:rsidRDefault="00361845" w:rsidP="005E4B1D">
            <w:pPr>
              <w:pStyle w:val="Tabletextprimarysource"/>
            </w:pPr>
            <w:r>
              <w:t>No report</w:t>
            </w:r>
            <w:r w:rsidR="005E4B1D">
              <w:t>.</w:t>
            </w:r>
          </w:p>
        </w:tc>
      </w:tr>
      <w:tr w:rsidR="00DA352E" w:rsidRPr="00DA352E" w14:paraId="54917E52" w14:textId="77777777" w:rsidTr="00941FF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191E1D6" w14:textId="77777777" w:rsidR="00DA352E" w:rsidRPr="00DA352E" w:rsidRDefault="00DA352E" w:rsidP="00AB536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618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361845">
                  <w:t>NA</w:t>
                </w:r>
              </w:sdtContent>
            </w:sdt>
          </w:p>
        </w:tc>
      </w:tr>
      <w:tr w:rsidR="00DA352E" w:rsidRPr="00DA352E" w14:paraId="02B1ABFF" w14:textId="77777777" w:rsidTr="00941FFF">
        <w:trPr>
          <w:gridAfter w:val="1"/>
          <w:wAfter w:w="8" w:type="pct"/>
        </w:trPr>
        <w:tc>
          <w:tcPr>
            <w:tcW w:w="4992" w:type="pct"/>
          </w:tcPr>
          <w:p w14:paraId="6CA7F6BD" w14:textId="77777777" w:rsidR="00DA352E" w:rsidRPr="00DA352E" w:rsidRDefault="00361845" w:rsidP="005E4B1D">
            <w:pPr>
              <w:pStyle w:val="Tabletextprimarysource"/>
            </w:pPr>
            <w:r>
              <w:t>No report</w:t>
            </w:r>
            <w:r w:rsidR="005E4B1D">
              <w:t>.</w:t>
            </w:r>
          </w:p>
        </w:tc>
      </w:tr>
      <w:tr w:rsidR="00DA352E" w:rsidRPr="00DA352E" w14:paraId="68F3703E" w14:textId="77777777" w:rsidTr="00941FF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5200883" w14:textId="77777777" w:rsidR="00DA352E" w:rsidRPr="00DA352E" w:rsidRDefault="00DA352E" w:rsidP="00AB536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83C87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83C87">
                  <w:t>Not assigned</w:t>
                </w:r>
              </w:sdtContent>
            </w:sdt>
          </w:p>
        </w:tc>
      </w:tr>
      <w:tr w:rsidR="00DA352E" w:rsidRPr="00DA352E" w14:paraId="3CB2617A" w14:textId="77777777" w:rsidTr="00941FFF">
        <w:trPr>
          <w:gridAfter w:val="1"/>
          <w:wAfter w:w="8" w:type="pct"/>
        </w:trPr>
        <w:tc>
          <w:tcPr>
            <w:tcW w:w="4992" w:type="pct"/>
          </w:tcPr>
          <w:p w14:paraId="5E25E598" w14:textId="77777777" w:rsidR="00DA352E" w:rsidRDefault="00655119" w:rsidP="005E4B1D">
            <w:pPr>
              <w:pStyle w:val="Tabletextprimarysource"/>
            </w:pPr>
            <w:r>
              <w:t xml:space="preserve">Insufficient data to recommend soluble group health-based OEL, not including </w:t>
            </w:r>
            <w:r w:rsidR="00AB536C">
              <w:t>MoO</w:t>
            </w:r>
            <w:r w:rsidR="00AB536C" w:rsidRPr="003D79AC">
              <w:rPr>
                <w:vertAlign w:val="subscript"/>
              </w:rPr>
              <w:t>3</w:t>
            </w:r>
            <w:r>
              <w:t xml:space="preserve"> or sodium molybdate.</w:t>
            </w:r>
          </w:p>
          <w:p w14:paraId="6EE5E7B6" w14:textId="17A2FDB4" w:rsidR="00655119" w:rsidRDefault="00655119" w:rsidP="005E4B1D">
            <w:pPr>
              <w:pStyle w:val="Tabletextprimarysource"/>
            </w:pPr>
            <w:r>
              <w:t>Summary of additional data:</w:t>
            </w:r>
          </w:p>
          <w:p w14:paraId="62EBA048" w14:textId="6834C7DB" w:rsidR="001B0848" w:rsidRDefault="001B0848" w:rsidP="00DE0E9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Benchmark dose-analysis performed to derive the following recommendations</w:t>
            </w:r>
          </w:p>
          <w:p w14:paraId="29FE1126" w14:textId="77777777" w:rsidR="007227BE" w:rsidRDefault="00AB536C" w:rsidP="00DE0E9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MoO</w:t>
            </w:r>
            <w:r w:rsidRPr="003D79AC">
              <w:rPr>
                <w:vertAlign w:val="subscript"/>
              </w:rPr>
              <w:t>3</w:t>
            </w:r>
            <w:r w:rsidR="00655119">
              <w:t>: BMDL of 0.29 mg/m</w:t>
            </w:r>
            <w:r w:rsidR="00655119">
              <w:rPr>
                <w:vertAlign w:val="superscript"/>
              </w:rPr>
              <w:t>3</w:t>
            </w:r>
            <w:r w:rsidR="00655119">
              <w:t xml:space="preserve"> from 2</w:t>
            </w:r>
            <w:r w:rsidR="005E4B1D">
              <w:t xml:space="preserve"> </w:t>
            </w:r>
            <w:r w:rsidR="00655119">
              <w:t>yr chronic inhalation study (cited by ACGIH, 2018)</w:t>
            </w:r>
            <w:r w:rsidR="007227BE">
              <w:t>:</w:t>
            </w:r>
          </w:p>
          <w:p w14:paraId="3135A4C1" w14:textId="2776C7DF" w:rsidR="007227BE" w:rsidRDefault="007227BE" w:rsidP="00DE0E98">
            <w:pPr>
              <w:pStyle w:val="ListBullet"/>
              <w:numPr>
                <w:ilvl w:val="0"/>
                <w:numId w:val="19"/>
              </w:numPr>
              <w:spacing w:before="60" w:after="60"/>
              <w:ind w:left="1094" w:hanging="357"/>
              <w:contextualSpacing w:val="0"/>
            </w:pPr>
            <w:r>
              <w:t xml:space="preserve">based on </w:t>
            </w:r>
            <w:r w:rsidR="00655119">
              <w:t xml:space="preserve">squamous metaplasia in the epiglottis (larynx) in both species and in both sexes; and hyaline degeneration in the nose, and chronic inflammation and metaplasia in the lungs </w:t>
            </w:r>
          </w:p>
          <w:p w14:paraId="04F715C0" w14:textId="0720B9B2" w:rsidR="00655119" w:rsidRDefault="007227BE" w:rsidP="00DE0E98">
            <w:pPr>
              <w:pStyle w:val="ListBullet"/>
              <w:numPr>
                <w:ilvl w:val="0"/>
                <w:numId w:val="19"/>
              </w:numPr>
              <w:spacing w:before="60" w:after="60"/>
              <w:ind w:left="1094" w:hanging="357"/>
              <w:contextualSpacing w:val="0"/>
            </w:pPr>
            <w:r>
              <w:t xml:space="preserve">a </w:t>
            </w:r>
            <w:r w:rsidR="00655119">
              <w:t>TWA of 0.1 mg/m</w:t>
            </w:r>
            <w:r w:rsidR="00655119">
              <w:rPr>
                <w:vertAlign w:val="superscript"/>
              </w:rPr>
              <w:t>3</w:t>
            </w:r>
            <w:r w:rsidR="00E5235E">
              <w:t xml:space="preserve"> (0.07 mg/m</w:t>
            </w:r>
            <w:r w:rsidR="00E5235E">
              <w:rPr>
                <w:vertAlign w:val="superscript"/>
              </w:rPr>
              <w:t>3</w:t>
            </w:r>
            <w:r w:rsidR="00E5235E">
              <w:t xml:space="preserve"> Mo) </w:t>
            </w:r>
            <w:r>
              <w:t xml:space="preserve">recommended </w:t>
            </w:r>
            <w:r w:rsidR="00E5235E">
              <w:t>based on BMDL</w:t>
            </w:r>
          </w:p>
          <w:p w14:paraId="4FA92F37" w14:textId="4EE15A05" w:rsidR="007227BE" w:rsidRDefault="00E5235E" w:rsidP="00AB536C">
            <w:pPr>
              <w:pStyle w:val="ListBullet"/>
              <w:spacing w:before="60" w:after="60"/>
              <w:ind w:left="720"/>
              <w:contextualSpacing w:val="0"/>
            </w:pPr>
            <w:r>
              <w:t>Sodium molybdate: BMDL of 41.2 mg/m</w:t>
            </w:r>
            <w:r>
              <w:rPr>
                <w:vertAlign w:val="superscript"/>
              </w:rPr>
              <w:t>3</w:t>
            </w:r>
            <w:r>
              <w:t xml:space="preserve"> (Mo) from 90 d oral study</w:t>
            </w:r>
            <w:r w:rsidR="007227BE">
              <w:t>:</w:t>
            </w:r>
            <w:r>
              <w:t xml:space="preserve"> </w:t>
            </w:r>
          </w:p>
          <w:p w14:paraId="20F46875" w14:textId="4C7F86C5" w:rsidR="007227BE" w:rsidRDefault="007227BE" w:rsidP="00DE0E98">
            <w:pPr>
              <w:pStyle w:val="ListBullet"/>
              <w:numPr>
                <w:ilvl w:val="0"/>
                <w:numId w:val="20"/>
              </w:numPr>
              <w:spacing w:before="60" w:after="60"/>
              <w:ind w:left="1094" w:hanging="357"/>
              <w:contextualSpacing w:val="0"/>
            </w:pPr>
            <w:r>
              <w:t xml:space="preserve">based on </w:t>
            </w:r>
            <w:r w:rsidR="00E5235E">
              <w:t xml:space="preserve">reduction in body weight </w:t>
            </w:r>
          </w:p>
          <w:p w14:paraId="160A1821" w14:textId="53620636" w:rsidR="00E5235E" w:rsidRDefault="007227BE" w:rsidP="00DE0E98">
            <w:pPr>
              <w:pStyle w:val="ListBullet"/>
              <w:numPr>
                <w:ilvl w:val="0"/>
                <w:numId w:val="20"/>
              </w:numPr>
              <w:spacing w:before="60" w:after="60"/>
              <w:ind w:left="1094" w:hanging="357"/>
              <w:contextualSpacing w:val="0"/>
            </w:pPr>
            <w:r>
              <w:t xml:space="preserve">a </w:t>
            </w:r>
            <w:r w:rsidR="00E5235E">
              <w:t>TWA of 9.9 mg/m</w:t>
            </w:r>
            <w:r w:rsidR="00E5235E">
              <w:rPr>
                <w:vertAlign w:val="superscript"/>
              </w:rPr>
              <w:t>3</w:t>
            </w:r>
            <w:r w:rsidR="00E5235E">
              <w:t xml:space="preserve"> (4.6 mg/m</w:t>
            </w:r>
            <w:r w:rsidR="00E5235E">
              <w:rPr>
                <w:vertAlign w:val="superscript"/>
              </w:rPr>
              <w:t>3</w:t>
            </w:r>
            <w:r w:rsidR="00E5235E">
              <w:t xml:space="preserve"> Mo) </w:t>
            </w:r>
            <w:r>
              <w:t xml:space="preserve">recommended </w:t>
            </w:r>
            <w:r w:rsidR="00E5235E">
              <w:t>based on BMDL.</w:t>
            </w:r>
          </w:p>
          <w:p w14:paraId="1C4C785E" w14:textId="77777777" w:rsidR="007B213F" w:rsidRPr="00DA352E" w:rsidRDefault="007B213F" w:rsidP="007227B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2252490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9C97FB8" w14:textId="57FDD527" w:rsidR="007E2A4B" w:rsidRDefault="005E4B1D">
      <w:r>
        <w:t>NIL</w:t>
      </w:r>
      <w:r w:rsidR="007227BE">
        <w:t>.</w:t>
      </w:r>
    </w:p>
    <w:bookmarkEnd w:id="0"/>
    <w:p w14:paraId="52358352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A871090" w14:textId="77777777" w:rsidTr="009A0373">
        <w:trPr>
          <w:trHeight w:val="454"/>
          <w:tblHeader/>
        </w:trPr>
        <w:tc>
          <w:tcPr>
            <w:tcW w:w="6597" w:type="dxa"/>
            <w:vAlign w:val="center"/>
          </w:tcPr>
          <w:p w14:paraId="69FBB39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8255050" w14:textId="77777777" w:rsidR="002E0D61" w:rsidRDefault="009A037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B9DD0BD" w14:textId="77777777" w:rsidTr="009A0373">
        <w:trPr>
          <w:trHeight w:val="454"/>
        </w:trPr>
        <w:tc>
          <w:tcPr>
            <w:tcW w:w="6597" w:type="dxa"/>
            <w:vAlign w:val="center"/>
          </w:tcPr>
          <w:p w14:paraId="3A9335C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C823E53" w14:textId="77777777" w:rsidR="008A36CF" w:rsidRDefault="009A037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215DD97" w14:textId="77777777" w:rsidTr="009A037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205DD3A7" w14:textId="77777777" w:rsidR="008A36CF" w:rsidRPr="006901A2" w:rsidRDefault="009A037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4A8D843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BE2B8C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AE607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D6A83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D00399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5A00DF2" w14:textId="77777777" w:rsidTr="00812887">
        <w:trPr>
          <w:cantSplit/>
        </w:trPr>
        <w:tc>
          <w:tcPr>
            <w:tcW w:w="3227" w:type="dxa"/>
          </w:tcPr>
          <w:p w14:paraId="48B7DD2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0ABB087" w14:textId="77777777" w:rsidR="00687890" w:rsidRPr="00DD2F9B" w:rsidRDefault="00FC0B7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375CC8E" w14:textId="77777777" w:rsidTr="00812887">
        <w:trPr>
          <w:cantSplit/>
        </w:trPr>
        <w:tc>
          <w:tcPr>
            <w:tcW w:w="3227" w:type="dxa"/>
          </w:tcPr>
          <w:p w14:paraId="4843F42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1F94916" w14:textId="77777777" w:rsidR="007925F0" w:rsidRPr="00DD2F9B" w:rsidRDefault="00FC0B7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8EA5EE5" w14:textId="77777777" w:rsidTr="00812887">
        <w:trPr>
          <w:cantSplit/>
        </w:trPr>
        <w:tc>
          <w:tcPr>
            <w:tcW w:w="3227" w:type="dxa"/>
          </w:tcPr>
          <w:p w14:paraId="593504E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20AF1C8" w14:textId="77777777" w:rsidR="00AF483F" w:rsidRPr="00DD2F9B" w:rsidRDefault="008868D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CA6CF76" w14:textId="77777777" w:rsidTr="00812887">
        <w:trPr>
          <w:cantSplit/>
        </w:trPr>
        <w:tc>
          <w:tcPr>
            <w:tcW w:w="3227" w:type="dxa"/>
          </w:tcPr>
          <w:p w14:paraId="32475DD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E7FB76" w14:textId="77777777" w:rsidR="00687890" w:rsidRPr="00DD2F9B" w:rsidRDefault="006B5AC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A28A6A" w14:textId="77777777" w:rsidTr="00812887">
        <w:trPr>
          <w:cantSplit/>
        </w:trPr>
        <w:tc>
          <w:tcPr>
            <w:tcW w:w="3227" w:type="dxa"/>
          </w:tcPr>
          <w:p w14:paraId="6671A36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0978A54" w14:textId="77777777" w:rsidR="00E41A26" w:rsidRPr="00DD2F9B" w:rsidRDefault="008E0D4D" w:rsidP="008E0D4D">
            <w:pPr>
              <w:pStyle w:val="Tablefont"/>
            </w:pPr>
            <w:r>
              <w:t>NA</w:t>
            </w:r>
          </w:p>
        </w:tc>
      </w:tr>
      <w:tr w:rsidR="002E0D61" w:rsidRPr="004C23F4" w14:paraId="2318F9E3" w14:textId="77777777" w:rsidTr="00812887">
        <w:trPr>
          <w:cantSplit/>
        </w:trPr>
        <w:tc>
          <w:tcPr>
            <w:tcW w:w="3227" w:type="dxa"/>
          </w:tcPr>
          <w:p w14:paraId="36A4CC7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B43CCE9" w14:textId="77777777" w:rsidR="002E0D61" w:rsidRPr="00DD2F9B" w:rsidRDefault="00FC0B76" w:rsidP="00DD2F9B">
            <w:pPr>
              <w:pStyle w:val="Tablefont"/>
            </w:pPr>
            <w:r w:rsidRPr="00FC0B76">
              <w:t>Carcinogenicity – A3</w:t>
            </w:r>
          </w:p>
        </w:tc>
      </w:tr>
      <w:tr w:rsidR="002E0D61" w:rsidRPr="004C23F4" w14:paraId="05D9868C" w14:textId="77777777" w:rsidTr="00812887">
        <w:trPr>
          <w:cantSplit/>
        </w:trPr>
        <w:tc>
          <w:tcPr>
            <w:tcW w:w="3227" w:type="dxa"/>
          </w:tcPr>
          <w:p w14:paraId="10373B0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1E052E9" w14:textId="77777777" w:rsidR="002E0D61" w:rsidRPr="00DD2F9B" w:rsidRDefault="003618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58AE87" w14:textId="77777777" w:rsidTr="00812887">
        <w:trPr>
          <w:cantSplit/>
        </w:trPr>
        <w:tc>
          <w:tcPr>
            <w:tcW w:w="3227" w:type="dxa"/>
          </w:tcPr>
          <w:p w14:paraId="050B4A6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D331FD3" w14:textId="77777777" w:rsidR="002E0D61" w:rsidRPr="00DD2F9B" w:rsidRDefault="003618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1AB21FB" w14:textId="77777777" w:rsidTr="00812887">
        <w:trPr>
          <w:cantSplit/>
        </w:trPr>
        <w:tc>
          <w:tcPr>
            <w:tcW w:w="3227" w:type="dxa"/>
          </w:tcPr>
          <w:p w14:paraId="5E2C58D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65839B7" w14:textId="77777777" w:rsidR="002E0D61" w:rsidRPr="00DD2F9B" w:rsidRDefault="006B5AC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43DCE7" w14:textId="77777777" w:rsidTr="00812887">
        <w:trPr>
          <w:cantSplit/>
        </w:trPr>
        <w:tc>
          <w:tcPr>
            <w:tcW w:w="3227" w:type="dxa"/>
          </w:tcPr>
          <w:p w14:paraId="7D4387B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2BAD9D7" w14:textId="77777777" w:rsidR="00386093" w:rsidRPr="00DD2F9B" w:rsidRDefault="006B5AC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71D328" w14:textId="77777777" w:rsidTr="00812887">
        <w:trPr>
          <w:cantSplit/>
        </w:trPr>
        <w:tc>
          <w:tcPr>
            <w:tcW w:w="3227" w:type="dxa"/>
          </w:tcPr>
          <w:p w14:paraId="477E74E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9581D88" w14:textId="77777777" w:rsidR="00386093" w:rsidRPr="00DD2F9B" w:rsidRDefault="006B5AC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DBE7CD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FC7759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92498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1F6A12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03EC12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01CE9B6" w14:textId="77777777" w:rsidR="00932DCE" w:rsidRPr="004C23F4" w:rsidRDefault="000B7706" w:rsidP="00F9496B">
            <w:pPr>
              <w:pStyle w:val="Tablefont"/>
            </w:pPr>
            <w:r>
              <w:t>Insufficient data</w:t>
            </w:r>
            <w:r w:rsidR="005E4B1D">
              <w:t xml:space="preserve"> to assign a skin notation</w:t>
            </w:r>
          </w:p>
        </w:tc>
      </w:tr>
    </w:tbl>
    <w:bookmarkEnd w:id="3"/>
    <w:p w14:paraId="0284234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60E3A1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249F9D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01906C" w14:textId="77777777" w:rsidR="00EB3D1B" w:rsidRDefault="008868D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AD7650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1E19021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4C7A0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4F2B50F" w14:textId="77777777" w:rsidR="001B79E5" w:rsidRDefault="00561C8E" w:rsidP="001B79E5">
                <w:pPr>
                  <w:pStyle w:val="Tablefont"/>
                </w:pPr>
                <w:r>
                  <w:t>95.95</w:t>
                </w:r>
              </w:p>
            </w:tc>
          </w:sdtContent>
        </w:sdt>
      </w:tr>
      <w:tr w:rsidR="00A31D99" w:rsidRPr="004C23F4" w14:paraId="6E087E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71760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BC9F6A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AE591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E9A47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56D99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62DC6D9" w14:textId="77777777" w:rsidTr="00EA6243">
        <w:trPr>
          <w:cantSplit/>
        </w:trPr>
        <w:tc>
          <w:tcPr>
            <w:tcW w:w="4077" w:type="dxa"/>
            <w:vAlign w:val="center"/>
          </w:tcPr>
          <w:p w14:paraId="240419F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647D7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F942826" w14:textId="77777777" w:rsidTr="00EA6243">
        <w:trPr>
          <w:cantSplit/>
        </w:trPr>
        <w:tc>
          <w:tcPr>
            <w:tcW w:w="4077" w:type="dxa"/>
            <w:vAlign w:val="center"/>
          </w:tcPr>
          <w:p w14:paraId="6532486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105B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80BE621" w14:textId="77777777" w:rsidTr="00EA6243">
        <w:trPr>
          <w:cantSplit/>
        </w:trPr>
        <w:tc>
          <w:tcPr>
            <w:tcW w:w="4077" w:type="dxa"/>
            <w:vAlign w:val="center"/>
          </w:tcPr>
          <w:p w14:paraId="21D53F67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CEE272A" w14:textId="77777777" w:rsidR="00E06F40" w:rsidRDefault="00FE77F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6C21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456C21">
              <w:t xml:space="preserve"> *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  <w:p w14:paraId="27613A72" w14:textId="77777777" w:rsidR="00456C21" w:rsidRPr="00A006A0" w:rsidRDefault="00456C2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r>
              <w:t>*excluding MoO</w:t>
            </w:r>
            <w:r w:rsidRPr="00456C21">
              <w:rPr>
                <w:vertAlign w:val="subscript"/>
              </w:rPr>
              <w:t>3</w:t>
            </w:r>
          </w:p>
        </w:tc>
      </w:tr>
    </w:tbl>
    <w:p w14:paraId="5B885B1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7D1F03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91BC97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A0DA07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A4D09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BF83E0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D713FA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9E273A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F7B250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249790F" w14:textId="7777777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561C8E">
        <w:t>2002</w:t>
      </w:r>
      <w:r>
        <w:t xml:space="preserve">) </w:t>
      </w:r>
      <w:r w:rsidR="00561C8E" w:rsidRPr="00561C8E">
        <w:t>Molybdenum and its compounds</w:t>
      </w:r>
      <w:r>
        <w:t xml:space="preserve"> – MAK value documentation.</w:t>
      </w:r>
    </w:p>
    <w:p w14:paraId="57B5E84C" w14:textId="77777777" w:rsidR="008E4F1F" w:rsidRDefault="008E4F1F" w:rsidP="002019E0">
      <w:pPr>
        <w:rPr>
          <w:b/>
        </w:rPr>
      </w:pPr>
      <w:r w:rsidRPr="002022B6">
        <w:t>Health Council of the Netherlands</w:t>
      </w:r>
      <w:r>
        <w:t xml:space="preserve"> (HCOTN) (</w:t>
      </w:r>
      <w:r w:rsidR="002019E0">
        <w:t>2013</w:t>
      </w:r>
      <w:r>
        <w:t xml:space="preserve">) </w:t>
      </w:r>
      <w:r w:rsidR="002019E0">
        <w:t>Molybdenum and molybdenum compounds</w:t>
      </w:r>
      <w:r w:rsidRPr="005F7416">
        <w:t xml:space="preserve">. </w:t>
      </w:r>
      <w:r w:rsidR="00561C8E" w:rsidRPr="00561C8E">
        <w:t>Health-based recommended occupational exposure lim</w:t>
      </w:r>
      <w:r w:rsidR="002019E0">
        <w:t>it</w:t>
      </w:r>
      <w:r w:rsidRPr="005F7416">
        <w:t xml:space="preserve">. The Hague: Health Council of the Netherlands; publication no. </w:t>
      </w:r>
      <w:r w:rsidR="003B0430">
        <w:t>2013/30</w:t>
      </w:r>
      <w:r>
        <w:t>.</w:t>
      </w:r>
    </w:p>
    <w:p w14:paraId="789DA01F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87DF8" w14:textId="77777777" w:rsidR="009F26A7" w:rsidRDefault="009F26A7" w:rsidP="00F43AD5">
      <w:pPr>
        <w:spacing w:after="0" w:line="240" w:lineRule="auto"/>
      </w:pPr>
      <w:r>
        <w:separator/>
      </w:r>
    </w:p>
  </w:endnote>
  <w:endnote w:type="continuationSeparator" w:id="0">
    <w:p w14:paraId="4592F11E" w14:textId="77777777" w:rsidR="009F26A7" w:rsidRDefault="009F26A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20555" w14:textId="77777777" w:rsidR="00F92624" w:rsidRDefault="00F926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14D2BF6" w14:textId="77777777" w:rsidR="008A36CF" w:rsidRDefault="00DA54E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Molybdenum, soluble compounds (as Mo)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7439-98-7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89C34C9" w14:textId="4FC199A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9262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C3E7D" w14:textId="77777777" w:rsidR="00F92624" w:rsidRDefault="00F92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217C0" w14:textId="77777777" w:rsidR="009F26A7" w:rsidRDefault="009F26A7" w:rsidP="00F43AD5">
      <w:pPr>
        <w:spacing w:after="0" w:line="240" w:lineRule="auto"/>
      </w:pPr>
      <w:r>
        <w:separator/>
      </w:r>
    </w:p>
  </w:footnote>
  <w:footnote w:type="continuationSeparator" w:id="0">
    <w:p w14:paraId="5AF6286C" w14:textId="77777777" w:rsidR="009F26A7" w:rsidRDefault="009F26A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5FD68" w14:textId="5681EDC3" w:rsidR="00F92624" w:rsidRDefault="00F926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DABFF" w14:textId="518B39C4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79BDCAB" wp14:editId="616D6FD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461B0" w14:textId="4B53521D" w:rsidR="00F92624" w:rsidRDefault="00F9262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467E1" w14:textId="13E111F0" w:rsidR="00F92624" w:rsidRDefault="00F9262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7E241" w14:textId="3C79EC1F" w:rsidR="008A36CF" w:rsidRDefault="00021F3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EE32D7" wp14:editId="6621465C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2783B" w14:textId="6533EB91" w:rsidR="00F92624" w:rsidRDefault="00F926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040E7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3837A3"/>
    <w:multiLevelType w:val="hybridMultilevel"/>
    <w:tmpl w:val="3FDC61D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F25E95"/>
    <w:multiLevelType w:val="hybridMultilevel"/>
    <w:tmpl w:val="67D2846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88542E"/>
    <w:multiLevelType w:val="hybridMultilevel"/>
    <w:tmpl w:val="6D8640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685EA2"/>
    <w:multiLevelType w:val="hybridMultilevel"/>
    <w:tmpl w:val="5894A8C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7238852">
    <w:abstractNumId w:val="0"/>
  </w:num>
  <w:num w:numId="2" w16cid:durableId="2062358026">
    <w:abstractNumId w:val="1"/>
  </w:num>
  <w:num w:numId="3" w16cid:durableId="1775326534">
    <w:abstractNumId w:val="3"/>
  </w:num>
  <w:num w:numId="4" w16cid:durableId="703405118">
    <w:abstractNumId w:val="0"/>
  </w:num>
  <w:num w:numId="5" w16cid:durableId="1875532316">
    <w:abstractNumId w:val="0"/>
  </w:num>
  <w:num w:numId="6" w16cid:durableId="2029139977">
    <w:abstractNumId w:val="0"/>
  </w:num>
  <w:num w:numId="7" w16cid:durableId="752625138">
    <w:abstractNumId w:val="0"/>
  </w:num>
  <w:num w:numId="8" w16cid:durableId="530994961">
    <w:abstractNumId w:val="0"/>
  </w:num>
  <w:num w:numId="9" w16cid:durableId="1429428758">
    <w:abstractNumId w:val="0"/>
  </w:num>
  <w:num w:numId="10" w16cid:durableId="889875556">
    <w:abstractNumId w:val="0"/>
  </w:num>
  <w:num w:numId="11" w16cid:durableId="1388260198">
    <w:abstractNumId w:val="0"/>
  </w:num>
  <w:num w:numId="12" w16cid:durableId="1307121788">
    <w:abstractNumId w:val="0"/>
  </w:num>
  <w:num w:numId="13" w16cid:durableId="794056514">
    <w:abstractNumId w:val="0"/>
  </w:num>
  <w:num w:numId="14" w16cid:durableId="272906571">
    <w:abstractNumId w:val="0"/>
  </w:num>
  <w:num w:numId="15" w16cid:durableId="1016812280">
    <w:abstractNumId w:val="0"/>
  </w:num>
  <w:num w:numId="16" w16cid:durableId="1367636048">
    <w:abstractNumId w:val="0"/>
  </w:num>
  <w:num w:numId="17" w16cid:durableId="988561432">
    <w:abstractNumId w:val="0"/>
  </w:num>
  <w:num w:numId="18" w16cid:durableId="323706317">
    <w:abstractNumId w:val="0"/>
  </w:num>
  <w:num w:numId="19" w16cid:durableId="317392092">
    <w:abstractNumId w:val="2"/>
  </w:num>
  <w:num w:numId="20" w16cid:durableId="754203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96A"/>
    <w:rsid w:val="00007B80"/>
    <w:rsid w:val="00013A22"/>
    <w:rsid w:val="00014C3F"/>
    <w:rsid w:val="00017C82"/>
    <w:rsid w:val="00021F33"/>
    <w:rsid w:val="00032B88"/>
    <w:rsid w:val="00037E52"/>
    <w:rsid w:val="00046DF5"/>
    <w:rsid w:val="00052060"/>
    <w:rsid w:val="00053783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706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0A39"/>
    <w:rsid w:val="0010461E"/>
    <w:rsid w:val="00106FAA"/>
    <w:rsid w:val="00113443"/>
    <w:rsid w:val="001269A7"/>
    <w:rsid w:val="00131092"/>
    <w:rsid w:val="00140E6A"/>
    <w:rsid w:val="00146545"/>
    <w:rsid w:val="00146B75"/>
    <w:rsid w:val="00150562"/>
    <w:rsid w:val="0015266D"/>
    <w:rsid w:val="0015288A"/>
    <w:rsid w:val="00155999"/>
    <w:rsid w:val="00160F47"/>
    <w:rsid w:val="00177198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0848"/>
    <w:rsid w:val="001B75B9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9E0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3C87"/>
    <w:rsid w:val="002965BD"/>
    <w:rsid w:val="002A350E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4DF"/>
    <w:rsid w:val="00351FE0"/>
    <w:rsid w:val="00352615"/>
    <w:rsid w:val="0035412B"/>
    <w:rsid w:val="003567A8"/>
    <w:rsid w:val="00361845"/>
    <w:rsid w:val="00362895"/>
    <w:rsid w:val="00370DBF"/>
    <w:rsid w:val="00386093"/>
    <w:rsid w:val="003904A4"/>
    <w:rsid w:val="0039168B"/>
    <w:rsid w:val="00391841"/>
    <w:rsid w:val="00391B6D"/>
    <w:rsid w:val="00394922"/>
    <w:rsid w:val="003A0E32"/>
    <w:rsid w:val="003A2B94"/>
    <w:rsid w:val="003B0430"/>
    <w:rsid w:val="003B387D"/>
    <w:rsid w:val="003B4DE9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3CFE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C21"/>
    <w:rsid w:val="004607C4"/>
    <w:rsid w:val="00460A03"/>
    <w:rsid w:val="00472A11"/>
    <w:rsid w:val="00472AAD"/>
    <w:rsid w:val="00474E33"/>
    <w:rsid w:val="00476803"/>
    <w:rsid w:val="00483DEE"/>
    <w:rsid w:val="00485B01"/>
    <w:rsid w:val="00485BFD"/>
    <w:rsid w:val="004867A2"/>
    <w:rsid w:val="00486E3B"/>
    <w:rsid w:val="004873F2"/>
    <w:rsid w:val="0049087D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FC9"/>
    <w:rsid w:val="00561C8E"/>
    <w:rsid w:val="00581055"/>
    <w:rsid w:val="00591E38"/>
    <w:rsid w:val="005A19C5"/>
    <w:rsid w:val="005A3034"/>
    <w:rsid w:val="005A462D"/>
    <w:rsid w:val="005A57A1"/>
    <w:rsid w:val="005B253B"/>
    <w:rsid w:val="005B771D"/>
    <w:rsid w:val="005C5D16"/>
    <w:rsid w:val="005D23D4"/>
    <w:rsid w:val="005D3193"/>
    <w:rsid w:val="005D4A6E"/>
    <w:rsid w:val="005E4B1D"/>
    <w:rsid w:val="005E6979"/>
    <w:rsid w:val="005E75CB"/>
    <w:rsid w:val="005F3558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119"/>
    <w:rsid w:val="006567B7"/>
    <w:rsid w:val="0065734F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AC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27BE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B44"/>
    <w:rsid w:val="007B1B42"/>
    <w:rsid w:val="007B213F"/>
    <w:rsid w:val="007C30EB"/>
    <w:rsid w:val="007E063C"/>
    <w:rsid w:val="007E2A4B"/>
    <w:rsid w:val="007E307D"/>
    <w:rsid w:val="007E6A4E"/>
    <w:rsid w:val="007E6C94"/>
    <w:rsid w:val="007E76BE"/>
    <w:rsid w:val="007F0ADD"/>
    <w:rsid w:val="007F1005"/>
    <w:rsid w:val="007F25E0"/>
    <w:rsid w:val="007F2E81"/>
    <w:rsid w:val="007F4C39"/>
    <w:rsid w:val="007F5328"/>
    <w:rsid w:val="00804F5A"/>
    <w:rsid w:val="00810C6D"/>
    <w:rsid w:val="00812887"/>
    <w:rsid w:val="00820EE5"/>
    <w:rsid w:val="00826F21"/>
    <w:rsid w:val="008326C4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8D0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0D4D"/>
    <w:rsid w:val="008E29D9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FFF"/>
    <w:rsid w:val="00946044"/>
    <w:rsid w:val="0094660B"/>
    <w:rsid w:val="00946A33"/>
    <w:rsid w:val="0095260E"/>
    <w:rsid w:val="00952A05"/>
    <w:rsid w:val="00952CAD"/>
    <w:rsid w:val="009578DD"/>
    <w:rsid w:val="00961124"/>
    <w:rsid w:val="009621B6"/>
    <w:rsid w:val="00974F2D"/>
    <w:rsid w:val="00977524"/>
    <w:rsid w:val="00977E88"/>
    <w:rsid w:val="00984920"/>
    <w:rsid w:val="009874E8"/>
    <w:rsid w:val="0099303A"/>
    <w:rsid w:val="009971C2"/>
    <w:rsid w:val="009A0373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A85"/>
    <w:rsid w:val="009D1B03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6A7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2C49"/>
    <w:rsid w:val="00A53681"/>
    <w:rsid w:val="00A633D4"/>
    <w:rsid w:val="00A6461A"/>
    <w:rsid w:val="00A835F4"/>
    <w:rsid w:val="00A84504"/>
    <w:rsid w:val="00A8672F"/>
    <w:rsid w:val="00A93057"/>
    <w:rsid w:val="00A968B0"/>
    <w:rsid w:val="00AB2672"/>
    <w:rsid w:val="00AB2817"/>
    <w:rsid w:val="00AB43C4"/>
    <w:rsid w:val="00AB536C"/>
    <w:rsid w:val="00AC32E7"/>
    <w:rsid w:val="00AC3A9F"/>
    <w:rsid w:val="00AC6D2F"/>
    <w:rsid w:val="00AC7829"/>
    <w:rsid w:val="00AE2745"/>
    <w:rsid w:val="00AE2F64"/>
    <w:rsid w:val="00AE3181"/>
    <w:rsid w:val="00AF42CB"/>
    <w:rsid w:val="00AF483F"/>
    <w:rsid w:val="00AF5E07"/>
    <w:rsid w:val="00AF5F06"/>
    <w:rsid w:val="00AF6200"/>
    <w:rsid w:val="00B00A25"/>
    <w:rsid w:val="00B1422A"/>
    <w:rsid w:val="00B156B9"/>
    <w:rsid w:val="00B1765C"/>
    <w:rsid w:val="00B213C4"/>
    <w:rsid w:val="00B30023"/>
    <w:rsid w:val="00B40C60"/>
    <w:rsid w:val="00B479A9"/>
    <w:rsid w:val="00B52EDF"/>
    <w:rsid w:val="00B71188"/>
    <w:rsid w:val="00B76A41"/>
    <w:rsid w:val="00B87D4C"/>
    <w:rsid w:val="00B93646"/>
    <w:rsid w:val="00B9713A"/>
    <w:rsid w:val="00BA0B38"/>
    <w:rsid w:val="00BA1DBB"/>
    <w:rsid w:val="00BA4510"/>
    <w:rsid w:val="00BA529A"/>
    <w:rsid w:val="00BB612A"/>
    <w:rsid w:val="00BD499F"/>
    <w:rsid w:val="00BD56DE"/>
    <w:rsid w:val="00BF2406"/>
    <w:rsid w:val="00C00931"/>
    <w:rsid w:val="00C06E43"/>
    <w:rsid w:val="00C16315"/>
    <w:rsid w:val="00C3091E"/>
    <w:rsid w:val="00C40FF1"/>
    <w:rsid w:val="00C419E2"/>
    <w:rsid w:val="00C457C8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7F3"/>
    <w:rsid w:val="00D03EA6"/>
    <w:rsid w:val="00D048F7"/>
    <w:rsid w:val="00D0517E"/>
    <w:rsid w:val="00D140FC"/>
    <w:rsid w:val="00D21D8C"/>
    <w:rsid w:val="00D25A52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4E7"/>
    <w:rsid w:val="00DC7694"/>
    <w:rsid w:val="00DD1BF6"/>
    <w:rsid w:val="00DD2F9B"/>
    <w:rsid w:val="00DD733B"/>
    <w:rsid w:val="00DE0E98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35E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4F36"/>
    <w:rsid w:val="00F87D92"/>
    <w:rsid w:val="00F90AA7"/>
    <w:rsid w:val="00F92498"/>
    <w:rsid w:val="00F92624"/>
    <w:rsid w:val="00F9496B"/>
    <w:rsid w:val="00F970C9"/>
    <w:rsid w:val="00FA06A8"/>
    <w:rsid w:val="00FA3DF5"/>
    <w:rsid w:val="00FA741F"/>
    <w:rsid w:val="00FB4E07"/>
    <w:rsid w:val="00FB755A"/>
    <w:rsid w:val="00FC0B76"/>
    <w:rsid w:val="00FC60A2"/>
    <w:rsid w:val="00FD1871"/>
    <w:rsid w:val="00FD3110"/>
    <w:rsid w:val="00FE77F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3E68C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A52C4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E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EA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E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EA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0D6525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6525"/>
    <w:rsid w:val="00150562"/>
    <w:rsid w:val="00347D16"/>
    <w:rsid w:val="00387172"/>
    <w:rsid w:val="003E0149"/>
    <w:rsid w:val="00755FBF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E97FE0-D581-4244-ADC8-38CAF2F410FD}"/>
</file>

<file path=customXml/itemProps2.xml><?xml version="1.0" encoding="utf-8"?>
<ds:datastoreItem xmlns:ds="http://schemas.openxmlformats.org/officeDocument/2006/customXml" ds:itemID="{DB619692-CF5C-48BA-B444-A33B3887B4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9C9CDB-CC1E-4ED7-87B9-13FE09B84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5C5B1-56B7-4DCF-BF0E-85C7836A77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2020-01-22T05:04:00Z</dcterms:created>
  <dcterms:modified xsi:type="dcterms:W3CDTF">2025-12-24T00:13:00Z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2025-12-24T00:13:21Z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0f8e1da4-966b-4d4f-bc53-bc2bc4a203bd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