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6950C499" w14:textId="7FE6EAC8" w:rsidR="00BD499F" w:rsidRPr="004C23F4" w:rsidRDefault="00D32AA1" w:rsidP="00B40C60">
          <w:pPr>
            <w:pStyle w:val="Heading1"/>
            <w:jc w:val="center"/>
            <w:rPr>
              <w:rFonts w:ascii="Arial" w:hAnsi="Arial" w:cs="Arial"/>
            </w:rPr>
          </w:pPr>
          <w:r w:rsidRPr="00D32AA1">
            <w:rPr>
              <w:rFonts w:ascii="Arial" w:hAnsi="Arial" w:cs="Arial"/>
            </w:rPr>
            <w:t>Molybdenum, insoluble compounds (as Mo)</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4"/>
        <w:gridCol w:w="5032"/>
      </w:tblGrid>
      <w:tr w:rsidR="00F43AD5" w:rsidRPr="004C23F4" w14:paraId="43C9D835" w14:textId="77777777" w:rsidTr="00B76A41">
        <w:trPr>
          <w:cantSplit/>
          <w:tblHeader/>
        </w:trPr>
        <w:tc>
          <w:tcPr>
            <w:tcW w:w="4077" w:type="dxa"/>
          </w:tcPr>
          <w:p w14:paraId="5A9303F6" w14:textId="77777777" w:rsidR="00F43AD5" w:rsidRPr="00921DE7" w:rsidRDefault="00CB1CB1" w:rsidP="00B76A41">
            <w:pPr>
              <w:pStyle w:val="Tablerowright"/>
            </w:pPr>
            <w:r w:rsidRPr="00921DE7">
              <w:t>CAS number:</w:t>
            </w:r>
          </w:p>
        </w:tc>
        <w:tc>
          <w:tcPr>
            <w:tcW w:w="5165" w:type="dxa"/>
          </w:tcPr>
          <w:p w14:paraId="550BE129" w14:textId="73B8EC42" w:rsidR="00F43AD5" w:rsidRPr="00717D45" w:rsidRDefault="00D32AA1" w:rsidP="00B76A41">
            <w:pPr>
              <w:pStyle w:val="Tablefont"/>
            </w:pPr>
            <w:r w:rsidRPr="00D32AA1">
              <w:t>7439-98-7</w:t>
            </w:r>
          </w:p>
        </w:tc>
      </w:tr>
      <w:tr w:rsidR="00F43AD5" w:rsidRPr="004C23F4" w14:paraId="3503D353" w14:textId="77777777" w:rsidTr="00B76A41">
        <w:trPr>
          <w:cantSplit/>
        </w:trPr>
        <w:tc>
          <w:tcPr>
            <w:tcW w:w="4077" w:type="dxa"/>
          </w:tcPr>
          <w:p w14:paraId="31783BD3" w14:textId="77777777" w:rsidR="00F43AD5" w:rsidRPr="00921DE7" w:rsidRDefault="00CB1CB1" w:rsidP="00B76A41">
            <w:pPr>
              <w:pStyle w:val="Tablerowright"/>
            </w:pPr>
            <w:r w:rsidRPr="00921DE7">
              <w:t>Synonyms:</w:t>
            </w:r>
          </w:p>
        </w:tc>
        <w:tc>
          <w:tcPr>
            <w:tcW w:w="5165" w:type="dxa"/>
          </w:tcPr>
          <w:p w14:paraId="6C9BEDEF" w14:textId="707B1C74" w:rsidR="00F43AD5" w:rsidRPr="00717D45" w:rsidRDefault="0050368B" w:rsidP="00B76A41">
            <w:pPr>
              <w:pStyle w:val="Tablefont"/>
            </w:pPr>
            <w:r>
              <w:t>—</w:t>
            </w:r>
          </w:p>
        </w:tc>
      </w:tr>
      <w:tr w:rsidR="00F43AD5" w:rsidRPr="004C23F4" w14:paraId="3E885873" w14:textId="77777777" w:rsidTr="00B76A41">
        <w:trPr>
          <w:cantSplit/>
        </w:trPr>
        <w:tc>
          <w:tcPr>
            <w:tcW w:w="4077" w:type="dxa"/>
          </w:tcPr>
          <w:p w14:paraId="6ECEE766" w14:textId="77777777" w:rsidR="00F43AD5" w:rsidRPr="00921DE7" w:rsidRDefault="00CB1CB1" w:rsidP="00B76A41">
            <w:pPr>
              <w:pStyle w:val="Tablerowright"/>
            </w:pPr>
            <w:r w:rsidRPr="00921DE7">
              <w:t>Chemical formula:</w:t>
            </w:r>
          </w:p>
        </w:tc>
        <w:tc>
          <w:tcPr>
            <w:tcW w:w="5165" w:type="dxa"/>
          </w:tcPr>
          <w:p w14:paraId="12902281" w14:textId="5A6C1084" w:rsidR="00F43AD5" w:rsidRPr="00717D45" w:rsidRDefault="0050368B" w:rsidP="00B76A41">
            <w:pPr>
              <w:pStyle w:val="Tablefont"/>
            </w:pPr>
            <w:r>
              <w:t>Mo</w:t>
            </w:r>
          </w:p>
        </w:tc>
      </w:tr>
      <w:tr w:rsidR="00F43AD5" w:rsidRPr="004C23F4" w14:paraId="0A06C48A" w14:textId="77777777" w:rsidTr="00B76A41">
        <w:trPr>
          <w:cantSplit/>
        </w:trPr>
        <w:tc>
          <w:tcPr>
            <w:tcW w:w="4077" w:type="dxa"/>
          </w:tcPr>
          <w:p w14:paraId="0FB6065A" w14:textId="77777777" w:rsidR="00F43AD5" w:rsidRPr="00921DE7" w:rsidRDefault="00CB1CB1" w:rsidP="00B76A41">
            <w:pPr>
              <w:pStyle w:val="Tablerowright"/>
            </w:pPr>
            <w:r w:rsidRPr="00921DE7">
              <w:t>Structural formula:</w:t>
            </w:r>
          </w:p>
        </w:tc>
        <w:tc>
          <w:tcPr>
            <w:tcW w:w="5165" w:type="dxa"/>
          </w:tcPr>
          <w:p w14:paraId="551E649D" w14:textId="1C3C6D3F" w:rsidR="00F43AD5" w:rsidRPr="00B40C60" w:rsidRDefault="0033199E" w:rsidP="00B76A41">
            <w:pPr>
              <w:pStyle w:val="Tablerowheading"/>
              <w:rPr>
                <w:b w:val="0"/>
              </w:rPr>
            </w:pPr>
            <w:r>
              <w:t>—</w:t>
            </w:r>
          </w:p>
        </w:tc>
      </w:tr>
    </w:tbl>
    <w:p w14:paraId="40AE8C05" w14:textId="223F83DD"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1B309A">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9"/>
        <w:gridCol w:w="5027"/>
      </w:tblGrid>
      <w:tr w:rsidR="002C7AFE" w:rsidRPr="004C23F4" w14:paraId="77E3EDB1" w14:textId="77777777" w:rsidTr="001B309A">
        <w:trPr>
          <w:cantSplit/>
          <w:tblHeader/>
        </w:trPr>
        <w:tc>
          <w:tcPr>
            <w:tcW w:w="3999" w:type="dxa"/>
            <w:vAlign w:val="center"/>
          </w:tcPr>
          <w:p w14:paraId="033E63E7" w14:textId="77777777" w:rsidR="002C7AFE" w:rsidRPr="002C58FF" w:rsidRDefault="00921DE7" w:rsidP="00921DE7">
            <w:pPr>
              <w:pStyle w:val="Tablerowright"/>
            </w:pPr>
            <w:r>
              <w:t>TWA:</w:t>
            </w:r>
          </w:p>
        </w:tc>
        <w:tc>
          <w:tcPr>
            <w:tcW w:w="5027" w:type="dxa"/>
          </w:tcPr>
          <w:p w14:paraId="0B8B3E5B" w14:textId="77BED77D" w:rsidR="002C7AFE" w:rsidRPr="001B309A" w:rsidRDefault="001B309A" w:rsidP="00017C82">
            <w:pPr>
              <w:pStyle w:val="Tablefont"/>
              <w:rPr>
                <w:b/>
                <w:vertAlign w:val="subscript"/>
              </w:rPr>
            </w:pPr>
            <w:r>
              <w:rPr>
                <w:b/>
              </w:rPr>
              <w:t>10 mg/m</w:t>
            </w:r>
            <w:r>
              <w:rPr>
                <w:b/>
                <w:vertAlign w:val="superscript"/>
              </w:rPr>
              <w:t>3</w:t>
            </w:r>
            <w:r>
              <w:rPr>
                <w:b/>
              </w:rPr>
              <w:t xml:space="preserve"> (Inhalable); </w:t>
            </w:r>
            <w:r w:rsidR="00B52F1B">
              <w:rPr>
                <w:b/>
              </w:rPr>
              <w:t>3</w:t>
            </w:r>
            <w:r>
              <w:rPr>
                <w:b/>
              </w:rPr>
              <w:t xml:space="preserve"> mg/m</w:t>
            </w:r>
            <w:r>
              <w:rPr>
                <w:b/>
                <w:vertAlign w:val="superscript"/>
              </w:rPr>
              <w:t>3</w:t>
            </w:r>
            <w:r w:rsidRPr="001B309A">
              <w:rPr>
                <w:b/>
              </w:rPr>
              <w:t xml:space="preserve"> (Respirable)</w:t>
            </w:r>
          </w:p>
        </w:tc>
      </w:tr>
      <w:tr w:rsidR="001B309A" w:rsidRPr="004C23F4" w14:paraId="06C72BC6" w14:textId="77777777" w:rsidTr="001B309A">
        <w:trPr>
          <w:cantSplit/>
        </w:trPr>
        <w:tc>
          <w:tcPr>
            <w:tcW w:w="3999" w:type="dxa"/>
            <w:vAlign w:val="center"/>
          </w:tcPr>
          <w:p w14:paraId="7E229ED1" w14:textId="77777777" w:rsidR="001B309A" w:rsidRPr="002C58FF" w:rsidRDefault="001B309A" w:rsidP="001B309A">
            <w:pPr>
              <w:pStyle w:val="Tablerowright"/>
            </w:pPr>
            <w:r w:rsidRPr="002C58FF">
              <w:t>STEL</w:t>
            </w:r>
            <w:r>
              <w:t>:</w:t>
            </w:r>
          </w:p>
        </w:tc>
        <w:tc>
          <w:tcPr>
            <w:tcW w:w="5027" w:type="dxa"/>
          </w:tcPr>
          <w:p w14:paraId="1133AED7" w14:textId="12CF7E4F" w:rsidR="001B309A" w:rsidRPr="001E68E2" w:rsidRDefault="001B309A" w:rsidP="001B309A">
            <w:pPr>
              <w:pStyle w:val="Tablefont"/>
              <w:rPr>
                <w:b/>
              </w:rPr>
            </w:pPr>
            <w:r w:rsidRPr="001E68E2">
              <w:rPr>
                <w:b/>
              </w:rPr>
              <w:t>—</w:t>
            </w:r>
          </w:p>
        </w:tc>
      </w:tr>
      <w:tr w:rsidR="001B309A" w:rsidRPr="004C23F4" w14:paraId="74A6E715" w14:textId="77777777" w:rsidTr="001B309A">
        <w:trPr>
          <w:cantSplit/>
        </w:trPr>
        <w:tc>
          <w:tcPr>
            <w:tcW w:w="3999" w:type="dxa"/>
            <w:vAlign w:val="center"/>
          </w:tcPr>
          <w:p w14:paraId="21E71137" w14:textId="77777777" w:rsidR="001B309A" w:rsidRPr="002C58FF" w:rsidRDefault="001B309A" w:rsidP="001B309A">
            <w:pPr>
              <w:pStyle w:val="Tablerowright"/>
            </w:pPr>
            <w:r>
              <w:t>Peak limitation:</w:t>
            </w:r>
          </w:p>
        </w:tc>
        <w:tc>
          <w:tcPr>
            <w:tcW w:w="5027" w:type="dxa"/>
          </w:tcPr>
          <w:p w14:paraId="388C2CFE" w14:textId="3D2D60F6" w:rsidR="001B309A" w:rsidRPr="001E68E2" w:rsidRDefault="001B309A" w:rsidP="001B309A">
            <w:pPr>
              <w:pStyle w:val="Tablefont"/>
              <w:rPr>
                <w:b/>
              </w:rPr>
            </w:pPr>
            <w:r w:rsidRPr="001E68E2">
              <w:rPr>
                <w:b/>
              </w:rPr>
              <w:t>—</w:t>
            </w:r>
          </w:p>
        </w:tc>
      </w:tr>
      <w:tr w:rsidR="001B309A" w:rsidRPr="004C23F4" w14:paraId="320054AD" w14:textId="77777777" w:rsidTr="001B309A">
        <w:trPr>
          <w:cantSplit/>
        </w:trPr>
        <w:tc>
          <w:tcPr>
            <w:tcW w:w="3999" w:type="dxa"/>
          </w:tcPr>
          <w:p w14:paraId="41FC1687" w14:textId="77777777" w:rsidR="001B309A" w:rsidRPr="002C58FF" w:rsidRDefault="001B309A" w:rsidP="001B309A">
            <w:pPr>
              <w:pStyle w:val="Tablerowright"/>
            </w:pPr>
            <w:r>
              <w:rPr>
                <w:b w:val="0"/>
                <w:bCs/>
                <w:color w:val="000000" w:themeColor="text1"/>
              </w:rPr>
              <w:tab/>
            </w:r>
            <w:r w:rsidRPr="003241A8">
              <w:t>Notations</w:t>
            </w:r>
            <w:r>
              <w:t>:</w:t>
            </w:r>
          </w:p>
        </w:tc>
        <w:tc>
          <w:tcPr>
            <w:tcW w:w="5027" w:type="dxa"/>
          </w:tcPr>
          <w:p w14:paraId="7EF9034B" w14:textId="10ED830E" w:rsidR="001B309A" w:rsidRPr="001E68E2" w:rsidRDefault="001B309A" w:rsidP="001B309A">
            <w:pPr>
              <w:pStyle w:val="Tablefont"/>
              <w:rPr>
                <w:b/>
              </w:rPr>
            </w:pPr>
            <w:r w:rsidRPr="001E68E2">
              <w:rPr>
                <w:b/>
              </w:rPr>
              <w:t>—</w:t>
            </w:r>
          </w:p>
        </w:tc>
      </w:tr>
      <w:tr w:rsidR="002C7AFE" w:rsidRPr="004C23F4" w14:paraId="77637E3C" w14:textId="77777777" w:rsidTr="001B309A">
        <w:trPr>
          <w:cantSplit/>
        </w:trPr>
        <w:tc>
          <w:tcPr>
            <w:tcW w:w="3999" w:type="dxa"/>
            <w:vAlign w:val="center"/>
          </w:tcPr>
          <w:p w14:paraId="51BD3136" w14:textId="77777777" w:rsidR="00F10C97" w:rsidRPr="002C58FF" w:rsidRDefault="00921DE7" w:rsidP="009F04D2">
            <w:pPr>
              <w:pStyle w:val="Tablerowright"/>
            </w:pPr>
            <w:r>
              <w:t>IDLH:</w:t>
            </w:r>
          </w:p>
        </w:tc>
        <w:tc>
          <w:tcPr>
            <w:tcW w:w="5027" w:type="dxa"/>
          </w:tcPr>
          <w:p w14:paraId="6215BF94" w14:textId="3EE48623" w:rsidR="002C7AFE" w:rsidRPr="001E68E2" w:rsidRDefault="0033199E" w:rsidP="00017C82">
            <w:pPr>
              <w:pStyle w:val="Tablefont"/>
              <w:rPr>
                <w:b/>
              </w:rPr>
            </w:pPr>
            <w:r w:rsidRPr="001E68E2">
              <w:rPr>
                <w:b/>
              </w:rPr>
              <w:t>—</w:t>
            </w:r>
          </w:p>
        </w:tc>
      </w:tr>
      <w:tr w:rsidR="00312F9F" w:rsidRPr="004C23F4" w14:paraId="58427DC0" w14:textId="77777777" w:rsidTr="00B03498">
        <w:trPr>
          <w:cantSplit/>
        </w:trPr>
        <w:tc>
          <w:tcPr>
            <w:tcW w:w="9026" w:type="dxa"/>
            <w:gridSpan w:val="2"/>
            <w:vAlign w:val="center"/>
          </w:tcPr>
          <w:p w14:paraId="654D0EED" w14:textId="2B01AD03" w:rsidR="00312F9F" w:rsidRPr="00EB3D1B" w:rsidRDefault="00312F9F" w:rsidP="00017C82">
            <w:pPr>
              <w:pStyle w:val="Tablefont"/>
              <w:rPr>
                <w:b/>
              </w:rPr>
            </w:pPr>
            <w:r>
              <w:rPr>
                <w:b/>
              </w:rPr>
              <w:t>Sampling and analysis</w:t>
            </w:r>
            <w:r w:rsidRPr="00312F9F">
              <w:rPr>
                <w:b/>
              </w:rPr>
              <w:t>:</w:t>
            </w:r>
            <w:r w:rsidRPr="00312F9F">
              <w:rPr>
                <w:rStyle w:val="WESstatus"/>
                <w:color w:val="auto"/>
              </w:rPr>
              <w:t xml:space="preserve"> </w:t>
            </w:r>
            <w:sdt>
              <w:sdtPr>
                <w:rPr>
                  <w:rStyle w:val="WESstatus"/>
                  <w:color w:val="auto"/>
                </w:rPr>
                <w:id w:val="-2105258949"/>
                <w:placeholder>
                  <w:docPart w:val="3E5D84A4900F4CB982CA7837E42BF39E"/>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1E68E2">
                  <w:rPr>
                    <w:rStyle w:val="WESstatus"/>
                    <w:color w:val="auto"/>
                  </w:rPr>
                  <w:t xml:space="preserve">The recommended value is quantifiable through available sampling and analysis techniques. </w:t>
                </w:r>
              </w:sdtContent>
            </w:sdt>
          </w:p>
        </w:tc>
      </w:tr>
    </w:tbl>
    <w:p w14:paraId="09DF1EEC" w14:textId="77777777" w:rsidR="00CB1CB1" w:rsidRPr="003365A5" w:rsidRDefault="00F10C97" w:rsidP="003365A5">
      <w:pPr>
        <w:pStyle w:val="Heading2"/>
      </w:pPr>
      <w:r>
        <w:t>Recommendation and basis for workplace exposure standard</w:t>
      </w:r>
    </w:p>
    <w:p w14:paraId="354D18CB" w14:textId="797EE222" w:rsidR="001B309A" w:rsidRDefault="001B309A" w:rsidP="000C139A">
      <w:pPr>
        <w:rPr>
          <w:rFonts w:cs="Arial"/>
        </w:rPr>
      </w:pPr>
      <w:r>
        <w:rPr>
          <w:rFonts w:cs="Arial"/>
        </w:rPr>
        <w:t>A TWA of 10 mg/m</w:t>
      </w:r>
      <w:r>
        <w:rPr>
          <w:rFonts w:cs="Arial"/>
          <w:vertAlign w:val="superscript"/>
        </w:rPr>
        <w:t>3</w:t>
      </w:r>
      <w:r>
        <w:rPr>
          <w:rFonts w:cs="Arial"/>
        </w:rPr>
        <w:t xml:space="preserve"> is recommended </w:t>
      </w:r>
      <w:r w:rsidR="00AC583C">
        <w:rPr>
          <w:rFonts w:cs="Arial"/>
        </w:rPr>
        <w:t xml:space="preserve">for inhalable sized particulate fraction </w:t>
      </w:r>
      <w:r w:rsidR="00783721">
        <w:rPr>
          <w:rFonts w:cs="Arial"/>
        </w:rPr>
        <w:t xml:space="preserve">to protect </w:t>
      </w:r>
      <w:r>
        <w:rPr>
          <w:rFonts w:cs="Arial"/>
        </w:rPr>
        <w:t>for irritant effects in exposed workers.</w:t>
      </w:r>
    </w:p>
    <w:p w14:paraId="4FB1F3FD" w14:textId="6F5DBC89" w:rsidR="006639B4" w:rsidRPr="001B309A" w:rsidRDefault="001B309A" w:rsidP="000C139A">
      <w:pPr>
        <w:rPr>
          <w:rFonts w:cs="Arial"/>
        </w:rPr>
      </w:pPr>
      <w:r>
        <w:rPr>
          <w:rFonts w:cs="Arial"/>
        </w:rPr>
        <w:t>A TWA</w:t>
      </w:r>
      <w:r w:rsidR="00AC583C">
        <w:rPr>
          <w:rFonts w:cs="Arial"/>
        </w:rPr>
        <w:t xml:space="preserve"> of</w:t>
      </w:r>
      <w:r>
        <w:rPr>
          <w:rFonts w:cs="Arial"/>
        </w:rPr>
        <w:t xml:space="preserve"> </w:t>
      </w:r>
      <w:r w:rsidR="00B52F1B">
        <w:rPr>
          <w:rFonts w:cs="Arial"/>
        </w:rPr>
        <w:t>3</w:t>
      </w:r>
      <w:r>
        <w:rPr>
          <w:rFonts w:cs="Arial"/>
        </w:rPr>
        <w:t xml:space="preserve"> mg/m</w:t>
      </w:r>
      <w:r>
        <w:rPr>
          <w:rFonts w:cs="Arial"/>
          <w:vertAlign w:val="superscript"/>
        </w:rPr>
        <w:t>3</w:t>
      </w:r>
      <w:r w:rsidR="00783721">
        <w:rPr>
          <w:rFonts w:cs="Arial"/>
        </w:rPr>
        <w:t xml:space="preserve"> </w:t>
      </w:r>
      <w:r w:rsidR="00AC583C">
        <w:rPr>
          <w:rFonts w:cs="Arial"/>
        </w:rPr>
        <w:t xml:space="preserve">is recommended </w:t>
      </w:r>
      <w:r>
        <w:rPr>
          <w:rFonts w:cs="Arial"/>
        </w:rPr>
        <w:t>for respirable sized particulate fraction</w:t>
      </w:r>
      <w:r w:rsidRPr="001B309A">
        <w:rPr>
          <w:rFonts w:cs="Arial"/>
        </w:rPr>
        <w:t xml:space="preserve"> </w:t>
      </w:r>
      <w:r w:rsidR="00783721">
        <w:rPr>
          <w:rFonts w:cs="Arial"/>
        </w:rPr>
        <w:t xml:space="preserve">to protect </w:t>
      </w:r>
      <w:r>
        <w:rPr>
          <w:rFonts w:cs="Arial"/>
        </w:rPr>
        <w:t>for irritant effects in exposed workers.</w:t>
      </w:r>
    </w:p>
    <w:p w14:paraId="78EA09D9" w14:textId="77777777" w:rsidR="00C7155E" w:rsidRPr="004C23F4" w:rsidRDefault="00F10C97" w:rsidP="003365A5">
      <w:pPr>
        <w:pStyle w:val="Heading2"/>
      </w:pPr>
      <w:r>
        <w:t>Discussion and conclusions</w:t>
      </w:r>
    </w:p>
    <w:p w14:paraId="0FC65F56" w14:textId="4A255D6C" w:rsidR="00812CDF" w:rsidRDefault="00812CDF" w:rsidP="00812CDF">
      <w:r>
        <w:t>Metallic molybdenum is used in high temperature and tool steel alloys, in aircraft parts and metal ceramic composite. Molybdenum is an essential element necessary for human health. This evaluation refers to metallic and insoluble molybdenum compounds.</w:t>
      </w:r>
      <w:r w:rsidR="006A51C6">
        <w:t xml:space="preserve"> There is a separate evaluation for </w:t>
      </w:r>
      <w:r w:rsidR="006A51C6" w:rsidRPr="006A51C6">
        <w:t>soluble molybdenum compounds</w:t>
      </w:r>
      <w:r w:rsidR="007C3D37">
        <w:t>.</w:t>
      </w:r>
      <w:r w:rsidR="006A51C6">
        <w:t xml:space="preserve"> </w:t>
      </w:r>
    </w:p>
    <w:p w14:paraId="5DDFB3E5" w14:textId="10C94F9B" w:rsidR="00812CDF" w:rsidRDefault="001B309A" w:rsidP="00812CDF">
      <w:r>
        <w:t>Metallic and molybdenum compound</w:t>
      </w:r>
      <w:r w:rsidR="008E2245">
        <w:t xml:space="preserve">s such as molybdenum disulfide and </w:t>
      </w:r>
      <w:r>
        <w:t xml:space="preserve">molybdenum dioxide are poorly soluble and considered to have low toxicity. </w:t>
      </w:r>
      <w:r w:rsidR="001E68E2">
        <w:t xml:space="preserve">There </w:t>
      </w:r>
      <w:r w:rsidR="00783721">
        <w:t>are</w:t>
      </w:r>
      <w:r w:rsidR="001E68E2">
        <w:t xml:space="preserve"> l</w:t>
      </w:r>
      <w:r w:rsidR="00812CDF">
        <w:t>imited animal experimental data and no human toxicity data</w:t>
      </w:r>
      <w:r>
        <w:t xml:space="preserve">. ACGIH (2018) </w:t>
      </w:r>
      <w:r w:rsidR="002F609A">
        <w:t>assign the</w:t>
      </w:r>
      <w:r>
        <w:t xml:space="preserve"> </w:t>
      </w:r>
      <w:r w:rsidR="002F609A">
        <w:t>TLV-</w:t>
      </w:r>
      <w:r>
        <w:t xml:space="preserve">TWA </w:t>
      </w:r>
      <w:r w:rsidR="002F609A">
        <w:t xml:space="preserve">based </w:t>
      </w:r>
      <w:r>
        <w:t>on irritant</w:t>
      </w:r>
      <w:r w:rsidR="00812CDF">
        <w:t xml:space="preserve"> effects for </w:t>
      </w:r>
      <w:r>
        <w:t xml:space="preserve">different </w:t>
      </w:r>
      <w:r w:rsidR="00812CDF">
        <w:t>respirable and inhalable dust fractions.</w:t>
      </w:r>
    </w:p>
    <w:p w14:paraId="5B40C6F3" w14:textId="390AE4F4" w:rsidR="001B309A" w:rsidRPr="004C23F4" w:rsidRDefault="001B309A" w:rsidP="00812CDF">
      <w:pPr>
        <w:rPr>
          <w:rFonts w:cs="Arial"/>
        </w:rPr>
      </w:pPr>
      <w:r w:rsidRPr="001B309A">
        <w:rPr>
          <w:rFonts w:cs="Arial"/>
        </w:rPr>
        <w:t xml:space="preserve">Given the limited available data, </w:t>
      </w:r>
      <w:r w:rsidR="008E2245">
        <w:rPr>
          <w:rFonts w:cs="Arial"/>
        </w:rPr>
        <w:t>a</w:t>
      </w:r>
      <w:r w:rsidRPr="001B309A">
        <w:rPr>
          <w:rFonts w:cs="Arial"/>
        </w:rPr>
        <w:t xml:space="preserve"> TWA of </w:t>
      </w:r>
      <w:r>
        <w:rPr>
          <w:rFonts w:cs="Arial"/>
        </w:rPr>
        <w:t>10</w:t>
      </w:r>
      <w:r w:rsidRPr="001B309A">
        <w:rPr>
          <w:rFonts w:cs="Arial"/>
        </w:rPr>
        <w:t xml:space="preserve"> </w:t>
      </w:r>
      <w:r>
        <w:rPr>
          <w:rFonts w:cs="Arial"/>
        </w:rPr>
        <w:t>mg/m</w:t>
      </w:r>
      <w:r>
        <w:rPr>
          <w:rFonts w:cs="Arial"/>
          <w:vertAlign w:val="superscript"/>
        </w:rPr>
        <w:t>3</w:t>
      </w:r>
      <w:r w:rsidRPr="001B309A">
        <w:rPr>
          <w:rFonts w:cs="Arial"/>
        </w:rPr>
        <w:t xml:space="preserve"> is recommended </w:t>
      </w:r>
      <w:r>
        <w:rPr>
          <w:rFonts w:cs="Arial"/>
        </w:rPr>
        <w:t>for inhala</w:t>
      </w:r>
      <w:r w:rsidR="008E2245">
        <w:rPr>
          <w:rFonts w:cs="Arial"/>
        </w:rPr>
        <w:t>ble sized particulate fractions and a</w:t>
      </w:r>
      <w:r>
        <w:rPr>
          <w:rFonts w:cs="Arial"/>
        </w:rPr>
        <w:t xml:space="preserve"> TWA of </w:t>
      </w:r>
      <w:r w:rsidR="00B52F1B">
        <w:rPr>
          <w:rFonts w:cs="Arial"/>
        </w:rPr>
        <w:t>3</w:t>
      </w:r>
      <w:r>
        <w:rPr>
          <w:rFonts w:cs="Arial"/>
        </w:rPr>
        <w:t xml:space="preserve"> mg/m</w:t>
      </w:r>
      <w:r>
        <w:rPr>
          <w:rFonts w:cs="Arial"/>
          <w:vertAlign w:val="superscript"/>
        </w:rPr>
        <w:t xml:space="preserve">3 </w:t>
      </w:r>
      <w:r>
        <w:rPr>
          <w:rFonts w:cs="Arial"/>
        </w:rPr>
        <w:t>is recommended for the respirable sized particulate fraction. These TWA are expected</w:t>
      </w:r>
      <w:r w:rsidRPr="001B309A">
        <w:rPr>
          <w:rFonts w:cs="Arial"/>
        </w:rPr>
        <w:t xml:space="preserve"> to limit irritant effects based on the recommendation by ACGIH</w:t>
      </w:r>
      <w:r>
        <w:rPr>
          <w:rFonts w:cs="Arial"/>
        </w:rPr>
        <w:t xml:space="preserve"> (2018).</w:t>
      </w:r>
    </w:p>
    <w:p w14:paraId="2979C716" w14:textId="77777777" w:rsidR="004529F0" w:rsidRPr="004C23F4" w:rsidRDefault="004529F0" w:rsidP="004529F0">
      <w:pPr>
        <w:pStyle w:val="Heading2"/>
      </w:pPr>
      <w:r>
        <w:t>Recommendation for notations</w:t>
      </w:r>
    </w:p>
    <w:p w14:paraId="6C4BE243" w14:textId="36B20E05" w:rsidR="0033199E" w:rsidRDefault="0033199E" w:rsidP="0033199E">
      <w:pPr>
        <w:rPr>
          <w:rFonts w:cs="Arial"/>
        </w:rPr>
      </w:pPr>
      <w:r>
        <w:rPr>
          <w:rFonts w:cs="Arial"/>
        </w:rPr>
        <w:t>Not classified as a carcinogen according to the Globally Harmonized System of Classification and Labelling o</w:t>
      </w:r>
      <w:r w:rsidR="00312F9F">
        <w:rPr>
          <w:rFonts w:cs="Arial"/>
        </w:rPr>
        <w:t>f</w:t>
      </w:r>
      <w:r>
        <w:rPr>
          <w:rFonts w:cs="Arial"/>
        </w:rPr>
        <w:t xml:space="preserve"> Chemicals (GHS). </w:t>
      </w:r>
    </w:p>
    <w:p w14:paraId="36340320" w14:textId="2DE9FD50" w:rsidR="0033199E" w:rsidRDefault="0033199E" w:rsidP="0033199E">
      <w:pPr>
        <w:rPr>
          <w:rFonts w:cs="Arial"/>
        </w:rPr>
      </w:pPr>
      <w:r>
        <w:rPr>
          <w:rFonts w:cs="Arial"/>
        </w:rPr>
        <w:t xml:space="preserve">Not classified as a skin </w:t>
      </w:r>
      <w:r w:rsidR="00312F9F">
        <w:rPr>
          <w:rFonts w:cs="Arial"/>
        </w:rPr>
        <w:t xml:space="preserve">sensitiser </w:t>
      </w:r>
      <w:r>
        <w:rPr>
          <w:rFonts w:cs="Arial"/>
        </w:rPr>
        <w:t>or respiratory sensitiser according to the GHS.</w:t>
      </w:r>
    </w:p>
    <w:p w14:paraId="46BD10CD" w14:textId="7F001038" w:rsidR="0025734A" w:rsidRPr="004C23F4" w:rsidRDefault="001E68E2">
      <w:pPr>
        <w:rPr>
          <w:rFonts w:cs="Arial"/>
        </w:rPr>
      </w:pPr>
      <w:r>
        <w:rPr>
          <w:rFonts w:cs="Arial"/>
        </w:rPr>
        <w:lastRenderedPageBreak/>
        <w:t xml:space="preserve">There </w:t>
      </w:r>
      <w:r w:rsidR="00BE256A">
        <w:rPr>
          <w:rFonts w:cs="Arial"/>
        </w:rPr>
        <w:t xml:space="preserve">are </w:t>
      </w:r>
      <w:r>
        <w:rPr>
          <w:rFonts w:cs="Arial"/>
        </w:rPr>
        <w:t>i</w:t>
      </w:r>
      <w:r w:rsidR="0033199E">
        <w:rPr>
          <w:rFonts w:cs="Arial"/>
        </w:rPr>
        <w:t xml:space="preserve">nsufficient </w:t>
      </w:r>
      <w:r>
        <w:rPr>
          <w:rFonts w:cs="Arial"/>
        </w:rPr>
        <w:t>data</w:t>
      </w:r>
      <w:r w:rsidR="0033199E">
        <w:rPr>
          <w:rFonts w:cs="Arial"/>
        </w:rPr>
        <w:t xml:space="preserve"> to recommend a skin notation.</w:t>
      </w:r>
      <w:r w:rsidR="00312F9F">
        <w:rPr>
          <w:rFonts w:cs="Arial"/>
        </w:rPr>
        <w:t xml:space="preserve"> </w:t>
      </w:r>
    </w:p>
    <w:p w14:paraId="1AE0CF39"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3D7A7887"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E6E9D13"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72F1DD63" w14:textId="77777777" w:rsidTr="00DE26E8">
        <w:trPr>
          <w:gridAfter w:val="1"/>
          <w:wAfter w:w="8" w:type="pct"/>
          <w:cantSplit/>
          <w:trHeight w:val="393"/>
          <w:tblHeader/>
        </w:trPr>
        <w:tc>
          <w:tcPr>
            <w:tcW w:w="4992" w:type="pct"/>
            <w:shd w:val="clear" w:color="auto" w:fill="BFBFBF" w:themeFill="background1" w:themeFillShade="BF"/>
            <w:vAlign w:val="center"/>
          </w:tcPr>
          <w:p w14:paraId="148CA710" w14:textId="77777777" w:rsidR="00C978F0" w:rsidRPr="00DA352E" w:rsidRDefault="00C978F0" w:rsidP="00312F9F">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46ECDE6C" w14:textId="77777777" w:rsidTr="00DE26E8">
        <w:trPr>
          <w:cantSplit/>
        </w:trPr>
        <w:tc>
          <w:tcPr>
            <w:tcW w:w="5000" w:type="pct"/>
            <w:gridSpan w:val="2"/>
            <w:shd w:val="clear" w:color="auto" w:fill="F2F2F2" w:themeFill="background1" w:themeFillShade="F2"/>
          </w:tcPr>
          <w:p w14:paraId="43C7113B" w14:textId="4CA3BF31" w:rsidR="00DE26E8" w:rsidRPr="003365A5" w:rsidRDefault="00DE26E8" w:rsidP="001E68E2">
            <w:pPr>
              <w:pStyle w:val="Tablerowheadingitalic"/>
              <w:tabs>
                <w:tab w:val="clear" w:pos="2268"/>
                <w:tab w:val="clear" w:pos="5670"/>
                <w:tab w:val="left" w:pos="1418"/>
                <w:tab w:val="left" w:pos="2552"/>
              </w:tabs>
              <w:spacing w:before="60" w:after="60"/>
            </w:pPr>
            <w:r w:rsidRPr="003365A5">
              <w:t>SWA</w:t>
            </w:r>
            <w:r w:rsidRPr="003365A5">
              <w:tab/>
            </w:r>
            <w:sdt>
              <w:sdtPr>
                <w:id w:val="-2034099983"/>
                <w:placeholder>
                  <w:docPart w:val="0A35AF4547E94E219E26BC12DBC33282"/>
                </w:placeholder>
                <w:text/>
              </w:sdtPr>
              <w:sdtEndPr/>
              <w:sdtContent>
                <w:r w:rsidR="0033199E">
                  <w:t>1991</w:t>
                </w:r>
              </w:sdtContent>
            </w:sdt>
            <w:r w:rsidRPr="003365A5">
              <w:tab/>
            </w:r>
            <w:r>
              <w:tab/>
            </w:r>
            <w:sdt>
              <w:sdtPr>
                <w:alias w:val="SWA WES"/>
                <w:tag w:val="SWA WES"/>
                <w:id w:val="857077202"/>
                <w:placeholder>
                  <w:docPart w:val="81CFEC2FDBC5451289F394E66D92D1A0"/>
                </w:placeholder>
              </w:sdtPr>
              <w:sdtEndPr/>
              <w:sdtContent>
                <w:r w:rsidR="0033199E">
                  <w:t>TWA: 10 mg/m</w:t>
                </w:r>
                <w:r w:rsidR="0033199E" w:rsidRPr="0033199E">
                  <w:rPr>
                    <w:vertAlign w:val="superscript"/>
                  </w:rPr>
                  <w:t>3</w:t>
                </w:r>
              </w:sdtContent>
            </w:sdt>
          </w:p>
        </w:tc>
      </w:tr>
      <w:tr w:rsidR="00C978F0" w:rsidRPr="00DA352E" w14:paraId="76AF939D" w14:textId="77777777" w:rsidTr="00DE26E8">
        <w:trPr>
          <w:gridAfter w:val="1"/>
          <w:wAfter w:w="8" w:type="pct"/>
          <w:cantSplit/>
        </w:trPr>
        <w:tc>
          <w:tcPr>
            <w:tcW w:w="4992" w:type="pct"/>
          </w:tcPr>
          <w:p w14:paraId="081DB4D9" w14:textId="77777777" w:rsidR="00C978F0" w:rsidRPr="00DA352E" w:rsidRDefault="00C978F0" w:rsidP="00312F9F">
            <w:pPr>
              <w:pStyle w:val="Tabletextprimarysource"/>
            </w:pPr>
          </w:p>
        </w:tc>
      </w:tr>
      <w:tr w:rsidR="00C978F0" w:rsidRPr="00DA352E" w14:paraId="5E259EBC" w14:textId="77777777" w:rsidTr="00DE26E8">
        <w:trPr>
          <w:gridAfter w:val="1"/>
          <w:wAfter w:w="8" w:type="pct"/>
          <w:cantSplit/>
        </w:trPr>
        <w:tc>
          <w:tcPr>
            <w:tcW w:w="4992" w:type="pct"/>
            <w:shd w:val="clear" w:color="auto" w:fill="F2F2F2" w:themeFill="background1" w:themeFillShade="F2"/>
          </w:tcPr>
          <w:p w14:paraId="48BEE35F" w14:textId="6136D414" w:rsidR="00C978F0" w:rsidRPr="00DA352E" w:rsidRDefault="00DA352E" w:rsidP="001E68E2">
            <w:pPr>
              <w:pStyle w:val="Tablerowheadingitalic"/>
              <w:tabs>
                <w:tab w:val="clear" w:pos="2268"/>
                <w:tab w:val="clear" w:pos="5670"/>
                <w:tab w:val="left" w:pos="1418"/>
                <w:tab w:val="left" w:pos="2552"/>
              </w:tabs>
              <w:spacing w:before="60" w:after="60"/>
            </w:pPr>
            <w:r w:rsidRPr="00DA352E">
              <w:t>ACGIH</w:t>
            </w:r>
            <w:r w:rsidR="00916EC0">
              <w:t xml:space="preserve"> </w:t>
            </w:r>
            <w:r w:rsidR="00916EC0" w:rsidRPr="003365A5">
              <w:tab/>
            </w:r>
            <w:sdt>
              <w:sdtPr>
                <w:id w:val="444816450"/>
                <w:placeholder>
                  <w:docPart w:val="C8FBF9621EB94FE084F687C8955AF85F"/>
                </w:placeholder>
                <w:text/>
              </w:sdtPr>
              <w:sdtEndPr/>
              <w:sdtContent>
                <w:r w:rsidR="0033199E">
                  <w:t>2003</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33199E">
                  <w:t>TLV-TWA: 10 mg/m</w:t>
                </w:r>
                <w:r w:rsidR="0033199E" w:rsidRPr="0033199E">
                  <w:rPr>
                    <w:vertAlign w:val="superscript"/>
                  </w:rPr>
                  <w:t>3</w:t>
                </w:r>
                <w:r w:rsidR="004859A4">
                  <w:t>(inhalable); 3 mg/m</w:t>
                </w:r>
                <w:r w:rsidR="004859A4">
                  <w:rPr>
                    <w:vertAlign w:val="superscript"/>
                  </w:rPr>
                  <w:t>3</w:t>
                </w:r>
                <w:r w:rsidR="004859A4">
                  <w:t xml:space="preserve"> (respirable)</w:t>
                </w:r>
              </w:sdtContent>
            </w:sdt>
          </w:p>
        </w:tc>
      </w:tr>
      <w:tr w:rsidR="00C978F0" w:rsidRPr="00DA352E" w14:paraId="22A1F12D" w14:textId="77777777" w:rsidTr="00DE26E8">
        <w:trPr>
          <w:gridAfter w:val="1"/>
          <w:wAfter w:w="8" w:type="pct"/>
          <w:cantSplit/>
        </w:trPr>
        <w:tc>
          <w:tcPr>
            <w:tcW w:w="4992" w:type="pct"/>
          </w:tcPr>
          <w:p w14:paraId="2BE323B7" w14:textId="77777777" w:rsidR="00C978F0" w:rsidRDefault="004859A4" w:rsidP="00312F9F">
            <w:pPr>
              <w:pStyle w:val="Tabletextprimarysource"/>
            </w:pPr>
            <w:r>
              <w:t>TLV-TWA recommended to protect against irritant effects.</w:t>
            </w:r>
          </w:p>
          <w:p w14:paraId="7922AF13" w14:textId="77777777" w:rsidR="004859A4" w:rsidRDefault="004859A4" w:rsidP="00312F9F">
            <w:pPr>
              <w:pStyle w:val="Tabletextprimarysource"/>
            </w:pPr>
            <w:r>
              <w:t>Summary of data:</w:t>
            </w:r>
          </w:p>
          <w:p w14:paraId="06CC2E4C" w14:textId="328D594E" w:rsidR="004859A4" w:rsidRDefault="001E68E2" w:rsidP="001E68E2">
            <w:pPr>
              <w:pStyle w:val="ListBullet"/>
              <w:spacing w:before="60" w:after="60"/>
              <w:ind w:left="720"/>
              <w:contextualSpacing w:val="0"/>
            </w:pPr>
            <w:r>
              <w:t>E</w:t>
            </w:r>
            <w:r w:rsidR="004859A4">
              <w:t>ssential element necessary for human health</w:t>
            </w:r>
          </w:p>
          <w:p w14:paraId="5376D247" w14:textId="292F0EF5" w:rsidR="004859A4" w:rsidRDefault="004859A4" w:rsidP="001E68E2">
            <w:pPr>
              <w:pStyle w:val="ListBullet"/>
              <w:spacing w:before="60" w:after="60"/>
              <w:ind w:left="720"/>
              <w:contextualSpacing w:val="0"/>
            </w:pPr>
            <w:r>
              <w:t>Limited animal experimental data and no human toxicity data</w:t>
            </w:r>
          </w:p>
          <w:p w14:paraId="0D5D9CBB" w14:textId="79315181" w:rsidR="004859A4" w:rsidRDefault="004859A4" w:rsidP="001E68E2">
            <w:pPr>
              <w:pStyle w:val="ListBullet"/>
              <w:spacing w:before="60" w:after="60"/>
              <w:ind w:left="720"/>
              <w:contextualSpacing w:val="0"/>
            </w:pPr>
            <w:r>
              <w:t>Metallic and molybdenum compounds such as molybdenum disulfide, molybdenum dioxide are poorly soluble and considered to have low toxicity</w:t>
            </w:r>
          </w:p>
          <w:p w14:paraId="3E61DDCC" w14:textId="77777777" w:rsidR="004859A4" w:rsidRDefault="004859A4" w:rsidP="001E68E2">
            <w:pPr>
              <w:pStyle w:val="ListBullet"/>
              <w:spacing w:before="60" w:after="60"/>
              <w:ind w:left="720"/>
              <w:contextualSpacing w:val="0"/>
            </w:pPr>
            <w:r>
              <w:t>TLV-TWA based in irritant effects for respirable and inhalable dust fractions.</w:t>
            </w:r>
          </w:p>
          <w:p w14:paraId="6447695D" w14:textId="5BC20C61" w:rsidR="00783721" w:rsidRPr="00DA352E" w:rsidRDefault="00783721" w:rsidP="002F609A">
            <w:pPr>
              <w:pStyle w:val="ListBullet"/>
              <w:numPr>
                <w:ilvl w:val="0"/>
                <w:numId w:val="0"/>
              </w:numPr>
              <w:spacing w:before="60" w:after="60"/>
              <w:ind w:left="360" w:hanging="360"/>
              <w:contextualSpacing w:val="0"/>
            </w:pPr>
          </w:p>
        </w:tc>
      </w:tr>
      <w:tr w:rsidR="00C978F0" w:rsidRPr="00DA352E" w14:paraId="62DF18C8" w14:textId="77777777" w:rsidTr="00DE26E8">
        <w:trPr>
          <w:gridAfter w:val="1"/>
          <w:wAfter w:w="8" w:type="pct"/>
          <w:cantSplit/>
        </w:trPr>
        <w:tc>
          <w:tcPr>
            <w:tcW w:w="4992" w:type="pct"/>
            <w:shd w:val="clear" w:color="auto" w:fill="F2F2F2" w:themeFill="background1" w:themeFillShade="F2"/>
          </w:tcPr>
          <w:p w14:paraId="39ADFD67" w14:textId="49711F55" w:rsidR="00C978F0" w:rsidRPr="00DA352E" w:rsidRDefault="00DA352E" w:rsidP="001E68E2">
            <w:pPr>
              <w:pStyle w:val="Tablerowheadingitalic"/>
              <w:tabs>
                <w:tab w:val="clear" w:pos="2268"/>
                <w:tab w:val="clear" w:pos="5670"/>
                <w:tab w:val="left" w:pos="1418"/>
                <w:tab w:val="left" w:pos="2552"/>
              </w:tabs>
              <w:spacing w:before="60" w:after="60"/>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33199E">
                  <w:t>2000</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33199E">
                  <w:t>Not assigned</w:t>
                </w:r>
              </w:sdtContent>
            </w:sdt>
          </w:p>
        </w:tc>
      </w:tr>
      <w:tr w:rsidR="00C978F0" w:rsidRPr="00DA352E" w14:paraId="12E719DF" w14:textId="77777777" w:rsidTr="00DE26E8">
        <w:trPr>
          <w:gridAfter w:val="1"/>
          <w:wAfter w:w="8" w:type="pct"/>
          <w:cantSplit/>
        </w:trPr>
        <w:tc>
          <w:tcPr>
            <w:tcW w:w="4992" w:type="pct"/>
          </w:tcPr>
          <w:p w14:paraId="62BB835E" w14:textId="77777777" w:rsidR="00FE7968" w:rsidRDefault="00FE7968" w:rsidP="00312F9F">
            <w:pPr>
              <w:pStyle w:val="Tabletextprimarysource"/>
            </w:pPr>
            <w:r>
              <w:t>Inadequate data to recommend a MAK for molybdenum compounds apart from molybdenum trioxide (See soluble molybdenum evaluation)</w:t>
            </w:r>
            <w:r w:rsidR="00312F9F">
              <w:t>.</w:t>
            </w:r>
          </w:p>
          <w:p w14:paraId="23C68B9F" w14:textId="6D4DF4F6" w:rsidR="00783721" w:rsidRPr="00DA352E" w:rsidRDefault="00783721" w:rsidP="00312F9F">
            <w:pPr>
              <w:pStyle w:val="Tabletextprimarysource"/>
            </w:pPr>
          </w:p>
        </w:tc>
      </w:tr>
      <w:tr w:rsidR="00C978F0" w:rsidRPr="00DA352E" w14:paraId="7166DB1F" w14:textId="77777777" w:rsidTr="00DE26E8">
        <w:trPr>
          <w:gridAfter w:val="1"/>
          <w:wAfter w:w="8" w:type="pct"/>
          <w:cantSplit/>
        </w:trPr>
        <w:tc>
          <w:tcPr>
            <w:tcW w:w="4992" w:type="pct"/>
            <w:shd w:val="clear" w:color="auto" w:fill="F2F2F2" w:themeFill="background1" w:themeFillShade="F2"/>
          </w:tcPr>
          <w:p w14:paraId="46D841F3" w14:textId="7576472D" w:rsidR="00C978F0" w:rsidRPr="00DA352E" w:rsidRDefault="00DA352E" w:rsidP="001E68E2">
            <w:pPr>
              <w:pStyle w:val="Tablerowheadingitalic"/>
              <w:tabs>
                <w:tab w:val="clear" w:pos="2268"/>
                <w:tab w:val="clear" w:pos="5670"/>
                <w:tab w:val="left" w:pos="1418"/>
                <w:tab w:val="left" w:pos="2552"/>
              </w:tabs>
              <w:spacing w:before="60" w:after="60"/>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33199E">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33199E">
                  <w:t>NA</w:t>
                </w:r>
              </w:sdtContent>
            </w:sdt>
          </w:p>
        </w:tc>
      </w:tr>
      <w:tr w:rsidR="00C978F0" w:rsidRPr="00DA352E" w14:paraId="692F5C53" w14:textId="77777777" w:rsidTr="00DE26E8">
        <w:trPr>
          <w:gridAfter w:val="1"/>
          <w:wAfter w:w="8" w:type="pct"/>
          <w:cantSplit/>
        </w:trPr>
        <w:tc>
          <w:tcPr>
            <w:tcW w:w="4992" w:type="pct"/>
          </w:tcPr>
          <w:p w14:paraId="11F117EB" w14:textId="1747893A" w:rsidR="00C978F0" w:rsidRPr="00DA352E" w:rsidRDefault="0033199E" w:rsidP="00312F9F">
            <w:pPr>
              <w:pStyle w:val="Tabletextprimarysource"/>
            </w:pPr>
            <w:r>
              <w:t>No report</w:t>
            </w:r>
            <w:r w:rsidR="00312F9F">
              <w:t>.</w:t>
            </w:r>
          </w:p>
        </w:tc>
      </w:tr>
      <w:tr w:rsidR="00DA352E" w:rsidRPr="00DA352E" w14:paraId="66EEB073" w14:textId="77777777" w:rsidTr="00DE26E8">
        <w:trPr>
          <w:gridAfter w:val="1"/>
          <w:wAfter w:w="8" w:type="pct"/>
          <w:cantSplit/>
        </w:trPr>
        <w:tc>
          <w:tcPr>
            <w:tcW w:w="4992" w:type="pct"/>
            <w:shd w:val="clear" w:color="auto" w:fill="F2F2F2" w:themeFill="background1" w:themeFillShade="F2"/>
          </w:tcPr>
          <w:p w14:paraId="58F5C0B4" w14:textId="42503640" w:rsidR="00DA352E" w:rsidRPr="00DA352E" w:rsidRDefault="00DA352E" w:rsidP="001E68E2">
            <w:pPr>
              <w:pStyle w:val="Tablerowheadingitalic"/>
              <w:tabs>
                <w:tab w:val="clear" w:pos="2268"/>
                <w:tab w:val="clear" w:pos="5670"/>
                <w:tab w:val="left" w:pos="1418"/>
                <w:tab w:val="left" w:pos="2552"/>
              </w:tabs>
              <w:spacing w:before="60" w:after="60"/>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33199E">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33199E">
                  <w:t>NA</w:t>
                </w:r>
              </w:sdtContent>
            </w:sdt>
          </w:p>
        </w:tc>
      </w:tr>
      <w:tr w:rsidR="00DA352E" w:rsidRPr="00DA352E" w14:paraId="4923068E" w14:textId="77777777" w:rsidTr="00DE26E8">
        <w:trPr>
          <w:gridAfter w:val="1"/>
          <w:wAfter w:w="8" w:type="pct"/>
          <w:cantSplit/>
        </w:trPr>
        <w:tc>
          <w:tcPr>
            <w:tcW w:w="4992" w:type="pct"/>
          </w:tcPr>
          <w:p w14:paraId="6DF41DAA" w14:textId="1FA85166" w:rsidR="00DA352E" w:rsidRPr="00DA352E" w:rsidRDefault="0033199E" w:rsidP="00312F9F">
            <w:pPr>
              <w:pStyle w:val="Tabletextprimarysource"/>
            </w:pPr>
            <w:r>
              <w:t>No report</w:t>
            </w:r>
            <w:r w:rsidR="00312F9F">
              <w:t>.</w:t>
            </w:r>
          </w:p>
        </w:tc>
      </w:tr>
      <w:tr w:rsidR="00DA352E" w:rsidRPr="00DA352E" w14:paraId="4C4238A5" w14:textId="77777777" w:rsidTr="00DE26E8">
        <w:trPr>
          <w:gridAfter w:val="1"/>
          <w:wAfter w:w="8" w:type="pct"/>
          <w:cantSplit/>
        </w:trPr>
        <w:tc>
          <w:tcPr>
            <w:tcW w:w="4992" w:type="pct"/>
            <w:shd w:val="clear" w:color="auto" w:fill="F2F2F2" w:themeFill="background1" w:themeFillShade="F2"/>
          </w:tcPr>
          <w:p w14:paraId="5FBF62E8" w14:textId="771E8F20" w:rsidR="00DA352E" w:rsidRPr="00DA352E" w:rsidRDefault="00DA352E" w:rsidP="001E68E2">
            <w:pPr>
              <w:pStyle w:val="Tablerowheadingitalic"/>
              <w:tabs>
                <w:tab w:val="clear" w:pos="2268"/>
                <w:tab w:val="clear" w:pos="5670"/>
                <w:tab w:val="left" w:pos="1418"/>
                <w:tab w:val="left" w:pos="2552"/>
              </w:tabs>
              <w:spacing w:before="60" w:after="60"/>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7B297E">
                  <w:t>2013</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7B297E">
                  <w:t>Not assigned</w:t>
                </w:r>
              </w:sdtContent>
            </w:sdt>
          </w:p>
        </w:tc>
      </w:tr>
      <w:tr w:rsidR="00DA352E" w:rsidRPr="00DA352E" w14:paraId="174F6573" w14:textId="77777777" w:rsidTr="00DE26E8">
        <w:trPr>
          <w:gridAfter w:val="1"/>
          <w:wAfter w:w="8" w:type="pct"/>
          <w:cantSplit/>
        </w:trPr>
        <w:tc>
          <w:tcPr>
            <w:tcW w:w="4992" w:type="pct"/>
          </w:tcPr>
          <w:p w14:paraId="205ED29B" w14:textId="77777777" w:rsidR="00FE7968" w:rsidRDefault="00FE7968" w:rsidP="00312F9F">
            <w:pPr>
              <w:pStyle w:val="Tabletextprimarysource"/>
            </w:pPr>
            <w:r>
              <w:t>No individual health-based OELs can be established for metallic molybdenum and other molybdenum compounds.</w:t>
            </w:r>
          </w:p>
          <w:p w14:paraId="2383EE08" w14:textId="3738FD6B" w:rsidR="00783721" w:rsidRPr="00DA352E" w:rsidRDefault="00783721" w:rsidP="00312F9F">
            <w:pPr>
              <w:pStyle w:val="Tabletextprimarysource"/>
            </w:pPr>
          </w:p>
        </w:tc>
      </w:tr>
    </w:tbl>
    <w:p w14:paraId="5BF3BDA0"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3"/>
        <w:gridCol w:w="423"/>
        <w:gridCol w:w="650"/>
        <w:gridCol w:w="6460"/>
      </w:tblGrid>
      <w:tr w:rsidR="004966BF" w:rsidRPr="00263255" w14:paraId="315B8082" w14:textId="77777777" w:rsidTr="00812CDF">
        <w:trPr>
          <w:cantSplit/>
          <w:trHeight w:val="393"/>
          <w:tblHeader/>
        </w:trPr>
        <w:tc>
          <w:tcPr>
            <w:tcW w:w="1493" w:type="dxa"/>
            <w:shd w:val="clear" w:color="auto" w:fill="BFBFBF" w:themeFill="background1" w:themeFillShade="BF"/>
            <w:vAlign w:val="center"/>
          </w:tcPr>
          <w:p w14:paraId="30BE7C97" w14:textId="77777777" w:rsidR="004966BF" w:rsidRPr="00263255" w:rsidRDefault="004966BF" w:rsidP="00263255">
            <w:pPr>
              <w:pStyle w:val="Tableheader"/>
            </w:pPr>
            <w:r w:rsidRPr="00263255">
              <w:t>Source</w:t>
            </w:r>
          </w:p>
        </w:tc>
        <w:tc>
          <w:tcPr>
            <w:tcW w:w="423" w:type="dxa"/>
            <w:shd w:val="clear" w:color="auto" w:fill="BFBFBF" w:themeFill="background1" w:themeFillShade="BF"/>
            <w:vAlign w:val="center"/>
          </w:tcPr>
          <w:p w14:paraId="16BE820D" w14:textId="77777777" w:rsidR="004966BF" w:rsidRPr="00263255" w:rsidRDefault="004966BF" w:rsidP="00263255">
            <w:pPr>
              <w:pStyle w:val="Tableheader"/>
            </w:pPr>
          </w:p>
        </w:tc>
        <w:tc>
          <w:tcPr>
            <w:tcW w:w="650" w:type="dxa"/>
            <w:shd w:val="clear" w:color="auto" w:fill="BFBFBF" w:themeFill="background1" w:themeFillShade="BF"/>
            <w:vAlign w:val="center"/>
          </w:tcPr>
          <w:p w14:paraId="258FF45B" w14:textId="77777777" w:rsidR="004966BF" w:rsidRPr="00263255" w:rsidRDefault="004966BF" w:rsidP="00263255">
            <w:pPr>
              <w:pStyle w:val="Tableheader"/>
            </w:pPr>
            <w:r>
              <w:t>Year</w:t>
            </w:r>
          </w:p>
        </w:tc>
        <w:tc>
          <w:tcPr>
            <w:tcW w:w="6460" w:type="dxa"/>
            <w:shd w:val="clear" w:color="auto" w:fill="BFBFBF" w:themeFill="background1" w:themeFillShade="BF"/>
            <w:vAlign w:val="center"/>
          </w:tcPr>
          <w:p w14:paraId="1E9E136A" w14:textId="77777777" w:rsidR="004966BF" w:rsidRPr="00263255" w:rsidRDefault="004966BF" w:rsidP="00263255">
            <w:pPr>
              <w:pStyle w:val="Tableheader"/>
            </w:pPr>
            <w:r>
              <w:t>Additional information</w:t>
            </w:r>
          </w:p>
        </w:tc>
      </w:tr>
      <w:tr w:rsidR="004966BF" w:rsidRPr="004C23F4" w14:paraId="3B20D115" w14:textId="77777777" w:rsidTr="00812CDF">
        <w:trPr>
          <w:cantSplit/>
        </w:trPr>
        <w:tc>
          <w:tcPr>
            <w:tcW w:w="1493" w:type="dxa"/>
          </w:tcPr>
          <w:p w14:paraId="101085B0" w14:textId="77777777" w:rsidR="004966BF" w:rsidRPr="004C23F4" w:rsidRDefault="004966BF" w:rsidP="00224EE2">
            <w:pPr>
              <w:pStyle w:val="Tablefont"/>
            </w:pPr>
            <w:r>
              <w:t>NICNAS</w:t>
            </w:r>
          </w:p>
        </w:tc>
        <w:tc>
          <w:tcPr>
            <w:tcW w:w="423" w:type="dxa"/>
          </w:tcPr>
          <w:p w14:paraId="64E56A1B" w14:textId="20492932" w:rsidR="004966BF" w:rsidRPr="00CE617F" w:rsidRDefault="000E52B3"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812CDF">
                  <w:rPr>
                    <w:rStyle w:val="checkbox"/>
                  </w:rPr>
                  <w:t></w:t>
                </w:r>
              </w:sdtContent>
            </w:sdt>
          </w:p>
        </w:tc>
        <w:tc>
          <w:tcPr>
            <w:tcW w:w="650" w:type="dxa"/>
          </w:tcPr>
          <w:p w14:paraId="50247E5A" w14:textId="4F16B98E" w:rsidR="004966BF" w:rsidRPr="004C23F4" w:rsidRDefault="00812CDF" w:rsidP="00717D45">
            <w:pPr>
              <w:pStyle w:val="Tablefont"/>
              <w:rPr>
                <w:rStyle w:val="checkbox"/>
                <w:rFonts w:ascii="Arial" w:hAnsi="Arial" w:cs="Arial"/>
              </w:rPr>
            </w:pPr>
            <w:r>
              <w:rPr>
                <w:rStyle w:val="checkbox"/>
                <w:rFonts w:ascii="Arial" w:hAnsi="Arial" w:cs="Arial"/>
              </w:rPr>
              <w:t>ND</w:t>
            </w:r>
          </w:p>
        </w:tc>
        <w:tc>
          <w:tcPr>
            <w:tcW w:w="6460" w:type="dxa"/>
          </w:tcPr>
          <w:p w14:paraId="231015CB" w14:textId="4FF5B186" w:rsidR="004966BF" w:rsidRPr="004C23F4" w:rsidRDefault="00812CDF" w:rsidP="001E68E2">
            <w:pPr>
              <w:pStyle w:val="ListBullet"/>
              <w:spacing w:before="60" w:after="60"/>
              <w:ind w:left="720"/>
              <w:contextualSpacing w:val="0"/>
              <w:rPr>
                <w:rStyle w:val="checkbox"/>
                <w:rFonts w:ascii="Arial" w:hAnsi="Arial" w:cs="Arial"/>
                <w:lang w:eastAsia="en-AU"/>
              </w:rPr>
            </w:pPr>
            <w:r w:rsidRPr="00812CDF">
              <w:rPr>
                <w:rStyle w:val="checkbox"/>
                <w:rFonts w:ascii="Arial" w:hAnsi="Arial" w:cs="Arial"/>
              </w:rPr>
              <w:t xml:space="preserve">Human </w:t>
            </w:r>
            <w:r w:rsidRPr="001E68E2">
              <w:t>health</w:t>
            </w:r>
            <w:r w:rsidRPr="00812CDF">
              <w:rPr>
                <w:rStyle w:val="checkbox"/>
                <w:rFonts w:ascii="Arial" w:hAnsi="Arial" w:cs="Arial"/>
              </w:rPr>
              <w:t xml:space="preserve"> tier I assessment</w:t>
            </w:r>
            <w:r w:rsidR="00312F9F">
              <w:rPr>
                <w:rStyle w:val="checkbox"/>
                <w:rFonts w:ascii="Arial" w:hAnsi="Arial" w:cs="Arial"/>
              </w:rPr>
              <w:t>.</w:t>
            </w:r>
          </w:p>
        </w:tc>
      </w:tr>
    </w:tbl>
    <w:bookmarkEnd w:id="0"/>
    <w:p w14:paraId="28723463" w14:textId="77777777" w:rsidR="007E2A4B" w:rsidRDefault="007E2A4B" w:rsidP="001E68E2">
      <w:pPr>
        <w:pStyle w:val="Heading3"/>
        <w:keepNext w:val="0"/>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739CB8ED" w14:textId="77777777" w:rsidTr="00FE7968">
        <w:trPr>
          <w:trHeight w:val="454"/>
          <w:tblHeader/>
        </w:trPr>
        <w:tc>
          <w:tcPr>
            <w:tcW w:w="6603" w:type="dxa"/>
            <w:vAlign w:val="center"/>
          </w:tcPr>
          <w:p w14:paraId="405092E8" w14:textId="77777777" w:rsidR="002E0D61" w:rsidRDefault="00B1422A" w:rsidP="001E68E2">
            <w:pPr>
              <w:pStyle w:val="Tablefon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6E20990F" w14:textId="6C1685A2" w:rsidR="002E0D61" w:rsidRDefault="00FE7968" w:rsidP="001E68E2">
                <w:pPr>
                  <w:pStyle w:val="Tablefont"/>
                  <w:keepLines/>
                  <w:spacing w:before="40" w:after="40"/>
                </w:pPr>
                <w:r>
                  <w:t>No</w:t>
                </w:r>
              </w:p>
            </w:tc>
          </w:sdtContent>
        </w:sdt>
      </w:tr>
      <w:tr w:rsidR="008A36CF" w14:paraId="5CB7DDAE" w14:textId="77777777" w:rsidTr="00FE7968">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0A688F9B" w14:textId="644599EF" w:rsidR="008A36CF" w:rsidRPr="006901A2" w:rsidRDefault="00FE7968" w:rsidP="001E68E2">
                <w:pPr>
                  <w:pStyle w:val="Tablefont"/>
                  <w:keepLines/>
                  <w:spacing w:before="40" w:after="40"/>
                  <w:rPr>
                    <w:b/>
                  </w:rPr>
                </w:pPr>
                <w:r>
                  <w:rPr>
                    <w:b/>
                  </w:rPr>
                  <w:t>The chemical is not a non-threshold based genotoxic carcinogen.</w:t>
                </w:r>
              </w:p>
            </w:tc>
          </w:sdtContent>
        </w:sdt>
        <w:tc>
          <w:tcPr>
            <w:tcW w:w="2423" w:type="dxa"/>
            <w:vAlign w:val="center"/>
          </w:tcPr>
          <w:p w14:paraId="6859EBCC" w14:textId="77777777" w:rsidR="008A36CF" w:rsidRDefault="008A36CF" w:rsidP="001E68E2">
            <w:pPr>
              <w:pStyle w:val="Tablefont"/>
              <w:keepLines/>
              <w:spacing w:before="40" w:after="40"/>
            </w:pPr>
          </w:p>
        </w:tc>
      </w:tr>
    </w:tbl>
    <w:bookmarkEnd w:id="1"/>
    <w:p w14:paraId="57171D0A" w14:textId="77777777" w:rsidR="00687890" w:rsidRPr="004C23F4" w:rsidRDefault="00B479A9" w:rsidP="00312F9F">
      <w:pPr>
        <w:pStyle w:val="Heading2"/>
      </w:pPr>
      <w:r w:rsidRPr="004C23F4">
        <w:lastRenderedPageBreak/>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44119CBE" w14:textId="77777777" w:rsidTr="00812887">
        <w:trPr>
          <w:cantSplit/>
          <w:tblHeader/>
        </w:trPr>
        <w:tc>
          <w:tcPr>
            <w:tcW w:w="3227" w:type="dxa"/>
            <w:shd w:val="clear" w:color="auto" w:fill="BFBFBF" w:themeFill="background1" w:themeFillShade="BF"/>
            <w:vAlign w:val="center"/>
          </w:tcPr>
          <w:p w14:paraId="2CC1EACA" w14:textId="77777777" w:rsidR="00687890" w:rsidRPr="004C23F4" w:rsidRDefault="00687890" w:rsidP="001E68E2">
            <w:pPr>
              <w:pStyle w:val="Tableheader"/>
              <w:keepNext/>
            </w:pPr>
            <w:bookmarkStart w:id="2" w:name="Notations"/>
            <w:r w:rsidRPr="004C23F4">
              <w:t>Source</w:t>
            </w:r>
          </w:p>
        </w:tc>
        <w:tc>
          <w:tcPr>
            <w:tcW w:w="6015" w:type="dxa"/>
            <w:shd w:val="clear" w:color="auto" w:fill="BFBFBF" w:themeFill="background1" w:themeFillShade="BF"/>
            <w:vAlign w:val="center"/>
          </w:tcPr>
          <w:p w14:paraId="26591F47" w14:textId="77777777" w:rsidR="00687890" w:rsidRPr="004C23F4" w:rsidRDefault="00687890" w:rsidP="001E68E2">
            <w:pPr>
              <w:pStyle w:val="Tableheader"/>
              <w:keepNext/>
              <w:tabs>
                <w:tab w:val="right" w:pos="5272"/>
              </w:tabs>
            </w:pPr>
            <w:r w:rsidRPr="004C23F4">
              <w:t>Notations</w:t>
            </w:r>
            <w:r w:rsidR="003A2B94">
              <w:tab/>
            </w:r>
          </w:p>
        </w:tc>
      </w:tr>
      <w:tr w:rsidR="00687890" w:rsidRPr="004C23F4" w14:paraId="3AC07DCA" w14:textId="77777777" w:rsidTr="00812887">
        <w:trPr>
          <w:cantSplit/>
        </w:trPr>
        <w:tc>
          <w:tcPr>
            <w:tcW w:w="3227" w:type="dxa"/>
          </w:tcPr>
          <w:p w14:paraId="72B6F678" w14:textId="77777777" w:rsidR="004079B4" w:rsidRPr="004C23F4" w:rsidRDefault="00084513" w:rsidP="001E68E2">
            <w:pPr>
              <w:pStyle w:val="Tablefont"/>
              <w:keepNext/>
            </w:pPr>
            <w:r w:rsidRPr="004C23F4">
              <w:t>SWA</w:t>
            </w:r>
          </w:p>
        </w:tc>
        <w:tc>
          <w:tcPr>
            <w:tcW w:w="6015" w:type="dxa"/>
          </w:tcPr>
          <w:p w14:paraId="701A4470" w14:textId="731A0DB8" w:rsidR="00687890" w:rsidRPr="00DD2F9B" w:rsidRDefault="007B297E" w:rsidP="001E68E2">
            <w:pPr>
              <w:pStyle w:val="Tablefont"/>
              <w:keepNext/>
            </w:pPr>
            <w:r>
              <w:t>—</w:t>
            </w:r>
          </w:p>
        </w:tc>
      </w:tr>
      <w:tr w:rsidR="007925F0" w:rsidRPr="004C23F4" w14:paraId="1347F861" w14:textId="77777777" w:rsidTr="00812887">
        <w:trPr>
          <w:cantSplit/>
        </w:trPr>
        <w:tc>
          <w:tcPr>
            <w:tcW w:w="3227" w:type="dxa"/>
          </w:tcPr>
          <w:p w14:paraId="05A68707" w14:textId="77777777" w:rsidR="004079B4" w:rsidRPr="004C23F4" w:rsidRDefault="007925F0" w:rsidP="001E68E2">
            <w:pPr>
              <w:pStyle w:val="Tablefont"/>
              <w:keepNext/>
            </w:pPr>
            <w:r>
              <w:t>HCIS</w:t>
            </w:r>
          </w:p>
        </w:tc>
        <w:tc>
          <w:tcPr>
            <w:tcW w:w="6015" w:type="dxa"/>
          </w:tcPr>
          <w:p w14:paraId="6096C672" w14:textId="4C170495" w:rsidR="007925F0" w:rsidRPr="00DD2F9B" w:rsidRDefault="007B297E" w:rsidP="001E68E2">
            <w:pPr>
              <w:pStyle w:val="Tablefont"/>
              <w:keepNext/>
            </w:pPr>
            <w:r>
              <w:t>NA</w:t>
            </w:r>
          </w:p>
        </w:tc>
      </w:tr>
      <w:tr w:rsidR="00AF483F" w:rsidRPr="004C23F4" w14:paraId="6DEBBF45" w14:textId="77777777" w:rsidTr="00812887">
        <w:trPr>
          <w:cantSplit/>
        </w:trPr>
        <w:tc>
          <w:tcPr>
            <w:tcW w:w="3227" w:type="dxa"/>
          </w:tcPr>
          <w:p w14:paraId="4B106978" w14:textId="77777777" w:rsidR="00AF483F" w:rsidRPr="004C23F4" w:rsidRDefault="00AF483F" w:rsidP="001E68E2">
            <w:pPr>
              <w:pStyle w:val="Tablefont"/>
              <w:keepNext/>
            </w:pPr>
            <w:r>
              <w:t>NICNAS</w:t>
            </w:r>
          </w:p>
        </w:tc>
        <w:tc>
          <w:tcPr>
            <w:tcW w:w="6015" w:type="dxa"/>
          </w:tcPr>
          <w:p w14:paraId="4FAAFE54" w14:textId="16C28C2D" w:rsidR="00AF483F" w:rsidRPr="00DD2F9B" w:rsidRDefault="007B297E" w:rsidP="001E68E2">
            <w:pPr>
              <w:pStyle w:val="Tablefont"/>
              <w:keepNext/>
            </w:pPr>
            <w:r>
              <w:t>NA</w:t>
            </w:r>
          </w:p>
        </w:tc>
      </w:tr>
      <w:tr w:rsidR="00687890" w:rsidRPr="004C23F4" w14:paraId="3BBC0B61" w14:textId="77777777" w:rsidTr="00812887">
        <w:trPr>
          <w:cantSplit/>
        </w:trPr>
        <w:tc>
          <w:tcPr>
            <w:tcW w:w="3227" w:type="dxa"/>
          </w:tcPr>
          <w:p w14:paraId="0815A358" w14:textId="77777777" w:rsidR="004079B4" w:rsidRPr="004C23F4" w:rsidRDefault="00687890" w:rsidP="001E68E2">
            <w:pPr>
              <w:pStyle w:val="Tablefont"/>
              <w:keepNext/>
            </w:pPr>
            <w:r w:rsidRPr="004C23F4">
              <w:t>EU Annex</w:t>
            </w:r>
          </w:p>
        </w:tc>
        <w:tc>
          <w:tcPr>
            <w:tcW w:w="6015" w:type="dxa"/>
          </w:tcPr>
          <w:p w14:paraId="41282263" w14:textId="7CDA8FC5" w:rsidR="00687890" w:rsidRPr="00DD2F9B" w:rsidRDefault="007B297E" w:rsidP="001E68E2">
            <w:pPr>
              <w:pStyle w:val="Tablefont"/>
              <w:keepNext/>
            </w:pPr>
            <w:r>
              <w:t>NA</w:t>
            </w:r>
          </w:p>
        </w:tc>
      </w:tr>
      <w:tr w:rsidR="00E41A26" w:rsidRPr="004C23F4" w14:paraId="6A8EF0E1" w14:textId="77777777" w:rsidTr="00812887">
        <w:trPr>
          <w:cantSplit/>
        </w:trPr>
        <w:tc>
          <w:tcPr>
            <w:tcW w:w="3227" w:type="dxa"/>
          </w:tcPr>
          <w:p w14:paraId="380D52CB" w14:textId="77777777" w:rsidR="00E41A26" w:rsidRDefault="00E41A26" w:rsidP="001E68E2">
            <w:pPr>
              <w:pStyle w:val="Tablefont"/>
              <w:keepNext/>
            </w:pPr>
            <w:r>
              <w:t>ECHA</w:t>
            </w:r>
          </w:p>
        </w:tc>
        <w:tc>
          <w:tcPr>
            <w:tcW w:w="6015" w:type="dxa"/>
          </w:tcPr>
          <w:p w14:paraId="722E0551" w14:textId="32ADEE30" w:rsidR="00E41A26" w:rsidRPr="00DD2F9B" w:rsidRDefault="007B297E" w:rsidP="001E68E2">
            <w:pPr>
              <w:pStyle w:val="Tablefont"/>
              <w:keepNext/>
            </w:pPr>
            <w:r>
              <w:t>NA</w:t>
            </w:r>
          </w:p>
        </w:tc>
      </w:tr>
      <w:tr w:rsidR="002E0D61" w:rsidRPr="004C23F4" w14:paraId="10278A80" w14:textId="77777777" w:rsidTr="00812887">
        <w:trPr>
          <w:cantSplit/>
        </w:trPr>
        <w:tc>
          <w:tcPr>
            <w:tcW w:w="3227" w:type="dxa"/>
          </w:tcPr>
          <w:p w14:paraId="08BBDCB4" w14:textId="77777777" w:rsidR="004079B4" w:rsidRPr="004C23F4" w:rsidRDefault="002E0D61" w:rsidP="001E68E2">
            <w:pPr>
              <w:pStyle w:val="Tablefont"/>
              <w:keepNext/>
            </w:pPr>
            <w:r>
              <w:t>ACGIH</w:t>
            </w:r>
          </w:p>
        </w:tc>
        <w:tc>
          <w:tcPr>
            <w:tcW w:w="6015" w:type="dxa"/>
          </w:tcPr>
          <w:p w14:paraId="2A0EADA0" w14:textId="266AD699" w:rsidR="002E0D61" w:rsidRPr="00DD2F9B" w:rsidRDefault="00ED30E7" w:rsidP="001E68E2">
            <w:pPr>
              <w:pStyle w:val="Tablefont"/>
              <w:keepNext/>
            </w:pPr>
            <w:r>
              <w:t>—</w:t>
            </w:r>
          </w:p>
        </w:tc>
      </w:tr>
      <w:tr w:rsidR="002E0D61" w:rsidRPr="004C23F4" w14:paraId="5C897726" w14:textId="77777777" w:rsidTr="00812887">
        <w:trPr>
          <w:cantSplit/>
        </w:trPr>
        <w:tc>
          <w:tcPr>
            <w:tcW w:w="3227" w:type="dxa"/>
          </w:tcPr>
          <w:p w14:paraId="57F90CE4" w14:textId="77777777" w:rsidR="004079B4" w:rsidRPr="004C23F4" w:rsidRDefault="002E0D61" w:rsidP="001E68E2">
            <w:pPr>
              <w:pStyle w:val="Tablefont"/>
              <w:keepNext/>
            </w:pPr>
            <w:r>
              <w:t>DFG</w:t>
            </w:r>
          </w:p>
        </w:tc>
        <w:tc>
          <w:tcPr>
            <w:tcW w:w="6015" w:type="dxa"/>
          </w:tcPr>
          <w:p w14:paraId="0870701B" w14:textId="7B8CF2E5" w:rsidR="002E0D61" w:rsidRPr="00DD2F9B" w:rsidRDefault="00ED30E7" w:rsidP="001E68E2">
            <w:pPr>
              <w:pStyle w:val="Tablefont"/>
              <w:keepNext/>
            </w:pPr>
            <w:r>
              <w:t>—</w:t>
            </w:r>
          </w:p>
        </w:tc>
      </w:tr>
      <w:tr w:rsidR="002E0D61" w:rsidRPr="004C23F4" w14:paraId="03455552" w14:textId="77777777" w:rsidTr="00812887">
        <w:trPr>
          <w:cantSplit/>
        </w:trPr>
        <w:tc>
          <w:tcPr>
            <w:tcW w:w="3227" w:type="dxa"/>
          </w:tcPr>
          <w:p w14:paraId="20ACE79D" w14:textId="77777777" w:rsidR="004079B4" w:rsidRPr="004C23F4" w:rsidRDefault="002E0D61" w:rsidP="00F4402E">
            <w:pPr>
              <w:pStyle w:val="Tablefont"/>
            </w:pPr>
            <w:r>
              <w:t>SCOEL</w:t>
            </w:r>
          </w:p>
        </w:tc>
        <w:tc>
          <w:tcPr>
            <w:tcW w:w="6015" w:type="dxa"/>
          </w:tcPr>
          <w:p w14:paraId="243E40B6" w14:textId="70F7CB2E" w:rsidR="002E0D61" w:rsidRPr="00DD2F9B" w:rsidRDefault="00B05B16" w:rsidP="00DD2F9B">
            <w:pPr>
              <w:pStyle w:val="Tablefont"/>
            </w:pPr>
            <w:r>
              <w:t>NA</w:t>
            </w:r>
          </w:p>
        </w:tc>
      </w:tr>
      <w:tr w:rsidR="002E0D61" w:rsidRPr="004C23F4" w14:paraId="581A1D98" w14:textId="77777777" w:rsidTr="00812887">
        <w:trPr>
          <w:cantSplit/>
        </w:trPr>
        <w:tc>
          <w:tcPr>
            <w:tcW w:w="3227" w:type="dxa"/>
          </w:tcPr>
          <w:p w14:paraId="15E6DE0B" w14:textId="77777777" w:rsidR="004079B4" w:rsidRDefault="002E0D61" w:rsidP="00F4402E">
            <w:pPr>
              <w:pStyle w:val="Tablefont"/>
            </w:pPr>
            <w:r>
              <w:t>HCOTN</w:t>
            </w:r>
          </w:p>
        </w:tc>
        <w:tc>
          <w:tcPr>
            <w:tcW w:w="6015" w:type="dxa"/>
          </w:tcPr>
          <w:p w14:paraId="54E108C4" w14:textId="0A08C11B" w:rsidR="002E0D61" w:rsidRPr="00DD2F9B" w:rsidRDefault="00B05B16" w:rsidP="00DD2F9B">
            <w:pPr>
              <w:pStyle w:val="Tablefont"/>
            </w:pPr>
            <w:r>
              <w:t>NA</w:t>
            </w:r>
          </w:p>
        </w:tc>
      </w:tr>
      <w:tr w:rsidR="00386093" w:rsidRPr="004C23F4" w14:paraId="20DB0F91" w14:textId="77777777" w:rsidTr="00812887">
        <w:trPr>
          <w:cantSplit/>
        </w:trPr>
        <w:tc>
          <w:tcPr>
            <w:tcW w:w="3227" w:type="dxa"/>
          </w:tcPr>
          <w:p w14:paraId="7CEE3A9D" w14:textId="77777777" w:rsidR="004079B4" w:rsidRDefault="00386093" w:rsidP="00F4402E">
            <w:pPr>
              <w:pStyle w:val="Tablefont"/>
            </w:pPr>
            <w:r>
              <w:t>IARC</w:t>
            </w:r>
          </w:p>
        </w:tc>
        <w:tc>
          <w:tcPr>
            <w:tcW w:w="6015" w:type="dxa"/>
          </w:tcPr>
          <w:p w14:paraId="5A4B968A" w14:textId="5F0D3843" w:rsidR="00386093" w:rsidRPr="00DD2F9B" w:rsidRDefault="00B05B16" w:rsidP="00DD2F9B">
            <w:pPr>
              <w:pStyle w:val="Tablefont"/>
            </w:pPr>
            <w:r>
              <w:t>NA</w:t>
            </w:r>
          </w:p>
        </w:tc>
      </w:tr>
      <w:tr w:rsidR="00386093" w:rsidRPr="004C23F4" w14:paraId="5581FB6B" w14:textId="77777777" w:rsidTr="00812887">
        <w:trPr>
          <w:cantSplit/>
        </w:trPr>
        <w:tc>
          <w:tcPr>
            <w:tcW w:w="3227" w:type="dxa"/>
          </w:tcPr>
          <w:p w14:paraId="0EF0E294" w14:textId="77777777" w:rsidR="004079B4" w:rsidRDefault="00386093" w:rsidP="00F4402E">
            <w:pPr>
              <w:pStyle w:val="Tablefont"/>
              <w:keepNext/>
            </w:pPr>
            <w:r>
              <w:t>US NIOSH</w:t>
            </w:r>
          </w:p>
        </w:tc>
        <w:tc>
          <w:tcPr>
            <w:tcW w:w="6015" w:type="dxa"/>
          </w:tcPr>
          <w:p w14:paraId="4A310462" w14:textId="3C11A428" w:rsidR="00386093" w:rsidRPr="00DD2F9B" w:rsidRDefault="00B05B16" w:rsidP="00D87570">
            <w:pPr>
              <w:pStyle w:val="Tablefont"/>
              <w:keepNext/>
            </w:pPr>
            <w:r>
              <w:t>NA</w:t>
            </w:r>
          </w:p>
        </w:tc>
      </w:tr>
    </w:tbl>
    <w:bookmarkEnd w:id="2"/>
    <w:p w14:paraId="76970D36"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1BE2CC8D"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081BB7BC" w14:textId="77777777" w:rsidTr="00EA6243">
        <w:trPr>
          <w:cantSplit/>
          <w:tblHeader/>
        </w:trPr>
        <w:tc>
          <w:tcPr>
            <w:tcW w:w="5000" w:type="pct"/>
            <w:shd w:val="clear" w:color="auto" w:fill="BFBFBF" w:themeFill="background1" w:themeFillShade="BF"/>
            <w:vAlign w:val="center"/>
          </w:tcPr>
          <w:p w14:paraId="66CE017B"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668DF484" w14:textId="77777777" w:rsidTr="00EA6243">
        <w:trPr>
          <w:cantSplit/>
          <w:tblHeader/>
        </w:trPr>
        <w:tc>
          <w:tcPr>
            <w:tcW w:w="5000" w:type="pct"/>
            <w:vAlign w:val="center"/>
          </w:tcPr>
          <w:p w14:paraId="2A6457ED" w14:textId="3ED5D0FC" w:rsidR="00932DCE" w:rsidRPr="004C23F4" w:rsidRDefault="00FE7968" w:rsidP="00F9496B">
            <w:pPr>
              <w:pStyle w:val="Tablefont"/>
            </w:pPr>
            <w:r>
              <w:t>Insufficient data</w:t>
            </w:r>
            <w:r w:rsidR="00312F9F">
              <w:t xml:space="preserve"> to assign a skin notation</w:t>
            </w:r>
          </w:p>
        </w:tc>
      </w:tr>
    </w:tbl>
    <w:bookmarkEnd w:id="3"/>
    <w:p w14:paraId="6EEA487D"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0859379C" w14:textId="77777777" w:rsidTr="00610F2E">
        <w:trPr>
          <w:trHeight w:val="454"/>
          <w:tblHeader/>
        </w:trPr>
        <w:tc>
          <w:tcPr>
            <w:tcW w:w="4361" w:type="dxa"/>
            <w:vAlign w:val="center"/>
          </w:tcPr>
          <w:p w14:paraId="2CEBC9C4"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6CA81C79" w14:textId="42F8F22F" w:rsidR="00EB3D1B" w:rsidRDefault="00B05B16" w:rsidP="00EB3D1B">
                <w:pPr>
                  <w:pStyle w:val="Tablefont"/>
                </w:pPr>
                <w:r>
                  <w:t>No</w:t>
                </w:r>
              </w:p>
            </w:tc>
          </w:sdtContent>
        </w:sdt>
      </w:tr>
    </w:tbl>
    <w:p w14:paraId="61B713A4"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4CCB0382" w14:textId="77777777" w:rsidTr="00EA6243">
        <w:trPr>
          <w:cantSplit/>
          <w:tblHeader/>
        </w:trPr>
        <w:tc>
          <w:tcPr>
            <w:tcW w:w="4077" w:type="dxa"/>
            <w:vAlign w:val="center"/>
          </w:tcPr>
          <w:p w14:paraId="47796EB8"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18995127" w14:textId="26BB88FE" w:rsidR="001B79E5" w:rsidRDefault="00B05B16" w:rsidP="001B79E5">
                <w:pPr>
                  <w:pStyle w:val="Tablefont"/>
                </w:pPr>
                <w:r w:rsidRPr="00B05B16">
                  <w:t>96</w:t>
                </w:r>
              </w:p>
            </w:tc>
          </w:sdtContent>
        </w:sdt>
      </w:tr>
      <w:tr w:rsidR="00A31D99" w:rsidRPr="004C23F4" w14:paraId="729D6C39" w14:textId="77777777" w:rsidTr="00EA6243">
        <w:trPr>
          <w:cantSplit/>
          <w:tblHeader/>
        </w:trPr>
        <w:tc>
          <w:tcPr>
            <w:tcW w:w="4077" w:type="dxa"/>
            <w:vAlign w:val="center"/>
          </w:tcPr>
          <w:p w14:paraId="235270DD"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2CC09192"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762536C1" w14:textId="77777777" w:rsidTr="00EA6243">
        <w:trPr>
          <w:cantSplit/>
          <w:tblHeader/>
        </w:trPr>
        <w:tc>
          <w:tcPr>
            <w:tcW w:w="4077" w:type="dxa"/>
            <w:vAlign w:val="center"/>
          </w:tcPr>
          <w:p w14:paraId="1C4DACE9"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6AEF3731"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44C139D4" w14:textId="77777777" w:rsidTr="00EA6243">
        <w:trPr>
          <w:cantSplit/>
        </w:trPr>
        <w:tc>
          <w:tcPr>
            <w:tcW w:w="4077" w:type="dxa"/>
            <w:vAlign w:val="center"/>
          </w:tcPr>
          <w:p w14:paraId="0CB26FF2"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347D44B2"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A4C564B" w14:textId="77777777" w:rsidTr="00EA6243">
        <w:trPr>
          <w:cantSplit/>
        </w:trPr>
        <w:tc>
          <w:tcPr>
            <w:tcW w:w="4077" w:type="dxa"/>
            <w:vAlign w:val="center"/>
          </w:tcPr>
          <w:p w14:paraId="43D459B3"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44820025"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3F84CD87" w14:textId="77777777" w:rsidTr="00EA6243">
        <w:trPr>
          <w:cantSplit/>
        </w:trPr>
        <w:tc>
          <w:tcPr>
            <w:tcW w:w="4077" w:type="dxa"/>
            <w:vAlign w:val="center"/>
          </w:tcPr>
          <w:p w14:paraId="6D9766B1"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644B8045" w14:textId="10428A13" w:rsidR="00E06F40" w:rsidRPr="00A006A0" w:rsidRDefault="000E52B3"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1"/>
                  <w14:checkedState w14:val="00FC" w14:font="Wingdings"/>
                  <w14:uncheckedState w14:val="2610" w14:font="MS Gothic"/>
                </w14:checkbox>
              </w:sdtPr>
              <w:sdtEndPr/>
              <w:sdtContent>
                <w:r w:rsidR="004B3138">
                  <w:sym w:font="Wingdings" w:char="F0FC"/>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64CD948C"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3D77310" w14:textId="77777777" w:rsidTr="00F053FA">
        <w:trPr>
          <w:tblHeader/>
        </w:trPr>
        <w:tc>
          <w:tcPr>
            <w:tcW w:w="4077" w:type="dxa"/>
            <w:shd w:val="clear" w:color="auto" w:fill="BFBFBF" w:themeFill="background1" w:themeFillShade="BF"/>
            <w:vAlign w:val="center"/>
          </w:tcPr>
          <w:p w14:paraId="3DC8BD44"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59119D96" w14:textId="77777777" w:rsidR="00224EE2" w:rsidRPr="004C23F4" w:rsidRDefault="00224EE2" w:rsidP="00EB3D1B">
            <w:pPr>
              <w:pStyle w:val="Tableheader"/>
              <w:keepNext/>
              <w:keepLines/>
            </w:pPr>
            <w:r>
              <w:t>Standard</w:t>
            </w:r>
          </w:p>
        </w:tc>
      </w:tr>
      <w:tr w:rsidR="007F1005" w:rsidRPr="004C23F4" w14:paraId="1FCE5111" w14:textId="77777777" w:rsidTr="00F053FA">
        <w:trPr>
          <w:tblHeader/>
        </w:trPr>
        <w:sdt>
          <w:sdtPr>
            <w:id w:val="-25557549"/>
            <w:placeholder>
              <w:docPart w:val="2BF891C0AB704CDAB9BC6E80D556473F"/>
            </w:placeholder>
            <w:showingPlcHdr/>
            <w:text/>
          </w:sdtPr>
          <w:sdtEndPr/>
          <w:sdtContent>
            <w:tc>
              <w:tcPr>
                <w:tcW w:w="4077" w:type="dxa"/>
                <w:vAlign w:val="center"/>
              </w:tcPr>
              <w:p w14:paraId="4B65F20C"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10389E8" w14:textId="77777777" w:rsidR="007F1005" w:rsidRPr="004C23F4" w:rsidRDefault="007F1005" w:rsidP="00EB3D1B">
            <w:pPr>
              <w:pStyle w:val="Tablefont"/>
              <w:keepLines/>
            </w:pPr>
          </w:p>
        </w:tc>
      </w:tr>
    </w:tbl>
    <w:bookmarkEnd w:id="4"/>
    <w:p w14:paraId="4908AD1A" w14:textId="77777777" w:rsidR="00F87D92" w:rsidRDefault="00F87D92" w:rsidP="00EF7F78">
      <w:pPr>
        <w:pStyle w:val="Heading2"/>
        <w:tabs>
          <w:tab w:val="right" w:pos="8505"/>
        </w:tabs>
      </w:pPr>
      <w:r>
        <w:lastRenderedPageBreak/>
        <w:t>References</w:t>
      </w:r>
      <w:r w:rsidR="00EF7F78">
        <w:tab/>
      </w:r>
    </w:p>
    <w:p w14:paraId="6CE59390" w14:textId="38AB5909"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20837A06" w14:textId="4120F35E" w:rsidR="00B05B16" w:rsidRDefault="00B05B16" w:rsidP="00084859">
      <w:r w:rsidRPr="002022B6">
        <w:t>Deutsche Forschungsgemeinschaft (DFG)</w:t>
      </w:r>
      <w:r>
        <w:t xml:space="preserve"> (</w:t>
      </w:r>
      <w:r w:rsidR="002C44E3">
        <w:t>2002</w:t>
      </w:r>
      <w:r>
        <w:t xml:space="preserve">) </w:t>
      </w:r>
      <w:r w:rsidR="002C44E3" w:rsidRPr="002C44E3">
        <w:t>Molybdenum and its compounds</w:t>
      </w:r>
      <w:r>
        <w:t xml:space="preserve"> – MAK value documentation.</w:t>
      </w:r>
    </w:p>
    <w:p w14:paraId="775935FD" w14:textId="718C28D9" w:rsidR="00B05B16" w:rsidRDefault="002C44E3" w:rsidP="00084859">
      <w:r w:rsidRPr="002022B6">
        <w:t>Health Council of the Netherlands</w:t>
      </w:r>
      <w:r>
        <w:t xml:space="preserve"> (HCOTN) (</w:t>
      </w:r>
      <w:r w:rsidRPr="002C44E3">
        <w:t>2013</w:t>
      </w:r>
      <w:r>
        <w:t xml:space="preserve">) </w:t>
      </w:r>
      <w:r w:rsidRPr="002C44E3">
        <w:t>Molybdenum and molybdenum compounds</w:t>
      </w:r>
      <w:r w:rsidRPr="005F7416">
        <w:t xml:space="preserve">. </w:t>
      </w:r>
      <w:r w:rsidR="00CC46CF" w:rsidRPr="00CC46CF">
        <w:t>Health-based recommended occupational exposure limit</w:t>
      </w:r>
      <w:r w:rsidRPr="005F7416">
        <w:t xml:space="preserve">. The Hague: Health Council of the Netherlands; publication no. </w:t>
      </w:r>
      <w:r>
        <w:t>2013/30.</w:t>
      </w:r>
    </w:p>
    <w:p w14:paraId="2907FC07" w14:textId="29C0CF62" w:rsidR="00812CDF" w:rsidRPr="00351FE0" w:rsidRDefault="00812CDF" w:rsidP="00084859">
      <w:r w:rsidRPr="00812CDF">
        <w:t xml:space="preserve">National Industrial Chemicals Notification and </w:t>
      </w:r>
      <w:r>
        <w:t>Assessment Scheme (NICNAS) (ND</w:t>
      </w:r>
      <w:r w:rsidRPr="00812CDF">
        <w:t>) Molybdenum: Human health tier I assessment– IMAP report.</w:t>
      </w:r>
    </w:p>
    <w:sectPr w:rsidR="00812CDF" w:rsidRPr="00351FE0" w:rsidSect="00B87D4C">
      <w:headerReference w:type="even" r:id="rId18"/>
      <w:headerReference w:type="default" r:id="rId19"/>
      <w:headerReference w:type="first" r:id="rId20"/>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F65C3" w14:textId="77777777" w:rsidR="00610F2E" w:rsidRDefault="00610F2E" w:rsidP="00F43AD5">
      <w:pPr>
        <w:spacing w:after="0" w:line="240" w:lineRule="auto"/>
      </w:pPr>
      <w:r>
        <w:separator/>
      </w:r>
    </w:p>
  </w:endnote>
  <w:endnote w:type="continuationSeparator" w:id="0">
    <w:p w14:paraId="606FA4E2" w14:textId="77777777" w:rsidR="00610F2E" w:rsidRDefault="00610F2E"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6E782" w14:textId="77777777" w:rsidR="002E1709" w:rsidRDefault="002E17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40DC41E9" w14:textId="6BE94943" w:rsidR="008A36CF" w:rsidRDefault="0033199E" w:rsidP="0034744C">
        <w:pPr>
          <w:pStyle w:val="Footer"/>
          <w:rPr>
            <w:sz w:val="18"/>
            <w:szCs w:val="18"/>
          </w:rPr>
        </w:pPr>
        <w:r w:rsidRPr="0033199E">
          <w:rPr>
            <w:b/>
            <w:sz w:val="18"/>
            <w:szCs w:val="18"/>
          </w:rPr>
          <w:t>Molybdenum, insoluble compounds (as Mo)</w:t>
        </w:r>
        <w:r w:rsidR="008A36CF">
          <w:rPr>
            <w:b/>
            <w:sz w:val="18"/>
            <w:szCs w:val="18"/>
          </w:rPr>
          <w:t xml:space="preserve"> (</w:t>
        </w:r>
        <w:r w:rsidRPr="0033199E">
          <w:rPr>
            <w:b/>
            <w:sz w:val="18"/>
            <w:szCs w:val="18"/>
          </w:rPr>
          <w:t>7439-98-7</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5CD96411" w14:textId="4091D650"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2E1709">
          <w:rPr>
            <w:noProof/>
            <w:sz w:val="18"/>
            <w:szCs w:val="18"/>
          </w:rPr>
          <w:t>4</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2E9E3" w14:textId="77777777" w:rsidR="002E1709" w:rsidRDefault="002E17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8601F" w14:textId="77777777" w:rsidR="00610F2E" w:rsidRDefault="00610F2E" w:rsidP="00F43AD5">
      <w:pPr>
        <w:spacing w:after="0" w:line="240" w:lineRule="auto"/>
      </w:pPr>
      <w:r>
        <w:separator/>
      </w:r>
    </w:p>
  </w:footnote>
  <w:footnote w:type="continuationSeparator" w:id="0">
    <w:p w14:paraId="3A5C6AF1" w14:textId="77777777" w:rsidR="00610F2E" w:rsidRDefault="00610F2E"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2D49B" w14:textId="427A2D21" w:rsidR="002E1709" w:rsidRDefault="002E17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2C1E2" w14:textId="642234A3" w:rsidR="008A36CF" w:rsidRDefault="008A36CF" w:rsidP="00F43AD5">
    <w:pPr>
      <w:pStyle w:val="Header"/>
      <w:jc w:val="right"/>
    </w:pPr>
    <w:r>
      <w:rPr>
        <w:noProof/>
        <w:lang w:eastAsia="en-AU"/>
      </w:rPr>
      <w:drawing>
        <wp:inline distT="0" distB="0" distL="0" distR="0" wp14:anchorId="1F50867D" wp14:editId="6F441983">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3417C" w14:textId="42FEC28B" w:rsidR="002E1709" w:rsidRDefault="002E170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1CF61" w14:textId="2C094242" w:rsidR="002E1709" w:rsidRDefault="002E170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9F427" w14:textId="7A3FAE85" w:rsidR="008A36CF" w:rsidRDefault="007C53F6" w:rsidP="00F43AD5">
    <w:pPr>
      <w:pStyle w:val="Header"/>
      <w:jc w:val="right"/>
    </w:pPr>
    <w:r>
      <w:rPr>
        <w:noProof/>
        <w:lang w:eastAsia="en-AU"/>
      </w:rPr>
      <w:drawing>
        <wp:inline distT="0" distB="0" distL="0" distR="0" wp14:anchorId="38C3719B" wp14:editId="3CEA0D5E">
          <wp:extent cx="2938272" cy="594360"/>
          <wp:effectExtent l="0" t="0" r="0" b="0"/>
          <wp:docPr id="1" name="Picture 1"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BC74A" w14:textId="0F4A2F67" w:rsidR="002E1709" w:rsidRDefault="002E17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7C8631E"/>
    <w:lvl w:ilvl="0">
      <w:start w:val="1"/>
      <w:numFmt w:val="bullet"/>
      <w:pStyle w:val="ListBullet"/>
      <w:lvlText w:val=""/>
      <w:lvlJc w:val="left"/>
      <w:pPr>
        <w:tabs>
          <w:tab w:val="num" w:pos="360"/>
        </w:tabs>
        <w:ind w:left="360" w:hanging="360"/>
      </w:pPr>
      <w:rPr>
        <w:rFonts w:ascii="Symbol" w:hAnsi="Symbol" w:hint="default"/>
      </w:rPr>
    </w:lvl>
  </w:abstractNum>
  <w:num w:numId="1" w16cid:durableId="1177958822">
    <w:abstractNumId w:val="0"/>
  </w:num>
  <w:num w:numId="2" w16cid:durableId="1890266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4915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46DF5"/>
    <w:rsid w:val="00052060"/>
    <w:rsid w:val="0005574A"/>
    <w:rsid w:val="00055FE1"/>
    <w:rsid w:val="00056EC2"/>
    <w:rsid w:val="00060B48"/>
    <w:rsid w:val="00067F32"/>
    <w:rsid w:val="00071807"/>
    <w:rsid w:val="000803E1"/>
    <w:rsid w:val="00084513"/>
    <w:rsid w:val="00084859"/>
    <w:rsid w:val="00092D94"/>
    <w:rsid w:val="000B0868"/>
    <w:rsid w:val="000B3E12"/>
    <w:rsid w:val="000B3E78"/>
    <w:rsid w:val="000B7B48"/>
    <w:rsid w:val="000C096D"/>
    <w:rsid w:val="000C139A"/>
    <w:rsid w:val="000C2053"/>
    <w:rsid w:val="000C248C"/>
    <w:rsid w:val="000D291C"/>
    <w:rsid w:val="000E52B3"/>
    <w:rsid w:val="000E5A54"/>
    <w:rsid w:val="000E63D3"/>
    <w:rsid w:val="000E67CF"/>
    <w:rsid w:val="0010461E"/>
    <w:rsid w:val="00106FAA"/>
    <w:rsid w:val="00113443"/>
    <w:rsid w:val="001269A7"/>
    <w:rsid w:val="00131092"/>
    <w:rsid w:val="00140E6A"/>
    <w:rsid w:val="00146545"/>
    <w:rsid w:val="00146B75"/>
    <w:rsid w:val="0015266D"/>
    <w:rsid w:val="0015288A"/>
    <w:rsid w:val="00160F47"/>
    <w:rsid w:val="00177CA1"/>
    <w:rsid w:val="00183823"/>
    <w:rsid w:val="00183942"/>
    <w:rsid w:val="001A009E"/>
    <w:rsid w:val="001A1287"/>
    <w:rsid w:val="001A3859"/>
    <w:rsid w:val="001A3C9D"/>
    <w:rsid w:val="001A43F8"/>
    <w:rsid w:val="001B309A"/>
    <w:rsid w:val="001B79E5"/>
    <w:rsid w:val="001C62D0"/>
    <w:rsid w:val="001D56F0"/>
    <w:rsid w:val="001D663B"/>
    <w:rsid w:val="001D7B41"/>
    <w:rsid w:val="001E46DA"/>
    <w:rsid w:val="001E68E2"/>
    <w:rsid w:val="001E7D80"/>
    <w:rsid w:val="001F0C35"/>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44AD1"/>
    <w:rsid w:val="002463BC"/>
    <w:rsid w:val="002465CE"/>
    <w:rsid w:val="0025734A"/>
    <w:rsid w:val="00263255"/>
    <w:rsid w:val="00276494"/>
    <w:rsid w:val="00277B0C"/>
    <w:rsid w:val="002B1A2C"/>
    <w:rsid w:val="002C34F2"/>
    <w:rsid w:val="002C44E3"/>
    <w:rsid w:val="002C58FF"/>
    <w:rsid w:val="002C7AFE"/>
    <w:rsid w:val="002D05D2"/>
    <w:rsid w:val="002E0D61"/>
    <w:rsid w:val="002E1709"/>
    <w:rsid w:val="002E4C7B"/>
    <w:rsid w:val="002F609A"/>
    <w:rsid w:val="0030740C"/>
    <w:rsid w:val="00312F9F"/>
    <w:rsid w:val="00315833"/>
    <w:rsid w:val="003215EE"/>
    <w:rsid w:val="003224BF"/>
    <w:rsid w:val="003241A8"/>
    <w:rsid w:val="003253F0"/>
    <w:rsid w:val="0033199E"/>
    <w:rsid w:val="003337DA"/>
    <w:rsid w:val="00334EFB"/>
    <w:rsid w:val="00335CDE"/>
    <w:rsid w:val="003365A5"/>
    <w:rsid w:val="00347192"/>
    <w:rsid w:val="0034744C"/>
    <w:rsid w:val="00351FE0"/>
    <w:rsid w:val="00352615"/>
    <w:rsid w:val="0035412B"/>
    <w:rsid w:val="003567A8"/>
    <w:rsid w:val="00362895"/>
    <w:rsid w:val="00370DBF"/>
    <w:rsid w:val="00386093"/>
    <w:rsid w:val="003904A4"/>
    <w:rsid w:val="00391841"/>
    <w:rsid w:val="00391B6D"/>
    <w:rsid w:val="00394922"/>
    <w:rsid w:val="003A0E32"/>
    <w:rsid w:val="003A2B94"/>
    <w:rsid w:val="003A2D03"/>
    <w:rsid w:val="003B387D"/>
    <w:rsid w:val="003C0D58"/>
    <w:rsid w:val="003D4FA3"/>
    <w:rsid w:val="003E0807"/>
    <w:rsid w:val="003E51FB"/>
    <w:rsid w:val="003E6B39"/>
    <w:rsid w:val="003F07E1"/>
    <w:rsid w:val="003F62B6"/>
    <w:rsid w:val="004030BC"/>
    <w:rsid w:val="00403F7D"/>
    <w:rsid w:val="00406785"/>
    <w:rsid w:val="004079B4"/>
    <w:rsid w:val="00417A56"/>
    <w:rsid w:val="00420957"/>
    <w:rsid w:val="00422A10"/>
    <w:rsid w:val="00430179"/>
    <w:rsid w:val="004414B5"/>
    <w:rsid w:val="00444482"/>
    <w:rsid w:val="00444B42"/>
    <w:rsid w:val="00445E44"/>
    <w:rsid w:val="004509E2"/>
    <w:rsid w:val="004515EE"/>
    <w:rsid w:val="004529F0"/>
    <w:rsid w:val="00460A03"/>
    <w:rsid w:val="00472A11"/>
    <w:rsid w:val="00472AAD"/>
    <w:rsid w:val="00474E33"/>
    <w:rsid w:val="00476803"/>
    <w:rsid w:val="004859A4"/>
    <w:rsid w:val="00485BFD"/>
    <w:rsid w:val="004867A2"/>
    <w:rsid w:val="004873F2"/>
    <w:rsid w:val="00490D4C"/>
    <w:rsid w:val="00493A35"/>
    <w:rsid w:val="0049527A"/>
    <w:rsid w:val="004966BF"/>
    <w:rsid w:val="00497984"/>
    <w:rsid w:val="004A5088"/>
    <w:rsid w:val="004B3138"/>
    <w:rsid w:val="004C1E3F"/>
    <w:rsid w:val="004C23F4"/>
    <w:rsid w:val="004C3475"/>
    <w:rsid w:val="004C58B6"/>
    <w:rsid w:val="004D16A3"/>
    <w:rsid w:val="004D4AA1"/>
    <w:rsid w:val="004D6D68"/>
    <w:rsid w:val="004E5EDD"/>
    <w:rsid w:val="004F448A"/>
    <w:rsid w:val="004F493D"/>
    <w:rsid w:val="004F65E8"/>
    <w:rsid w:val="0050005E"/>
    <w:rsid w:val="00502B88"/>
    <w:rsid w:val="0050368B"/>
    <w:rsid w:val="005074E4"/>
    <w:rsid w:val="00512393"/>
    <w:rsid w:val="005142C4"/>
    <w:rsid w:val="0051509C"/>
    <w:rsid w:val="005272E2"/>
    <w:rsid w:val="0053108F"/>
    <w:rsid w:val="00532B56"/>
    <w:rsid w:val="00534B10"/>
    <w:rsid w:val="005446A2"/>
    <w:rsid w:val="00544D2F"/>
    <w:rsid w:val="00551BD8"/>
    <w:rsid w:val="00581055"/>
    <w:rsid w:val="00591E38"/>
    <w:rsid w:val="005A19C5"/>
    <w:rsid w:val="005A3034"/>
    <w:rsid w:val="005A462D"/>
    <w:rsid w:val="005B253B"/>
    <w:rsid w:val="005B771D"/>
    <w:rsid w:val="005B7C13"/>
    <w:rsid w:val="005C5D16"/>
    <w:rsid w:val="005D3193"/>
    <w:rsid w:val="005D4A6E"/>
    <w:rsid w:val="005E6979"/>
    <w:rsid w:val="005E75CB"/>
    <w:rsid w:val="005F5679"/>
    <w:rsid w:val="006013C1"/>
    <w:rsid w:val="0060669E"/>
    <w:rsid w:val="00610F2E"/>
    <w:rsid w:val="00611399"/>
    <w:rsid w:val="00624C4E"/>
    <w:rsid w:val="00625200"/>
    <w:rsid w:val="006363A8"/>
    <w:rsid w:val="00636DB7"/>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A51C6"/>
    <w:rsid w:val="006B160A"/>
    <w:rsid w:val="006B4E6C"/>
    <w:rsid w:val="006B50B6"/>
    <w:rsid w:val="006D79EA"/>
    <w:rsid w:val="006E5D05"/>
    <w:rsid w:val="00701053"/>
    <w:rsid w:val="00701507"/>
    <w:rsid w:val="00714021"/>
    <w:rsid w:val="00716A0F"/>
    <w:rsid w:val="00717D45"/>
    <w:rsid w:val="007208F7"/>
    <w:rsid w:val="007218AF"/>
    <w:rsid w:val="007365D1"/>
    <w:rsid w:val="00740E0E"/>
    <w:rsid w:val="00750212"/>
    <w:rsid w:val="00754779"/>
    <w:rsid w:val="0075716D"/>
    <w:rsid w:val="00765F14"/>
    <w:rsid w:val="00770E31"/>
    <w:rsid w:val="007770F1"/>
    <w:rsid w:val="00783721"/>
    <w:rsid w:val="00783FB1"/>
    <w:rsid w:val="00785CDD"/>
    <w:rsid w:val="00791847"/>
    <w:rsid w:val="007925F0"/>
    <w:rsid w:val="007939B3"/>
    <w:rsid w:val="0079509C"/>
    <w:rsid w:val="00796708"/>
    <w:rsid w:val="007B1B42"/>
    <w:rsid w:val="007B297E"/>
    <w:rsid w:val="007C30EB"/>
    <w:rsid w:val="007C3D37"/>
    <w:rsid w:val="007C53F6"/>
    <w:rsid w:val="007E063C"/>
    <w:rsid w:val="007E2A4B"/>
    <w:rsid w:val="007E307D"/>
    <w:rsid w:val="007E6A4E"/>
    <w:rsid w:val="007E6C94"/>
    <w:rsid w:val="007F1005"/>
    <w:rsid w:val="007F25E0"/>
    <w:rsid w:val="007F5328"/>
    <w:rsid w:val="00804F5A"/>
    <w:rsid w:val="00807A89"/>
    <w:rsid w:val="00810C6D"/>
    <w:rsid w:val="00812887"/>
    <w:rsid w:val="00812CDF"/>
    <w:rsid w:val="00826F21"/>
    <w:rsid w:val="00834CC8"/>
    <w:rsid w:val="00835E00"/>
    <w:rsid w:val="00837113"/>
    <w:rsid w:val="008414E4"/>
    <w:rsid w:val="00843E21"/>
    <w:rsid w:val="0084508E"/>
    <w:rsid w:val="00857A8A"/>
    <w:rsid w:val="008630EE"/>
    <w:rsid w:val="00864D13"/>
    <w:rsid w:val="00871CD5"/>
    <w:rsid w:val="008745A2"/>
    <w:rsid w:val="008768A8"/>
    <w:rsid w:val="0088798F"/>
    <w:rsid w:val="00887E4B"/>
    <w:rsid w:val="008915C8"/>
    <w:rsid w:val="008A36CF"/>
    <w:rsid w:val="008A3BC4"/>
    <w:rsid w:val="008B403C"/>
    <w:rsid w:val="008B7983"/>
    <w:rsid w:val="008C2511"/>
    <w:rsid w:val="008D026D"/>
    <w:rsid w:val="008D23AB"/>
    <w:rsid w:val="008D4B8B"/>
    <w:rsid w:val="008D5A78"/>
    <w:rsid w:val="008E2245"/>
    <w:rsid w:val="008E7B64"/>
    <w:rsid w:val="008F5DCD"/>
    <w:rsid w:val="00900951"/>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33D4"/>
    <w:rsid w:val="00A6461A"/>
    <w:rsid w:val="00A84504"/>
    <w:rsid w:val="00A8672F"/>
    <w:rsid w:val="00A93057"/>
    <w:rsid w:val="00A968B0"/>
    <w:rsid w:val="00AB2672"/>
    <w:rsid w:val="00AB2817"/>
    <w:rsid w:val="00AB43C4"/>
    <w:rsid w:val="00AC32E7"/>
    <w:rsid w:val="00AC3A9F"/>
    <w:rsid w:val="00AC583C"/>
    <w:rsid w:val="00AC6D2F"/>
    <w:rsid w:val="00AE2745"/>
    <w:rsid w:val="00AE2F64"/>
    <w:rsid w:val="00AF42CB"/>
    <w:rsid w:val="00AF483F"/>
    <w:rsid w:val="00AF5E07"/>
    <w:rsid w:val="00AF5F06"/>
    <w:rsid w:val="00B00A25"/>
    <w:rsid w:val="00B05B16"/>
    <w:rsid w:val="00B1422A"/>
    <w:rsid w:val="00B1765C"/>
    <w:rsid w:val="00B213C4"/>
    <w:rsid w:val="00B40C60"/>
    <w:rsid w:val="00B479A9"/>
    <w:rsid w:val="00B52EDF"/>
    <w:rsid w:val="00B52F1B"/>
    <w:rsid w:val="00B71188"/>
    <w:rsid w:val="00B76A41"/>
    <w:rsid w:val="00B87D4C"/>
    <w:rsid w:val="00B93646"/>
    <w:rsid w:val="00BA0B38"/>
    <w:rsid w:val="00BA1DBB"/>
    <w:rsid w:val="00BA4510"/>
    <w:rsid w:val="00BA529A"/>
    <w:rsid w:val="00BB612A"/>
    <w:rsid w:val="00BD499F"/>
    <w:rsid w:val="00BD56DE"/>
    <w:rsid w:val="00BE256A"/>
    <w:rsid w:val="00BF2406"/>
    <w:rsid w:val="00C06E43"/>
    <w:rsid w:val="00C16315"/>
    <w:rsid w:val="00C3091E"/>
    <w:rsid w:val="00C40FF1"/>
    <w:rsid w:val="00C419E2"/>
    <w:rsid w:val="00C5020E"/>
    <w:rsid w:val="00C57452"/>
    <w:rsid w:val="00C61EDF"/>
    <w:rsid w:val="00C6239D"/>
    <w:rsid w:val="00C6594B"/>
    <w:rsid w:val="00C67FFB"/>
    <w:rsid w:val="00C7155E"/>
    <w:rsid w:val="00C71D1E"/>
    <w:rsid w:val="00C71D7D"/>
    <w:rsid w:val="00C74833"/>
    <w:rsid w:val="00C850A0"/>
    <w:rsid w:val="00C85A86"/>
    <w:rsid w:val="00C978F0"/>
    <w:rsid w:val="00CA58FE"/>
    <w:rsid w:val="00CB1CB1"/>
    <w:rsid w:val="00CB6BC1"/>
    <w:rsid w:val="00CB6CB8"/>
    <w:rsid w:val="00CC1A68"/>
    <w:rsid w:val="00CC2123"/>
    <w:rsid w:val="00CC46CF"/>
    <w:rsid w:val="00CD2BFD"/>
    <w:rsid w:val="00CE5AD6"/>
    <w:rsid w:val="00CE617F"/>
    <w:rsid w:val="00CE78EF"/>
    <w:rsid w:val="00D048F7"/>
    <w:rsid w:val="00D0517E"/>
    <w:rsid w:val="00D140FC"/>
    <w:rsid w:val="00D21D8C"/>
    <w:rsid w:val="00D31357"/>
    <w:rsid w:val="00D319EE"/>
    <w:rsid w:val="00D32AA1"/>
    <w:rsid w:val="00D33220"/>
    <w:rsid w:val="00D334D1"/>
    <w:rsid w:val="00D44C89"/>
    <w:rsid w:val="00D516CD"/>
    <w:rsid w:val="00D668E6"/>
    <w:rsid w:val="00D70670"/>
    <w:rsid w:val="00D74D80"/>
    <w:rsid w:val="00D76624"/>
    <w:rsid w:val="00D81CCE"/>
    <w:rsid w:val="00D87570"/>
    <w:rsid w:val="00D91CB9"/>
    <w:rsid w:val="00D97989"/>
    <w:rsid w:val="00D97D8D"/>
    <w:rsid w:val="00DA352E"/>
    <w:rsid w:val="00DC7694"/>
    <w:rsid w:val="00DD1BF6"/>
    <w:rsid w:val="00DD2F9B"/>
    <w:rsid w:val="00DE2513"/>
    <w:rsid w:val="00DE26E8"/>
    <w:rsid w:val="00DF6F36"/>
    <w:rsid w:val="00E0084C"/>
    <w:rsid w:val="00E025AB"/>
    <w:rsid w:val="00E02B23"/>
    <w:rsid w:val="00E06F40"/>
    <w:rsid w:val="00E07CE8"/>
    <w:rsid w:val="00E175A3"/>
    <w:rsid w:val="00E26A07"/>
    <w:rsid w:val="00E32595"/>
    <w:rsid w:val="00E37CFD"/>
    <w:rsid w:val="00E41A26"/>
    <w:rsid w:val="00E46BCB"/>
    <w:rsid w:val="00E51CAF"/>
    <w:rsid w:val="00E60F04"/>
    <w:rsid w:val="00E62AAC"/>
    <w:rsid w:val="00E67C2F"/>
    <w:rsid w:val="00E67EF5"/>
    <w:rsid w:val="00E804EA"/>
    <w:rsid w:val="00E80A71"/>
    <w:rsid w:val="00E82337"/>
    <w:rsid w:val="00E8339D"/>
    <w:rsid w:val="00E92499"/>
    <w:rsid w:val="00E949AF"/>
    <w:rsid w:val="00E96077"/>
    <w:rsid w:val="00EA0A06"/>
    <w:rsid w:val="00EA6243"/>
    <w:rsid w:val="00EA74AB"/>
    <w:rsid w:val="00EB3D1B"/>
    <w:rsid w:val="00ED1D89"/>
    <w:rsid w:val="00ED30E7"/>
    <w:rsid w:val="00ED66BC"/>
    <w:rsid w:val="00EF233A"/>
    <w:rsid w:val="00EF303E"/>
    <w:rsid w:val="00EF3A40"/>
    <w:rsid w:val="00EF7F78"/>
    <w:rsid w:val="00F01B08"/>
    <w:rsid w:val="00F01C4D"/>
    <w:rsid w:val="00F053FA"/>
    <w:rsid w:val="00F10C97"/>
    <w:rsid w:val="00F11C71"/>
    <w:rsid w:val="00F16019"/>
    <w:rsid w:val="00F20E68"/>
    <w:rsid w:val="00F22093"/>
    <w:rsid w:val="00F236DF"/>
    <w:rsid w:val="00F43AD5"/>
    <w:rsid w:val="00F4402E"/>
    <w:rsid w:val="00F56DD0"/>
    <w:rsid w:val="00F6491C"/>
    <w:rsid w:val="00F67BBB"/>
    <w:rsid w:val="00F87D92"/>
    <w:rsid w:val="00F90AA7"/>
    <w:rsid w:val="00F92498"/>
    <w:rsid w:val="00F9496B"/>
    <w:rsid w:val="00F970C9"/>
    <w:rsid w:val="00FA06A8"/>
    <w:rsid w:val="00FA3DF5"/>
    <w:rsid w:val="00FA741F"/>
    <w:rsid w:val="00FB4E07"/>
    <w:rsid w:val="00FB755A"/>
    <w:rsid w:val="00FC60A2"/>
    <w:rsid w:val="00FD1871"/>
    <w:rsid w:val="00FD3110"/>
    <w:rsid w:val="00FE7968"/>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9159"/>
    <o:shapelayout v:ext="edit">
      <o:idmap v:ext="edit" data="1"/>
    </o:shapelayout>
  </w:shapeDefaults>
  <w:decimalSymbol w:val="."/>
  <w:listSeparator w:val=","/>
  <w14:docId w14:val="090C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4859A4"/>
    <w:pPr>
      <w:numPr>
        <w:numId w:val="1"/>
      </w:numPr>
      <w:contextualSpacing/>
    </w:pPr>
  </w:style>
  <w:style w:type="character" w:styleId="CommentReference">
    <w:name w:val="annotation reference"/>
    <w:basedOn w:val="DefaultParagraphFont"/>
    <w:uiPriority w:val="99"/>
    <w:semiHidden/>
    <w:unhideWhenUsed/>
    <w:rsid w:val="005F5679"/>
    <w:rPr>
      <w:sz w:val="16"/>
      <w:szCs w:val="16"/>
    </w:rPr>
  </w:style>
  <w:style w:type="paragraph" w:styleId="CommentText">
    <w:name w:val="annotation text"/>
    <w:basedOn w:val="Normal"/>
    <w:link w:val="CommentTextChar"/>
    <w:uiPriority w:val="99"/>
    <w:semiHidden/>
    <w:unhideWhenUsed/>
    <w:rsid w:val="005F5679"/>
    <w:pPr>
      <w:spacing w:line="240" w:lineRule="auto"/>
    </w:pPr>
    <w:rPr>
      <w:szCs w:val="20"/>
    </w:rPr>
  </w:style>
  <w:style w:type="character" w:customStyle="1" w:styleId="CommentTextChar">
    <w:name w:val="Comment Text Char"/>
    <w:basedOn w:val="DefaultParagraphFont"/>
    <w:link w:val="CommentText"/>
    <w:uiPriority w:val="99"/>
    <w:semiHidden/>
    <w:rsid w:val="005F5679"/>
    <w:rPr>
      <w:szCs w:val="20"/>
    </w:rPr>
  </w:style>
  <w:style w:type="paragraph" w:styleId="CommentSubject">
    <w:name w:val="annotation subject"/>
    <w:basedOn w:val="CommentText"/>
    <w:next w:val="CommentText"/>
    <w:link w:val="CommentSubjectChar"/>
    <w:uiPriority w:val="99"/>
    <w:semiHidden/>
    <w:unhideWhenUsed/>
    <w:rsid w:val="005F5679"/>
    <w:rPr>
      <w:b/>
      <w:bCs/>
    </w:rPr>
  </w:style>
  <w:style w:type="character" w:customStyle="1" w:styleId="CommentSubjectChar">
    <w:name w:val="Comment Subject Char"/>
    <w:basedOn w:val="CommentTextChar"/>
    <w:link w:val="CommentSubject"/>
    <w:uiPriority w:val="99"/>
    <w:semiHidden/>
    <w:rsid w:val="005F5679"/>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3E5D84A4900F4CB982CA7837E42BF39E"/>
        <w:category>
          <w:name w:val="General"/>
          <w:gallery w:val="placeholder"/>
        </w:category>
        <w:types>
          <w:type w:val="bbPlcHdr"/>
        </w:types>
        <w:behaviors>
          <w:behavior w:val="content"/>
        </w:behaviors>
        <w:guid w:val="{5D084EF3-039C-4CB3-B44E-272F6FEABC3A}"/>
      </w:docPartPr>
      <w:docPartBody>
        <w:p w:rsidR="00EB2010" w:rsidRDefault="009E5269" w:rsidP="009E5269">
          <w:pPr>
            <w:pStyle w:val="3E5D84A4900F4CB982CA7837E42BF39E"/>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3F62B6"/>
    <w:rsid w:val="00741490"/>
    <w:rsid w:val="009E5269"/>
    <w:rsid w:val="00D21A9F"/>
    <w:rsid w:val="00EB20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5269"/>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3E5D84A4900F4CB982CA7837E42BF39E">
    <w:name w:val="3E5D84A4900F4CB982CA7837E42BF39E"/>
    <w:rsid w:val="009E52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C28FAF-0D6B-40EF-A3D8-136CB8BD51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4B3F20-2690-4B8E-B948-B6E144B9F2DA}">
  <ds:schemaRefs>
    <ds:schemaRef ds:uri="http://schemas.openxmlformats.org/officeDocument/2006/bibliography"/>
  </ds:schemaRefs>
</ds:datastoreItem>
</file>

<file path=customXml/itemProps3.xml><?xml version="1.0" encoding="utf-8"?>
<ds:datastoreItem xmlns:ds="http://schemas.openxmlformats.org/officeDocument/2006/customXml" ds:itemID="{82F9E2BE-DF2D-440B-9AE4-EC0E18B6F385}">
  <ds:schemaRefs>
    <ds:schemaRef ds:uri="http://schemas.microsoft.com/sharepoint/v3/contenttype/forms"/>
  </ds:schemaRefs>
</ds:datastoreItem>
</file>

<file path=customXml/itemProps4.xml><?xml version="1.0" encoding="utf-8"?>
<ds:datastoreItem xmlns:ds="http://schemas.openxmlformats.org/officeDocument/2006/customXml" ds:itemID="{DF8A7EB3-2D84-4668-BBC2-B8DA3862A178}"/>
</file>

<file path=docProps/app.xml><?xml version="1.0" encoding="utf-8"?>
<Properties xmlns="http://schemas.openxmlformats.org/officeDocument/2006/extended-properties" xmlns:vt="http://schemas.openxmlformats.org/officeDocument/2006/docPropsVTypes">
  <Template>Normal</Template>
  <TotalTime>0</TotalTime>
  <Pages>5</Pages>
  <Words>724</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2020-01-22T05:07:00Z</dcterms:created>
  <dcterms:modified xsi:type="dcterms:W3CDTF">2025-12-24T00:13:00Z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2025-12-24T00:13:02Z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802e6131-9781-4413-b0ab-c88af9fdac58</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