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F204DB" w14:textId="6729644E" w:rsidR="00BD499F" w:rsidRPr="004C23F4" w:rsidRDefault="009609B7" w:rsidP="00B40C60">
          <w:pPr>
            <w:pStyle w:val="Heading1"/>
            <w:jc w:val="center"/>
            <w:rPr>
              <w:rFonts w:ascii="Arial" w:hAnsi="Arial" w:cs="Arial"/>
            </w:rPr>
          </w:pPr>
          <w:r w:rsidRPr="009609B7">
            <w:rPr>
              <w:rFonts w:ascii="Arial" w:hAnsi="Arial" w:cs="Arial"/>
            </w:rPr>
            <w:t>Mevinphos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7B90C332" w14:textId="77777777" w:rsidTr="00B76A41">
        <w:trPr>
          <w:cantSplit/>
          <w:tblHeader/>
        </w:trPr>
        <w:tc>
          <w:tcPr>
            <w:tcW w:w="4077" w:type="dxa"/>
          </w:tcPr>
          <w:p w14:paraId="67B1089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DA4850C" w14:textId="1300F00D" w:rsidR="00F43AD5" w:rsidRPr="00717D45" w:rsidRDefault="000B7E36" w:rsidP="00B76A41">
            <w:pPr>
              <w:pStyle w:val="Tablefont"/>
            </w:pPr>
            <w:r w:rsidRPr="000B7E36">
              <w:t>7786-34-7</w:t>
            </w:r>
          </w:p>
        </w:tc>
      </w:tr>
      <w:tr w:rsidR="00F43AD5" w:rsidRPr="004C23F4" w14:paraId="33497AF4" w14:textId="77777777" w:rsidTr="00B76A41">
        <w:trPr>
          <w:cantSplit/>
        </w:trPr>
        <w:tc>
          <w:tcPr>
            <w:tcW w:w="4077" w:type="dxa"/>
          </w:tcPr>
          <w:p w14:paraId="7B9D4AF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C513ACC" w14:textId="51FA5AB3" w:rsidR="00F43AD5" w:rsidRPr="00717D45" w:rsidRDefault="000B7E36" w:rsidP="00B76A41">
            <w:pPr>
              <w:pStyle w:val="Tablefont"/>
            </w:pPr>
            <w:r>
              <w:t>2-Carboxymethoxy-1-methylvinyl dimethyl phosphate, crotonic acid 3-hydroxy- methyl ester dimethyl phosphate, O,O-dimethyl 1-carbomethoxy-1-propen-2-yl phosphate, 3-hydroxycrotonic acid methyl ester dimethyl phosphate, Menite, Mevinox, OS-2046, Phosfene</w:t>
            </w:r>
          </w:p>
        </w:tc>
      </w:tr>
      <w:tr w:rsidR="00F43AD5" w:rsidRPr="004C23F4" w14:paraId="705F013C" w14:textId="77777777" w:rsidTr="00B76A41">
        <w:trPr>
          <w:cantSplit/>
        </w:trPr>
        <w:tc>
          <w:tcPr>
            <w:tcW w:w="4077" w:type="dxa"/>
          </w:tcPr>
          <w:p w14:paraId="24FEAA2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8D14C0A" w14:textId="1C853D0A" w:rsidR="00F43AD5" w:rsidRPr="00717D45" w:rsidRDefault="000B7E36" w:rsidP="00B76A41">
            <w:pPr>
              <w:pStyle w:val="Tablefont"/>
            </w:pPr>
            <w:r>
              <w:t>C</w:t>
            </w:r>
            <w:r w:rsidRPr="000B7E36">
              <w:rPr>
                <w:vertAlign w:val="subscript"/>
              </w:rPr>
              <w:t>7</w:t>
            </w:r>
            <w:r>
              <w:t>H</w:t>
            </w:r>
            <w:r w:rsidRPr="000B7E36">
              <w:rPr>
                <w:vertAlign w:val="subscript"/>
              </w:rPr>
              <w:t>13</w:t>
            </w:r>
            <w:r>
              <w:t>O</w:t>
            </w:r>
            <w:r w:rsidRPr="000B7E36">
              <w:rPr>
                <w:vertAlign w:val="subscript"/>
              </w:rPr>
              <w:t>6</w:t>
            </w:r>
            <w:r>
              <w:t>P</w:t>
            </w:r>
          </w:p>
        </w:tc>
      </w:tr>
      <w:tr w:rsidR="00F43AD5" w:rsidRPr="004C23F4" w14:paraId="3C599EAB" w14:textId="77777777" w:rsidTr="00B76A41">
        <w:trPr>
          <w:cantSplit/>
        </w:trPr>
        <w:tc>
          <w:tcPr>
            <w:tcW w:w="4077" w:type="dxa"/>
          </w:tcPr>
          <w:p w14:paraId="07BF405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F138EC9" w14:textId="59391AEC" w:rsidR="00F43AD5" w:rsidRPr="00B40C60" w:rsidRDefault="000B7E36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5528E44E" w14:textId="0178109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2251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DFDF72A" w14:textId="77777777" w:rsidTr="00E65F32">
        <w:trPr>
          <w:cantSplit/>
          <w:tblHeader/>
        </w:trPr>
        <w:tc>
          <w:tcPr>
            <w:tcW w:w="4005" w:type="dxa"/>
            <w:vAlign w:val="center"/>
          </w:tcPr>
          <w:p w14:paraId="1CCB6A8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2C300AE" w14:textId="0328B5C6" w:rsidR="002C7AFE" w:rsidRPr="00E65F32" w:rsidRDefault="00E65F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84A5039" w14:textId="77777777" w:rsidTr="00E65F32">
        <w:trPr>
          <w:cantSplit/>
        </w:trPr>
        <w:tc>
          <w:tcPr>
            <w:tcW w:w="4005" w:type="dxa"/>
            <w:vAlign w:val="center"/>
          </w:tcPr>
          <w:p w14:paraId="22FFEBF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F0B1C52" w14:textId="78D0CA81" w:rsidR="002C7AFE" w:rsidRPr="00A32AE0" w:rsidRDefault="0022251C" w:rsidP="00017C82">
            <w:pPr>
              <w:pStyle w:val="Tablefont"/>
              <w:rPr>
                <w:b/>
              </w:rPr>
            </w:pPr>
            <w:r w:rsidRPr="00A32AE0">
              <w:rPr>
                <w:b/>
              </w:rPr>
              <w:t>—</w:t>
            </w:r>
          </w:p>
        </w:tc>
      </w:tr>
      <w:tr w:rsidR="002C7AFE" w:rsidRPr="004C23F4" w14:paraId="05F1D31D" w14:textId="77777777" w:rsidTr="00E65F32">
        <w:trPr>
          <w:cantSplit/>
        </w:trPr>
        <w:tc>
          <w:tcPr>
            <w:tcW w:w="4005" w:type="dxa"/>
            <w:vAlign w:val="center"/>
          </w:tcPr>
          <w:p w14:paraId="55F4A42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5493E90" w14:textId="2A3165E4" w:rsidR="002C7AFE" w:rsidRPr="00A32AE0" w:rsidRDefault="0022251C" w:rsidP="00017C82">
            <w:pPr>
              <w:pStyle w:val="Tablefont"/>
              <w:rPr>
                <w:b/>
              </w:rPr>
            </w:pPr>
            <w:r w:rsidRPr="00A32AE0">
              <w:rPr>
                <w:b/>
              </w:rPr>
              <w:t>—</w:t>
            </w:r>
          </w:p>
        </w:tc>
      </w:tr>
      <w:tr w:rsidR="002C7AFE" w:rsidRPr="004C23F4" w14:paraId="5C544EF1" w14:textId="77777777" w:rsidTr="00E65F32">
        <w:trPr>
          <w:cantSplit/>
        </w:trPr>
        <w:tc>
          <w:tcPr>
            <w:tcW w:w="4005" w:type="dxa"/>
          </w:tcPr>
          <w:p w14:paraId="293CA6E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6DAA0B7" w14:textId="21FE5752" w:rsidR="002C7AFE" w:rsidRPr="00EB3D1B" w:rsidRDefault="0022251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C578BF0" w14:textId="77777777" w:rsidTr="00E65F32">
        <w:trPr>
          <w:cantSplit/>
        </w:trPr>
        <w:tc>
          <w:tcPr>
            <w:tcW w:w="4005" w:type="dxa"/>
            <w:vAlign w:val="center"/>
          </w:tcPr>
          <w:p w14:paraId="296551D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F005F5F" w14:textId="67424EEA" w:rsidR="002C7AFE" w:rsidRPr="00EB3D1B" w:rsidRDefault="000B7E3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 ppm</w:t>
            </w:r>
          </w:p>
        </w:tc>
      </w:tr>
      <w:tr w:rsidR="00E65F32" w:rsidRPr="004C23F4" w14:paraId="42837610" w14:textId="77777777" w:rsidTr="002157E5">
        <w:trPr>
          <w:cantSplit/>
        </w:trPr>
        <w:tc>
          <w:tcPr>
            <w:tcW w:w="9026" w:type="dxa"/>
            <w:gridSpan w:val="2"/>
            <w:vAlign w:val="center"/>
          </w:tcPr>
          <w:p w14:paraId="73BD5C1B" w14:textId="651CFD9C" w:rsidR="00E65F32" w:rsidRPr="00EB3D1B" w:rsidRDefault="00E65F32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58FD9C0AF0C4204AAAED3C197345E4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855203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4C11CF2" w14:textId="67DAB574" w:rsidR="006639B4" w:rsidRPr="004C23F4" w:rsidRDefault="00E65F32" w:rsidP="000C139A">
      <w:pPr>
        <w:rPr>
          <w:rFonts w:cs="Arial"/>
        </w:rPr>
      </w:pPr>
      <w:r w:rsidRPr="00E65F32">
        <w:rPr>
          <w:rFonts w:cs="Arial"/>
        </w:rPr>
        <w:t xml:space="preserve">A TWA of </w:t>
      </w:r>
      <w:r>
        <w:rPr>
          <w:rFonts w:cs="Arial"/>
        </w:rPr>
        <w:t>0.01</w:t>
      </w:r>
      <w:r w:rsidRPr="00E65F32">
        <w:rPr>
          <w:rFonts w:cs="Arial"/>
        </w:rPr>
        <w:t xml:space="preserve"> mg/m</w:t>
      </w:r>
      <w:r w:rsidRPr="00E65F32">
        <w:rPr>
          <w:rFonts w:cs="Arial"/>
          <w:vertAlign w:val="superscript"/>
        </w:rPr>
        <w:t>3</w:t>
      </w:r>
      <w:r w:rsidRPr="00E65F32">
        <w:rPr>
          <w:rFonts w:cs="Arial"/>
        </w:rPr>
        <w:t xml:space="preserve"> is recommended to protect for </w:t>
      </w:r>
      <w:r>
        <w:rPr>
          <w:rFonts w:cs="Arial"/>
        </w:rPr>
        <w:t>cholinergic</w:t>
      </w:r>
      <w:r w:rsidRPr="00E65F32">
        <w:rPr>
          <w:rFonts w:cs="Arial"/>
        </w:rPr>
        <w:t xml:space="preserve"> effects in exposed workers</w:t>
      </w:r>
      <w:r>
        <w:rPr>
          <w:rFonts w:cs="Arial"/>
        </w:rPr>
        <w:t>.</w:t>
      </w:r>
    </w:p>
    <w:p w14:paraId="7F80304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C6B06AF" w14:textId="75831B1B" w:rsidR="00D1666A" w:rsidRDefault="009E4FAA" w:rsidP="006639B4">
      <w:pPr>
        <w:rPr>
          <w:rFonts w:cs="Arial"/>
        </w:rPr>
      </w:pPr>
      <w:r>
        <w:rPr>
          <w:rFonts w:cs="Arial"/>
        </w:rPr>
        <w:t xml:space="preserve">Mevinphos </w:t>
      </w:r>
      <w:r w:rsidR="003443AF">
        <w:rPr>
          <w:rFonts w:cs="Arial"/>
        </w:rPr>
        <w:t xml:space="preserve">is an organophosphate </w:t>
      </w:r>
      <w:r w:rsidR="00001B21">
        <w:rPr>
          <w:rFonts w:cs="Arial"/>
        </w:rPr>
        <w:t xml:space="preserve">that </w:t>
      </w:r>
      <w:r w:rsidR="00F26746">
        <w:rPr>
          <w:rFonts w:cs="Arial"/>
        </w:rPr>
        <w:t>was</w:t>
      </w:r>
      <w:r>
        <w:rPr>
          <w:rFonts w:cs="Arial"/>
        </w:rPr>
        <w:t xml:space="preserve"> </w:t>
      </w:r>
      <w:r w:rsidR="000610DA">
        <w:rPr>
          <w:rFonts w:cs="Arial"/>
        </w:rPr>
        <w:t xml:space="preserve">widely used </w:t>
      </w:r>
      <w:r>
        <w:rPr>
          <w:rFonts w:cs="Arial"/>
        </w:rPr>
        <w:t>as an insecticide</w:t>
      </w:r>
      <w:r w:rsidR="000610DA">
        <w:rPr>
          <w:rFonts w:cs="Arial"/>
        </w:rPr>
        <w:t xml:space="preserve"> for flowers and crops. It</w:t>
      </w:r>
      <w:r w:rsidR="00001B21">
        <w:rPr>
          <w:rFonts w:cs="Arial"/>
        </w:rPr>
        <w:t xml:space="preserve"> is a restricted chemical that is</w:t>
      </w:r>
      <w:r w:rsidR="000610DA">
        <w:rPr>
          <w:rFonts w:cs="Arial"/>
        </w:rPr>
        <w:t xml:space="preserve"> still used for specific applications in Australia</w:t>
      </w:r>
      <w:r>
        <w:rPr>
          <w:rFonts w:cs="Arial"/>
        </w:rPr>
        <w:t xml:space="preserve">. </w:t>
      </w:r>
    </w:p>
    <w:p w14:paraId="35BAF9E4" w14:textId="77777777" w:rsidR="00AC7A54" w:rsidRDefault="009E4FAA" w:rsidP="006639B4">
      <w:pPr>
        <w:rPr>
          <w:rFonts w:cs="Arial"/>
        </w:rPr>
      </w:pPr>
      <w:r>
        <w:rPr>
          <w:rFonts w:cs="Arial"/>
        </w:rPr>
        <w:t xml:space="preserve">The critical effect </w:t>
      </w:r>
      <w:r w:rsidR="00D1666A">
        <w:rPr>
          <w:rFonts w:cs="Arial"/>
        </w:rPr>
        <w:t xml:space="preserve">of exposure </w:t>
      </w:r>
      <w:r>
        <w:rPr>
          <w:rFonts w:cs="Arial"/>
        </w:rPr>
        <w:t>is cholinesterase inhibition, which can cause reversible cholinergic neuromuscular stimulation.</w:t>
      </w:r>
    </w:p>
    <w:p w14:paraId="72264A32" w14:textId="0C08A763" w:rsidR="00E65F32" w:rsidRDefault="00B45244" w:rsidP="006639B4">
      <w:pPr>
        <w:rPr>
          <w:rFonts w:cs="Arial"/>
        </w:rPr>
      </w:pPr>
      <w:r w:rsidRPr="00B45244">
        <w:rPr>
          <w:rFonts w:cs="Arial"/>
        </w:rPr>
        <w:t xml:space="preserve">Inhalational exposure data are limited, but several </w:t>
      </w:r>
      <w:r>
        <w:rPr>
          <w:rFonts w:cs="Arial"/>
        </w:rPr>
        <w:t xml:space="preserve">human and animal </w:t>
      </w:r>
      <w:r w:rsidRPr="00B45244">
        <w:rPr>
          <w:rFonts w:cs="Arial"/>
        </w:rPr>
        <w:t xml:space="preserve">oral dose studies </w:t>
      </w:r>
      <w:r w:rsidR="00AC7A54">
        <w:rPr>
          <w:rFonts w:cs="Arial"/>
        </w:rPr>
        <w:t>are available</w:t>
      </w:r>
      <w:r w:rsidR="003513CF">
        <w:rPr>
          <w:rFonts w:cs="Arial"/>
        </w:rPr>
        <w:t>.</w:t>
      </w:r>
      <w:r w:rsidRPr="00B45244">
        <w:rPr>
          <w:rFonts w:cs="Arial"/>
        </w:rPr>
        <w:t xml:space="preserve"> A </w:t>
      </w:r>
      <w:r>
        <w:rPr>
          <w:rFonts w:cs="Arial"/>
        </w:rPr>
        <w:t>LOAEL</w:t>
      </w:r>
      <w:r w:rsidRPr="00B45244">
        <w:rPr>
          <w:rFonts w:cs="Arial"/>
        </w:rPr>
        <w:t xml:space="preserve"> of 0.</w:t>
      </w:r>
      <w:r>
        <w:rPr>
          <w:rFonts w:cs="Arial"/>
        </w:rPr>
        <w:t>015 mg/kg</w:t>
      </w:r>
      <w:r w:rsidRPr="00B45244">
        <w:rPr>
          <w:rFonts w:cs="Arial"/>
        </w:rPr>
        <w:t xml:space="preserve"> for red blood cell (RBC) cholinesterase inhibition without clinical cholinergic symptoms </w:t>
      </w:r>
      <w:r w:rsidR="003513CF">
        <w:rPr>
          <w:rFonts w:cs="Arial"/>
        </w:rPr>
        <w:t xml:space="preserve">is reported </w:t>
      </w:r>
      <w:r w:rsidRPr="00B45244">
        <w:rPr>
          <w:rFonts w:cs="Arial"/>
        </w:rPr>
        <w:t xml:space="preserve">in </w:t>
      </w:r>
      <w:r w:rsidR="00BA4D62">
        <w:rPr>
          <w:rFonts w:cs="Arial"/>
        </w:rPr>
        <w:t xml:space="preserve">orally dosed </w:t>
      </w:r>
      <w:r w:rsidRPr="00B45244">
        <w:rPr>
          <w:rFonts w:cs="Arial"/>
        </w:rPr>
        <w:t>volunteers</w:t>
      </w:r>
      <w:r w:rsidR="003513CF">
        <w:rPr>
          <w:rFonts w:cs="Arial"/>
        </w:rPr>
        <w:t>. D</w:t>
      </w:r>
      <w:r w:rsidR="00BA4D62">
        <w:rPr>
          <w:rFonts w:cs="Arial"/>
        </w:rPr>
        <w:t>oses between 0.02</w:t>
      </w:r>
      <w:r w:rsidR="00CC4274">
        <w:rPr>
          <w:rFonts w:cs="Arial"/>
        </w:rPr>
        <w:t xml:space="preserve"> to </w:t>
      </w:r>
      <w:r w:rsidR="00BA4D62">
        <w:rPr>
          <w:rFonts w:cs="Arial"/>
        </w:rPr>
        <w:t>0.04</w:t>
      </w:r>
      <w:r w:rsidR="00CC4274">
        <w:rPr>
          <w:rFonts w:cs="Arial"/>
        </w:rPr>
        <w:t> </w:t>
      </w:r>
      <w:r w:rsidR="00BA4D62">
        <w:rPr>
          <w:rFonts w:cs="Arial"/>
        </w:rPr>
        <w:t xml:space="preserve">mg/kg did not elicit cholinergic effects, but </w:t>
      </w:r>
      <w:r w:rsidR="003513CF">
        <w:rPr>
          <w:rFonts w:cs="Arial"/>
        </w:rPr>
        <w:t xml:space="preserve">did </w:t>
      </w:r>
      <w:r w:rsidR="00BA4D62">
        <w:rPr>
          <w:rFonts w:cs="Arial"/>
        </w:rPr>
        <w:t xml:space="preserve">increase RBC cholinesterase inhibition </w:t>
      </w:r>
      <w:r>
        <w:rPr>
          <w:rFonts w:cs="Arial"/>
        </w:rPr>
        <w:t>(ACGIH,</w:t>
      </w:r>
      <w:r w:rsidR="00CC4274">
        <w:rPr>
          <w:rFonts w:cs="Arial"/>
        </w:rPr>
        <w:t> </w:t>
      </w:r>
      <w:r>
        <w:rPr>
          <w:rFonts w:cs="Arial"/>
        </w:rPr>
        <w:t>2018</w:t>
      </w:r>
      <w:r w:rsidR="00CC4274">
        <w:rPr>
          <w:rFonts w:cs="Arial"/>
        </w:rPr>
        <w:t xml:space="preserve"> and </w:t>
      </w:r>
      <w:r>
        <w:rPr>
          <w:rFonts w:cs="Arial"/>
        </w:rPr>
        <w:t>DFG, 2002)</w:t>
      </w:r>
      <w:r w:rsidRPr="00B45244">
        <w:rPr>
          <w:rFonts w:cs="Arial"/>
        </w:rPr>
        <w:t xml:space="preserve">. </w:t>
      </w:r>
      <w:r>
        <w:rPr>
          <w:rFonts w:cs="Arial"/>
        </w:rPr>
        <w:t>Comparable endpoints are presented in animals with NOAEL</w:t>
      </w:r>
      <w:r w:rsidR="00BA4D62">
        <w:rPr>
          <w:rFonts w:cs="Arial"/>
        </w:rPr>
        <w:t>s</w:t>
      </w:r>
      <w:r>
        <w:rPr>
          <w:rFonts w:cs="Arial"/>
        </w:rPr>
        <w:t xml:space="preserve"> of </w:t>
      </w:r>
      <w:r w:rsidR="00BA4D62">
        <w:rPr>
          <w:rFonts w:cs="Arial"/>
        </w:rPr>
        <w:t xml:space="preserve">0.025 and 0.4 mg/kg in dogs and rats, respectively (ACGIH, 2018). Extrapolation of oral doses to inhalational exposure is complicated by first-pass detoxification evidenced in animals (DFG, 2002). </w:t>
      </w:r>
      <w:r w:rsidR="0022251C">
        <w:rPr>
          <w:rFonts w:cs="Arial"/>
        </w:rPr>
        <w:t xml:space="preserve">As per the derivation presented by ACGIH (2018), conversion of the </w:t>
      </w:r>
      <w:r w:rsidR="00BA4D62">
        <w:rPr>
          <w:rFonts w:cs="Arial"/>
        </w:rPr>
        <w:t xml:space="preserve">oral LOAEL in humans to an </w:t>
      </w:r>
      <w:r w:rsidR="0022251C">
        <w:rPr>
          <w:rFonts w:cs="Arial"/>
        </w:rPr>
        <w:t xml:space="preserve">equivalent </w:t>
      </w:r>
      <w:r w:rsidR="00BA4D62">
        <w:rPr>
          <w:rFonts w:cs="Arial"/>
        </w:rPr>
        <w:t xml:space="preserve">inhalational dose </w:t>
      </w:r>
      <w:r w:rsidR="0022251C">
        <w:rPr>
          <w:rFonts w:cs="Arial"/>
        </w:rPr>
        <w:t>would yield an inhalational LOAE</w:t>
      </w:r>
      <w:r w:rsidR="00563DE8">
        <w:rPr>
          <w:rFonts w:cs="Arial"/>
        </w:rPr>
        <w:t>C</w:t>
      </w:r>
      <w:r w:rsidR="0022251C">
        <w:rPr>
          <w:rFonts w:cs="Arial"/>
        </w:rPr>
        <w:t xml:space="preserve"> of 0.1 mg/m</w:t>
      </w:r>
      <w:r w:rsidR="0022251C">
        <w:rPr>
          <w:rFonts w:cs="Arial"/>
          <w:vertAlign w:val="superscript"/>
        </w:rPr>
        <w:t>3</w:t>
      </w:r>
      <w:r w:rsidR="0022251C">
        <w:rPr>
          <w:rFonts w:cs="Arial"/>
        </w:rPr>
        <w:t xml:space="preserve">. </w:t>
      </w:r>
      <w:r w:rsidR="003513CF">
        <w:rPr>
          <w:rFonts w:cs="Arial"/>
        </w:rPr>
        <w:t>A</w:t>
      </w:r>
      <w:r w:rsidR="0022251C">
        <w:rPr>
          <w:rFonts w:cs="Arial"/>
        </w:rPr>
        <w:t xml:space="preserve"> recommended TWA of 0.01</w:t>
      </w:r>
      <w:r w:rsidR="00563DE8">
        <w:rPr>
          <w:rFonts w:cs="Arial"/>
        </w:rPr>
        <w:t> </w:t>
      </w:r>
      <w:r w:rsidR="0022251C">
        <w:rPr>
          <w:rFonts w:cs="Arial"/>
        </w:rPr>
        <w:t>mg/m</w:t>
      </w:r>
      <w:r w:rsidR="0022251C">
        <w:rPr>
          <w:rFonts w:cs="Arial"/>
          <w:vertAlign w:val="superscript"/>
        </w:rPr>
        <w:t>3</w:t>
      </w:r>
      <w:r w:rsidR="0022251C">
        <w:rPr>
          <w:rFonts w:cs="Arial"/>
        </w:rPr>
        <w:t xml:space="preserve"> is derived by applying a factor of 10 to this LOAE</w:t>
      </w:r>
      <w:r w:rsidR="00563DE8">
        <w:rPr>
          <w:rFonts w:cs="Arial"/>
        </w:rPr>
        <w:t>C</w:t>
      </w:r>
      <w:r w:rsidR="0022251C">
        <w:rPr>
          <w:rFonts w:cs="Arial"/>
        </w:rPr>
        <w:t xml:space="preserve"> to account for the absence of an experimentally determined NOAE</w:t>
      </w:r>
      <w:r w:rsidR="00563DE8">
        <w:rPr>
          <w:rFonts w:cs="Arial"/>
        </w:rPr>
        <w:t>C</w:t>
      </w:r>
      <w:r w:rsidR="0022251C">
        <w:rPr>
          <w:rFonts w:cs="Arial"/>
        </w:rPr>
        <w:t xml:space="preserve"> and differences in detoxification pathways. </w:t>
      </w:r>
    </w:p>
    <w:p w14:paraId="2F1438A3" w14:textId="28A8FB41" w:rsidR="00B45244" w:rsidRPr="004C23F4" w:rsidRDefault="00802927" w:rsidP="006639B4">
      <w:pPr>
        <w:rPr>
          <w:rFonts w:cs="Arial"/>
        </w:rPr>
      </w:pPr>
      <w:r w:rsidRPr="00802927">
        <w:rPr>
          <w:rFonts w:cs="Arial"/>
        </w:rPr>
        <w:t>The recommended TWA is considered sufficiently low to be protective of short term exposures, therefore a STEL is not recommended</w:t>
      </w:r>
      <w:r w:rsidR="0022251C">
        <w:rPr>
          <w:rFonts w:cs="Arial"/>
        </w:rPr>
        <w:t>.</w:t>
      </w:r>
    </w:p>
    <w:p w14:paraId="7E7C4FBB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9D446DD" w14:textId="0D44FA06" w:rsidR="005C3797" w:rsidRDefault="005C3797" w:rsidP="005C3797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A32AE0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4FAF4468" w14:textId="448778C8" w:rsidR="005C3797" w:rsidRDefault="005C3797" w:rsidP="005C3797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A32AE0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2472E13" w14:textId="77777777" w:rsidR="00985257" w:rsidRPr="00985257" w:rsidRDefault="00985257" w:rsidP="00985257">
      <w:pPr>
        <w:rPr>
          <w:rFonts w:cs="Arial"/>
        </w:rPr>
      </w:pPr>
      <w:r w:rsidRPr="00985257">
        <w:rPr>
          <w:rFonts w:cs="Arial"/>
        </w:rPr>
        <w:t>A skin notation is warranted as evidence indicates rapid absorption through the skin and reports of acute poisonings in the workplace.</w:t>
      </w:r>
    </w:p>
    <w:p w14:paraId="154ED689" w14:textId="77777777" w:rsidR="0025734A" w:rsidRPr="004C23F4" w:rsidRDefault="0025734A">
      <w:pPr>
        <w:rPr>
          <w:rFonts w:cs="Arial"/>
        </w:rPr>
      </w:pPr>
    </w:p>
    <w:p w14:paraId="77B070C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6E2778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910409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07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8780"/>
        <w:gridCol w:w="58"/>
      </w:tblGrid>
      <w:tr w:rsidR="00C978F0" w:rsidRPr="00DA352E" w14:paraId="121EBDC7" w14:textId="77777777" w:rsidTr="00985257">
        <w:trPr>
          <w:trHeight w:val="393"/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7F8AFD27" w14:textId="77777777" w:rsidR="00C978F0" w:rsidRPr="00DA352E" w:rsidRDefault="00C978F0" w:rsidP="00A32AE0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86D8895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40633177" w14:textId="0921B34B" w:rsidR="00DE26E8" w:rsidRPr="003365A5" w:rsidRDefault="00DE26E8" w:rsidP="00A961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379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C3797">
                  <w:t>TWA: 0.01 ppm (0.092 mg/m</w:t>
                </w:r>
                <w:r w:rsidR="005C3797" w:rsidRPr="005C3797">
                  <w:rPr>
                    <w:vertAlign w:val="superscript"/>
                  </w:rPr>
                  <w:t>3</w:t>
                </w:r>
                <w:r w:rsidR="005C3797">
                  <w:t>); STEL: 0.03 (0.27 mg/m</w:t>
                </w:r>
                <w:r w:rsidR="005C3797" w:rsidRPr="005C3797">
                  <w:rPr>
                    <w:vertAlign w:val="superscript"/>
                  </w:rPr>
                  <w:t>3</w:t>
                </w:r>
                <w:r w:rsidR="005C3797">
                  <w:t>)</w:t>
                </w:r>
              </w:sdtContent>
            </w:sdt>
          </w:p>
        </w:tc>
      </w:tr>
      <w:tr w:rsidR="00C978F0" w:rsidRPr="00DA352E" w14:paraId="53C154BF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5D1D9A9D" w14:textId="77777777" w:rsidR="00C978F0" w:rsidRPr="00DA352E" w:rsidRDefault="00C978F0" w:rsidP="00A32AE0">
            <w:pPr>
              <w:pStyle w:val="Tabletextprimarysource"/>
            </w:pPr>
          </w:p>
        </w:tc>
      </w:tr>
      <w:tr w:rsidR="00C978F0" w:rsidRPr="00DA352E" w14:paraId="4CCE5604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3ADD09D0" w14:textId="68E1C6B9" w:rsidR="00C978F0" w:rsidRPr="00DA352E" w:rsidRDefault="00DA352E" w:rsidP="00A961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379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3797">
                  <w:t>TLV-TWA: 0.01 mg/m</w:t>
                </w:r>
                <w:r w:rsidR="005C3797" w:rsidRPr="005C379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B361FCC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70238A8A" w14:textId="03CFB31B" w:rsidR="00C978F0" w:rsidRDefault="009E4FAA" w:rsidP="00A32AE0">
            <w:pPr>
              <w:pStyle w:val="Tabletextprimarysource"/>
            </w:pPr>
            <w:r>
              <w:t>TLV-TWA intended to protect for cholinesterase inhibition. Not classifiable as a human carcinogen based on negative results in chronic animal studies. A skin notation is recommended based on systemic toxicity observed in animals following dermal application.</w:t>
            </w:r>
          </w:p>
          <w:p w14:paraId="56629110" w14:textId="77777777" w:rsidR="009E4FAA" w:rsidRDefault="009E4FAA" w:rsidP="00A32AE0">
            <w:pPr>
              <w:pStyle w:val="Tabletextprimarysource"/>
            </w:pPr>
            <w:r>
              <w:t>Summary of data:</w:t>
            </w:r>
          </w:p>
          <w:p w14:paraId="25CB27A6" w14:textId="232FE44E" w:rsidR="009E4FAA" w:rsidRPr="00F26746" w:rsidRDefault="009E4FAA" w:rsidP="00A32AE0">
            <w:pPr>
              <w:pStyle w:val="Tabletextprimarysource"/>
            </w:pPr>
            <w:r>
              <w:t xml:space="preserve">TLV-TWA derived from an oral dose </w:t>
            </w:r>
            <w:r w:rsidR="009A2F09">
              <w:t>L</w:t>
            </w:r>
            <w:r>
              <w:t>OAEL of 0.01 mg/kg for RBC inhibition</w:t>
            </w:r>
            <w:r w:rsidR="00D67893">
              <w:t xml:space="preserve"> without cholinergic effects</w:t>
            </w:r>
            <w:r>
              <w:t xml:space="preserve"> in humans</w:t>
            </w:r>
            <w:r w:rsidR="00D67893">
              <w:t xml:space="preserve"> and supported by the same endpoint in animals at a NOAEL of 0.025 mg/kg</w:t>
            </w:r>
            <w:r w:rsidR="00AC7A54">
              <w:t>/d</w:t>
            </w:r>
            <w:r w:rsidR="00D67893">
              <w:t>. The human LOAEL</w:t>
            </w:r>
            <w:r>
              <w:t xml:space="preserve"> is converted to an inhalational dose of 0.1 mg/m</w:t>
            </w:r>
            <w:r>
              <w:rPr>
                <w:vertAlign w:val="superscript"/>
              </w:rPr>
              <w:t>3</w:t>
            </w:r>
            <w:r>
              <w:t xml:space="preserve"> assuming a 70</w:t>
            </w:r>
            <w:r w:rsidR="00A32AE0">
              <w:t xml:space="preserve"> </w:t>
            </w:r>
            <w:r>
              <w:t xml:space="preserve">kg worker </w:t>
            </w:r>
            <w:r w:rsidR="00D67893">
              <w:t>with a respiratory volume of 10 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 during an 8</w:t>
            </w:r>
            <w:r w:rsidR="00A32AE0">
              <w:t xml:space="preserve"> </w:t>
            </w:r>
            <w:r>
              <w:t>h shift</w:t>
            </w:r>
            <w:r w:rsidR="00D67893">
              <w:t>; a TLV-TWA of 0.01 mg/m</w:t>
            </w:r>
            <w:r w:rsidR="00D67893">
              <w:rPr>
                <w:vertAlign w:val="superscript"/>
              </w:rPr>
              <w:t>3</w:t>
            </w:r>
            <w:r w:rsidR="00D67893">
              <w:t xml:space="preserve"> is therefore considered protective.</w:t>
            </w:r>
          </w:p>
          <w:p w14:paraId="40E7841C" w14:textId="0557F717" w:rsidR="009E4FAA" w:rsidRDefault="009E4FAA">
            <w:pPr>
              <w:pStyle w:val="Tabletextprimarysource"/>
            </w:pPr>
            <w:r>
              <w:t>Human data:</w:t>
            </w:r>
          </w:p>
          <w:p w14:paraId="1AAEE52E" w14:textId="48E28EA9" w:rsidR="009E4FAA" w:rsidRDefault="0035707C" w:rsidP="00BA74B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O</w:t>
            </w:r>
            <w:r w:rsidR="009933C3">
              <w:t>ccupational exposure of 2 workers at 0.1 mg/kg from spray applications caused</w:t>
            </w:r>
            <w:r>
              <w:t xml:space="preserve"> severe</w:t>
            </w:r>
            <w:r w:rsidR="009933C3">
              <w:t xml:space="preserve"> </w:t>
            </w:r>
            <w:r>
              <w:t xml:space="preserve">reduction in RBC cholinesterase activity, </w:t>
            </w:r>
            <w:r w:rsidR="00985257">
              <w:t>weakness, fasciculation</w:t>
            </w:r>
            <w:r w:rsidR="009933C3">
              <w:t xml:space="preserve"> and blurred vision</w:t>
            </w:r>
          </w:p>
          <w:p w14:paraId="77396A61" w14:textId="7C6CF396" w:rsidR="0035707C" w:rsidRDefault="00231074" w:rsidP="00BA74B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Several cases of </w:t>
            </w:r>
            <w:r w:rsidR="0035707C">
              <w:t>poisoning following dermal contact from contaminated clothing</w:t>
            </w:r>
          </w:p>
          <w:p w14:paraId="1B2EC6CD" w14:textId="061C2CC4" w:rsidR="00A50EB6" w:rsidRDefault="009A2F09" w:rsidP="00BA74B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No cholinergic effects reported in any v</w:t>
            </w:r>
            <w:r w:rsidR="00A50EB6">
              <w:t>olunteer</w:t>
            </w:r>
            <w:r>
              <w:t>s of</w:t>
            </w:r>
            <w:r w:rsidR="00A50EB6">
              <w:t xml:space="preserve"> repeat oral dose study (n=5, 30 d)</w:t>
            </w:r>
            <w:r w:rsidR="00AC31B3">
              <w:t>:</w:t>
            </w:r>
          </w:p>
          <w:p w14:paraId="7AA6741C" w14:textId="24493BD2" w:rsidR="0035707C" w:rsidRDefault="00A50EB6" w:rsidP="00BA74B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LOAEL: 0.015 mg/kg/d for</w:t>
            </w:r>
            <w:r w:rsidR="009A2F09">
              <w:t xml:space="preserve"> 17%</w:t>
            </w:r>
            <w:r>
              <w:t xml:space="preserve"> RBC cho</w:t>
            </w:r>
            <w:r w:rsidR="009A2F09">
              <w:t xml:space="preserve">linesterase inhibition </w:t>
            </w:r>
            <w:r>
              <w:t>in 2/5 volunteers</w:t>
            </w:r>
          </w:p>
          <w:p w14:paraId="560F326E" w14:textId="3A7AA6F6" w:rsidR="009A2F09" w:rsidRDefault="00A50EB6" w:rsidP="00BA74B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0.04 mg/kg/d (highest tested dose) caused 17–34% inhibition in 5/5 volunteers</w:t>
            </w:r>
          </w:p>
          <w:p w14:paraId="0E640ECD" w14:textId="3687D644" w:rsidR="009A2F09" w:rsidRDefault="00D1666A" w:rsidP="00BA74B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s</w:t>
            </w:r>
            <w:r w:rsidR="009A2F09">
              <w:t>imilar results in related study (n=8, 28 d); 19% RBC and 13% plasma cholinesterase inhibition at 0.025 mg/kg/d without cholinergic effects, but decreased nerve conduction velocity and reflex force reported</w:t>
            </w:r>
            <w:r w:rsidR="00A32AE0">
              <w:t>.</w:t>
            </w:r>
          </w:p>
          <w:p w14:paraId="1F41C310" w14:textId="0D014225" w:rsidR="009E4FAA" w:rsidRDefault="009E4FAA" w:rsidP="00A32AE0">
            <w:pPr>
              <w:pStyle w:val="Tabletextprimarysource"/>
            </w:pPr>
            <w:r>
              <w:t>Animal data:</w:t>
            </w:r>
          </w:p>
          <w:p w14:paraId="0453449C" w14:textId="633B5094" w:rsidR="009E4FAA" w:rsidRDefault="00F26746" w:rsidP="00A961EC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3.4–6.1 mg/kg (rats)</w:t>
            </w:r>
            <w:r w:rsidR="00FD2122">
              <w:t xml:space="preserve">, </w:t>
            </w:r>
            <w:r w:rsidR="001C5257">
              <w:t>ip</w:t>
            </w:r>
            <w:r w:rsidR="00FD2122">
              <w:t xml:space="preserve"> LD</w:t>
            </w:r>
            <w:r w:rsidR="00FD2122">
              <w:rPr>
                <w:vertAlign w:val="subscript"/>
              </w:rPr>
              <w:t>50</w:t>
            </w:r>
            <w:r w:rsidR="00FD2122">
              <w:t>: 1.5 mg/kg (rats); difference suggests first-pass liver detoxification; inhalational doses therefore expected to be more toxic than oral doses</w:t>
            </w:r>
          </w:p>
          <w:p w14:paraId="17EEDE27" w14:textId="38A43AB6" w:rsidR="00FD2122" w:rsidRDefault="00FD2122" w:rsidP="00A961EC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4.2–4.7 mg/kg (rats), 33.8 mg/kg (rabbits)</w:t>
            </w:r>
          </w:p>
          <w:p w14:paraId="0F6D32EF" w14:textId="2EE6596B" w:rsidR="00FD2122" w:rsidRDefault="00FD2122" w:rsidP="00A961E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9.8 mg/m</w:t>
            </w:r>
            <w:r>
              <w:rPr>
                <w:vertAlign w:val="superscript"/>
              </w:rPr>
              <w:t>3</w:t>
            </w:r>
            <w:r>
              <w:t xml:space="preserve"> and 73.6–92 mg/m</w:t>
            </w:r>
            <w:r>
              <w:rPr>
                <w:vertAlign w:val="superscript"/>
              </w:rPr>
              <w:t>3</w:t>
            </w:r>
            <w:r>
              <w:t xml:space="preserve"> (rats, 1 h)</w:t>
            </w:r>
          </w:p>
          <w:p w14:paraId="56011D56" w14:textId="12073187" w:rsidR="00FD2122" w:rsidRDefault="009B6008" w:rsidP="00A961EC">
            <w:pPr>
              <w:pStyle w:val="Tabletextprimarysource"/>
              <w:numPr>
                <w:ilvl w:val="0"/>
                <w:numId w:val="1"/>
              </w:numPr>
            </w:pPr>
            <w:r>
              <w:t>No cumulative effects in repeat IP injection study at 10–50% LD</w:t>
            </w:r>
            <w:r>
              <w:rPr>
                <w:vertAlign w:val="subscript"/>
              </w:rPr>
              <w:t>50</w:t>
            </w:r>
            <w:r>
              <w:t xml:space="preserve"> (rats, 5 d/wk, 17–22 d)</w:t>
            </w:r>
          </w:p>
          <w:p w14:paraId="3903CCC1" w14:textId="2A355271" w:rsidR="009933C3" w:rsidRDefault="009933C3" w:rsidP="00A961EC">
            <w:pPr>
              <w:pStyle w:val="Tabletextprimarysource"/>
              <w:numPr>
                <w:ilvl w:val="0"/>
                <w:numId w:val="1"/>
              </w:numPr>
            </w:pPr>
            <w:r>
              <w:t>94% of oral dose and 16.8% of dermal dose absorbed (rats); oral dose excreted in urine (18%) and exhaled air (76%)</w:t>
            </w:r>
          </w:p>
          <w:p w14:paraId="3B3735C3" w14:textId="7F56467E" w:rsidR="00EA7BBE" w:rsidRDefault="00EC5C10" w:rsidP="00A961EC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AC7A54">
              <w:t>-</w:t>
            </w:r>
            <w:r>
              <w:t>chronic feeding study</w:t>
            </w:r>
            <w:r w:rsidR="00EA7BBE">
              <w:t xml:space="preserve"> (rats, 13–18 wk)</w:t>
            </w:r>
            <w:r>
              <w:t xml:space="preserve"> with treatment range 0.02–16 mg/kg/d and</w:t>
            </w:r>
            <w:r w:rsidR="00EA7BBE">
              <w:t xml:space="preserve"> one group fed</w:t>
            </w:r>
            <w:r>
              <w:t xml:space="preserve"> </w:t>
            </w:r>
            <w:r w:rsidR="00457395">
              <w:t>12 mg/kg/d (5 wk), 24 mg/kg/d</w:t>
            </w:r>
            <w:r w:rsidR="00EA7BBE">
              <w:t xml:space="preserve"> (2 wk), 32 mg/kg/d (6 wk) reported</w:t>
            </w:r>
            <w:r w:rsidR="00AC31B3">
              <w:t>:</w:t>
            </w:r>
          </w:p>
          <w:p w14:paraId="5BE9242D" w14:textId="362DB09B" w:rsidR="00EA7BBE" w:rsidRDefault="00EA7BBE" w:rsidP="00BA74B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0.4 mg/kg/d </w:t>
            </w:r>
            <w:r w:rsidR="00B45244">
              <w:t>RBC cholinesterase ac</w:t>
            </w:r>
            <w:r w:rsidR="00985257">
              <w:t>tivity progressively reduced &gt;2 </w:t>
            </w:r>
            <w:r w:rsidR="00B45244">
              <w:t>mg/kg</w:t>
            </w:r>
          </w:p>
          <w:p w14:paraId="454C56FB" w14:textId="22659E18" w:rsidR="00EA7BBE" w:rsidRDefault="00EA7BBE" w:rsidP="00BA74B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LOAEL: 2 mg/kg/d, </w:t>
            </w:r>
            <w:r w:rsidR="00B45244" w:rsidRPr="00B45244">
              <w:t>for cholinergic effects (tremors, ataxia, increased respiration)</w:t>
            </w:r>
          </w:p>
          <w:p w14:paraId="220578CD" w14:textId="2BDB5EE3" w:rsidR="00EA7BBE" w:rsidRDefault="00457395" w:rsidP="00A961EC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AC7A54">
              <w:t>-</w:t>
            </w:r>
            <w:r>
              <w:t xml:space="preserve">chronic feeding study with treatment range 0.0075–5 mg/kg/d (dogs, </w:t>
            </w:r>
            <w:r w:rsidR="00E84EAB">
              <w:t>14 wk)</w:t>
            </w:r>
            <w:r w:rsidR="00AC31B3">
              <w:t>:</w:t>
            </w:r>
          </w:p>
          <w:p w14:paraId="28A332B0" w14:textId="7C039DC5" w:rsidR="00E84EAB" w:rsidRDefault="000266D3" w:rsidP="00BA74B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0.025 mg/kg/d for RBC cholinesterase inhibition</w:t>
            </w:r>
          </w:p>
          <w:p w14:paraId="31C8893A" w14:textId="270EBFDB" w:rsidR="000266D3" w:rsidRDefault="000266D3" w:rsidP="00BA74B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LOAEL: 1.88 mg/kg/d for cholinergic symptoms</w:t>
            </w:r>
          </w:p>
          <w:p w14:paraId="758EA98F" w14:textId="285AB3DD" w:rsidR="000266D3" w:rsidRDefault="000266D3" w:rsidP="00A961EC">
            <w:pPr>
              <w:pStyle w:val="Tabletextprimarysource"/>
              <w:numPr>
                <w:ilvl w:val="0"/>
                <w:numId w:val="1"/>
              </w:numPr>
            </w:pPr>
            <w:r>
              <w:t>Unpublished data</w:t>
            </w:r>
            <w:r w:rsidR="008E6C22">
              <w:t xml:space="preserve"> from repeat oral dose studies</w:t>
            </w:r>
            <w:r w:rsidR="00796693">
              <w:t xml:space="preserve"> (frequency/durations not specified)</w:t>
            </w:r>
            <w:r>
              <w:t xml:space="preserve"> reported </w:t>
            </w:r>
            <w:r w:rsidR="008E6C22">
              <w:t xml:space="preserve">NOEL: 0.025 mg/kg for vomiting (dogs), </w:t>
            </w:r>
            <w:r>
              <w:t>NOEL: 0.05 mg/kg for nasal/oral discharges (rats</w:t>
            </w:r>
            <w:r w:rsidR="00796693">
              <w:t>) and diarrhea (rabbits), NOEL: </w:t>
            </w:r>
            <w:r>
              <w:t>0.1 mg/kg for tremors</w:t>
            </w:r>
            <w:r w:rsidR="008E6C22">
              <w:t xml:space="preserve"> (rats)</w:t>
            </w:r>
          </w:p>
          <w:p w14:paraId="1422EF21" w14:textId="19D401E9" w:rsidR="00796693" w:rsidRDefault="00796693" w:rsidP="00985257">
            <w:pPr>
              <w:pStyle w:val="Tabletextprimarysource"/>
              <w:keepNext/>
              <w:numPr>
                <w:ilvl w:val="0"/>
                <w:numId w:val="1"/>
              </w:numPr>
              <w:ind w:hanging="357"/>
            </w:pPr>
            <w:r>
              <w:lastRenderedPageBreak/>
              <w:t xml:space="preserve">Unpublished chronic feeding studies </w:t>
            </w:r>
            <w:r w:rsidR="00A90F1A">
              <w:t>showed comparable endpoints to sub</w:t>
            </w:r>
            <w:r w:rsidR="00AC7A54">
              <w:t>-</w:t>
            </w:r>
            <w:r w:rsidR="00A90F1A">
              <w:t>chronic feeding studies and no evidence of carcinogenic activity</w:t>
            </w:r>
            <w:r w:rsidR="00AC31B3">
              <w:t>:</w:t>
            </w:r>
          </w:p>
          <w:p w14:paraId="090170E6" w14:textId="7559FA25" w:rsidR="00A90F1A" w:rsidRDefault="00A90F1A" w:rsidP="00BA74BA">
            <w:pPr>
              <w:pStyle w:val="Tabletextprimarysource"/>
              <w:keepNext/>
              <w:numPr>
                <w:ilvl w:val="1"/>
                <w:numId w:val="1"/>
              </w:numPr>
              <w:ind w:left="1094" w:hanging="357"/>
            </w:pPr>
            <w:r>
              <w:t>NO</w:t>
            </w:r>
            <w:r w:rsidR="00AC7A54">
              <w:t>A</w:t>
            </w:r>
            <w:r>
              <w:t>EL: 0.025 mg/kg/d for RBC cholinesterase inhibition (dogs, no further details)</w:t>
            </w:r>
          </w:p>
          <w:p w14:paraId="37C74A34" w14:textId="456E3AB6" w:rsidR="00A90F1A" w:rsidRDefault="00A90F1A" w:rsidP="00BA74B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</w:t>
            </w:r>
            <w:r w:rsidR="00AC7A54">
              <w:t>A</w:t>
            </w:r>
            <w:r>
              <w:t>EL: 0.025 mg/kg/d for plasma and brain cholinesterase inhibition (rats, 1 yr); LOAEL: 0.35 mg/kg/d; same NO</w:t>
            </w:r>
            <w:r w:rsidR="00AC7A54">
              <w:t>A</w:t>
            </w:r>
            <w:r>
              <w:t>EL for 2</w:t>
            </w:r>
            <w:r w:rsidR="00A32AE0">
              <w:t xml:space="preserve"> </w:t>
            </w:r>
            <w:r>
              <w:t>yr exposure</w:t>
            </w:r>
          </w:p>
          <w:p w14:paraId="7A14C260" w14:textId="0FAA8152" w:rsidR="009933C3" w:rsidRDefault="00A90F1A" w:rsidP="0098525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Mutagenic </w:t>
            </w:r>
            <w:r w:rsidRPr="009933C3">
              <w:rPr>
                <w:i/>
              </w:rPr>
              <w:t>in vitro</w:t>
            </w:r>
            <w:r>
              <w:t xml:space="preserve"> in bacteria and Chinese hamster ovary (CHO) cells; increased sister chromatid exchange reported in CHO cells, but not u</w:t>
            </w:r>
            <w:r w:rsidR="009933C3">
              <w:t>nscheduled DNA synthesis</w:t>
            </w:r>
            <w:r w:rsidR="00A32AE0">
              <w:t>.</w:t>
            </w:r>
          </w:p>
          <w:p w14:paraId="4108FA74" w14:textId="77777777" w:rsidR="00AC31B3" w:rsidRDefault="00AC31B3" w:rsidP="00985257">
            <w:pPr>
              <w:pStyle w:val="Tabletextprimarysource"/>
            </w:pPr>
          </w:p>
          <w:p w14:paraId="099A0560" w14:textId="1A7CCE74" w:rsidR="009E4FAA" w:rsidRDefault="009E4FAA" w:rsidP="00985257">
            <w:pPr>
              <w:pStyle w:val="Tabletextprimarysource"/>
            </w:pPr>
            <w:r>
              <w:t>Insufficient data available to assign a TLV-STEL or sensitisation notation.</w:t>
            </w:r>
          </w:p>
          <w:p w14:paraId="22C6AF0C" w14:textId="2509F21D" w:rsidR="00563DE8" w:rsidRPr="009E4FAA" w:rsidRDefault="00563DE8" w:rsidP="00985257">
            <w:pPr>
              <w:pStyle w:val="Tabletextprimarysource"/>
            </w:pPr>
          </w:p>
        </w:tc>
      </w:tr>
      <w:tr w:rsidR="00C978F0" w:rsidRPr="00DA352E" w14:paraId="0070E3FC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266EB70B" w14:textId="5DD7302C" w:rsidR="00C978F0" w:rsidRPr="00DA352E" w:rsidRDefault="00DA352E" w:rsidP="0098525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C4193">
                  <w:t>19</w:t>
                </w:r>
                <w:r w:rsidR="00EC5C10">
                  <w:t>61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C3797">
                  <w:t>MAK: 0.01 ppm (0.093 mg/m</w:t>
                </w:r>
                <w:r w:rsidR="005C3797" w:rsidRPr="005C3797">
                  <w:rPr>
                    <w:vertAlign w:val="superscript"/>
                  </w:rPr>
                  <w:t>3</w:t>
                </w:r>
                <w:r w:rsidR="005C3797">
                  <w:t>)</w:t>
                </w:r>
              </w:sdtContent>
            </w:sdt>
          </w:p>
        </w:tc>
      </w:tr>
      <w:tr w:rsidR="00C978F0" w:rsidRPr="00DA352E" w14:paraId="097F5440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1EF3B5E4" w14:textId="77777777" w:rsidR="00F1513B" w:rsidRDefault="00F1513B" w:rsidP="00A32AE0">
            <w:pPr>
              <w:pStyle w:val="Tabletextprimarysource"/>
            </w:pPr>
            <w:r>
              <w:t>Summary of additional information:</w:t>
            </w:r>
          </w:p>
          <w:p w14:paraId="12AE87C2" w14:textId="779F737E" w:rsidR="004B5177" w:rsidRDefault="00AD0326" w:rsidP="00A32AE0">
            <w:pPr>
              <w:pStyle w:val="Tabletextprimarysource"/>
            </w:pPr>
            <w:r>
              <w:t xml:space="preserve">Previous </w:t>
            </w:r>
            <w:r w:rsidR="004B5177">
              <w:t xml:space="preserve">(1972) </w:t>
            </w:r>
            <w:r w:rsidR="000C1B53">
              <w:t xml:space="preserve">MAK of 0.01 ppm </w:t>
            </w:r>
            <w:r>
              <w:t>retained based on volunteer oral intake study with</w:t>
            </w:r>
            <w:r w:rsidR="004B5177">
              <w:t xml:space="preserve"> a NOAEL of 0.015 mg/kg/d (also cited </w:t>
            </w:r>
            <w:r w:rsidR="0080011F">
              <w:t>in</w:t>
            </w:r>
            <w:r w:rsidR="004B5177">
              <w:t xml:space="preserve"> ACGIH, 2018), which equates</w:t>
            </w:r>
            <w:r w:rsidR="000610DA">
              <w:t xml:space="preserve"> to an inhalational dose of 0.1 </w:t>
            </w:r>
            <w:r w:rsidR="004B5177">
              <w:t>mg/m</w:t>
            </w:r>
            <w:r w:rsidR="004B5177">
              <w:rPr>
                <w:vertAlign w:val="superscript"/>
              </w:rPr>
              <w:t>3</w:t>
            </w:r>
            <w:r w:rsidR="004B5177">
              <w:t xml:space="preserve"> (0.01 ppm) </w:t>
            </w:r>
            <w:r w:rsidR="00BA4D62">
              <w:t xml:space="preserve">following conversion (not discussed) </w:t>
            </w:r>
            <w:r w:rsidR="004B5177">
              <w:t xml:space="preserve">and is equal to the current MAK. </w:t>
            </w:r>
          </w:p>
          <w:p w14:paraId="5FBFABA8" w14:textId="1C0F514C" w:rsidR="00F1513B" w:rsidRDefault="004B5177">
            <w:pPr>
              <w:pStyle w:val="Tabletextprimarysource"/>
            </w:pPr>
            <w:r>
              <w:t xml:space="preserve">Previous evaluation did </w:t>
            </w:r>
            <w:r w:rsidR="00F1513B">
              <w:t xml:space="preserve">not </w:t>
            </w:r>
            <w:r>
              <w:t>consider MAK</w:t>
            </w:r>
            <w:r w:rsidR="00F1513B">
              <w:t xml:space="preserve"> a threshold limit for cholinergic toxicity due to the lack of inhalational exposure data. The MAK </w:t>
            </w:r>
            <w:r>
              <w:t>was</w:t>
            </w:r>
            <w:r w:rsidR="00F1513B">
              <w:t xml:space="preserve"> therefore </w:t>
            </w:r>
            <w:r>
              <w:t xml:space="preserve">previously based on human and animal oral exposure data </w:t>
            </w:r>
            <w:r w:rsidR="00F1513B">
              <w:t>with a large uncertainty factor (not discussed). Skin notation warranted based on several cases of poisoning via dermal contact.</w:t>
            </w:r>
          </w:p>
          <w:p w14:paraId="7985260C" w14:textId="2A847014" w:rsidR="007C7196" w:rsidRDefault="007C7196">
            <w:pPr>
              <w:pStyle w:val="Tabletextprimarysource"/>
            </w:pPr>
            <w:r>
              <w:t>Human data:</w:t>
            </w:r>
          </w:p>
          <w:p w14:paraId="35CC76C0" w14:textId="7A5ADEEE" w:rsidR="007C7196" w:rsidRDefault="007C7196" w:rsidP="00BA74BA">
            <w:pPr>
              <w:pStyle w:val="Tabletextprimarysource"/>
              <w:numPr>
                <w:ilvl w:val="0"/>
                <w:numId w:val="1"/>
              </w:numPr>
              <w:ind w:left="737"/>
            </w:pPr>
            <w:r>
              <w:t>Of 911 cases of pesticide poisonings in workers, 29 due to Mevinphos, follow-up investigations of the poisoned workers do not indicate delayed adverse effects</w:t>
            </w:r>
          </w:p>
          <w:p w14:paraId="73032121" w14:textId="77777777" w:rsidR="00D1666A" w:rsidRDefault="00AD0326" w:rsidP="00BA74BA">
            <w:pPr>
              <w:pStyle w:val="Tabletextprimarysource"/>
              <w:numPr>
                <w:ilvl w:val="0"/>
                <w:numId w:val="1"/>
              </w:numPr>
              <w:ind w:left="737"/>
            </w:pPr>
            <w:r>
              <w:t xml:space="preserve">Low RBC cholinesterase inhibition (not specified) in workers exposed at </w:t>
            </w:r>
          </w:p>
          <w:p w14:paraId="0421971C" w14:textId="4CD719BC" w:rsidR="007C7196" w:rsidRDefault="00AD0326" w:rsidP="00BA74BA">
            <w:pPr>
              <w:pStyle w:val="Tabletextprimarysource"/>
              <w:ind w:left="737"/>
            </w:pPr>
            <w:r>
              <w:t>0.013–0.029 mg/m</w:t>
            </w:r>
            <w:r>
              <w:rPr>
                <w:vertAlign w:val="superscript"/>
              </w:rPr>
              <w:t>3</w:t>
            </w:r>
            <w:r>
              <w:t xml:space="preserve"> (duration not specified) during hops production</w:t>
            </w:r>
          </w:p>
          <w:p w14:paraId="063F4519" w14:textId="1433C59F" w:rsidR="001C5257" w:rsidRDefault="001C5257" w:rsidP="00BA74BA">
            <w:pPr>
              <w:pStyle w:val="Tabletextprimarysource"/>
              <w:numPr>
                <w:ilvl w:val="0"/>
                <w:numId w:val="1"/>
              </w:numPr>
              <w:ind w:left="737"/>
            </w:pPr>
            <w:r>
              <w:t xml:space="preserve">1 case of moderate intoxication from occupational exposure (concentration/duration not specified) reported peak concentration of dimethyl phosphate metabolite in urine of 0.4 mg/L after 12 h and was </w:t>
            </w:r>
            <w:r w:rsidR="004B5177">
              <w:t>eliminated</w:t>
            </w:r>
            <w:r>
              <w:t xml:space="preserve"> within 50 h</w:t>
            </w:r>
          </w:p>
          <w:p w14:paraId="791BEF31" w14:textId="488F57FC" w:rsidR="001C5257" w:rsidRDefault="001C5257" w:rsidP="00BA74BA">
            <w:pPr>
              <w:pStyle w:val="Tabletextprimarysource"/>
              <w:numPr>
                <w:ilvl w:val="0"/>
                <w:numId w:val="1"/>
              </w:numPr>
              <w:ind w:left="737"/>
            </w:pPr>
            <w:r>
              <w:t>LOAEL of 0.015 mg/kg/d for RBC cholinesterase inhibitio</w:t>
            </w:r>
            <w:r w:rsidR="000610DA">
              <w:t>n from volunteer study (n=5, 30 </w:t>
            </w:r>
            <w:r>
              <w:t>d, also cited in ACGIH, 2018) considered a NOAEL; 0.02–0.03 mg/kg caused 20% RBC cholinesterase inhibition in all volunteers and is considered the LOAEL by the agency</w:t>
            </w:r>
            <w:r w:rsidR="00A32AE0">
              <w:t>.</w:t>
            </w:r>
          </w:p>
          <w:p w14:paraId="679DFA43" w14:textId="77777777" w:rsidR="007C7196" w:rsidRDefault="007C7196">
            <w:pPr>
              <w:pStyle w:val="Tabletextprimarysource"/>
            </w:pPr>
            <w:r>
              <w:t>Animal data:</w:t>
            </w:r>
          </w:p>
          <w:p w14:paraId="2BD5D3C5" w14:textId="77777777" w:rsidR="007C7196" w:rsidRDefault="007C7196">
            <w:pPr>
              <w:pStyle w:val="Tabletextprimarysource"/>
              <w:numPr>
                <w:ilvl w:val="0"/>
                <w:numId w:val="1"/>
              </w:numPr>
            </w:pPr>
            <w:r>
              <w:t>Induction of liver microsomal enzymes reduced acute toxicity (mice, rats)</w:t>
            </w:r>
          </w:p>
          <w:p w14:paraId="3A7E7D18" w14:textId="74872BEF" w:rsidR="004B5177" w:rsidRDefault="004B5177">
            <w:pPr>
              <w:pStyle w:val="Tabletextprimarysource"/>
              <w:numPr>
                <w:ilvl w:val="0"/>
                <w:numId w:val="1"/>
              </w:numPr>
            </w:pPr>
            <w:r>
              <w:t>Non-specific liver</w:t>
            </w:r>
            <w:r w:rsidR="0080011F">
              <w:t xml:space="preserve"> and kidney degeneration in sub</w:t>
            </w:r>
            <w:r w:rsidR="006845C6">
              <w:t>-</w:t>
            </w:r>
            <w:r w:rsidR="0080011F">
              <w:t>chronic feeding study at 2 mg/kg/d (rats, 13 wk, also cited in ACGIH, 2018)</w:t>
            </w:r>
            <w:r w:rsidR="00A32AE0">
              <w:t>.</w:t>
            </w:r>
          </w:p>
          <w:p w14:paraId="05E6FCDD" w14:textId="112E5BA5" w:rsidR="00563DE8" w:rsidRPr="00DA352E" w:rsidRDefault="00563DE8" w:rsidP="00211370">
            <w:pPr>
              <w:pStyle w:val="Tabletextprimarysource"/>
              <w:ind w:left="720"/>
            </w:pPr>
          </w:p>
        </w:tc>
      </w:tr>
      <w:tr w:rsidR="00C978F0" w:rsidRPr="00DA352E" w14:paraId="6355A806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74CFCF6E" w14:textId="4AE9DA5F" w:rsidR="00C978F0" w:rsidRPr="00DA352E" w:rsidRDefault="00DA352E" w:rsidP="0098525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C379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C3797">
                  <w:t>NA</w:t>
                </w:r>
              </w:sdtContent>
            </w:sdt>
          </w:p>
        </w:tc>
      </w:tr>
      <w:tr w:rsidR="00C978F0" w:rsidRPr="00DA352E" w14:paraId="1113C89B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681BE457" w14:textId="20DEDDDC" w:rsidR="00C978F0" w:rsidRPr="00DA352E" w:rsidRDefault="005C3797" w:rsidP="00A32AE0">
            <w:pPr>
              <w:pStyle w:val="Tabletextprimarysource"/>
            </w:pPr>
            <w:r>
              <w:t>No report</w:t>
            </w:r>
            <w:r w:rsidR="00A32AE0">
              <w:t>.</w:t>
            </w:r>
          </w:p>
        </w:tc>
      </w:tr>
      <w:tr w:rsidR="00DA352E" w:rsidRPr="00DA352E" w14:paraId="09C97859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3F03A478" w14:textId="54BD48D7" w:rsidR="00DA352E" w:rsidRPr="00DA352E" w:rsidRDefault="00DA352E" w:rsidP="0098525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C379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C3797">
                  <w:t>NA</w:t>
                </w:r>
              </w:sdtContent>
            </w:sdt>
          </w:p>
        </w:tc>
      </w:tr>
      <w:tr w:rsidR="00DA352E" w:rsidRPr="00DA352E" w14:paraId="455C9845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111A9F43" w14:textId="20F1F274" w:rsidR="00DA352E" w:rsidRPr="00DA352E" w:rsidRDefault="005C3797" w:rsidP="00A32AE0">
            <w:pPr>
              <w:pStyle w:val="Tabletextprimarysource"/>
            </w:pPr>
            <w:r>
              <w:t>No report</w:t>
            </w:r>
            <w:r w:rsidR="00A32AE0">
              <w:t>.</w:t>
            </w:r>
          </w:p>
        </w:tc>
      </w:tr>
      <w:tr w:rsidR="00DA352E" w:rsidRPr="00DA352E" w14:paraId="1B9675C0" w14:textId="77777777" w:rsidTr="00985257">
        <w:trPr>
          <w:gridAfter w:val="1"/>
          <w:wAfter w:w="33" w:type="pct"/>
        </w:trPr>
        <w:tc>
          <w:tcPr>
            <w:tcW w:w="4967" w:type="pct"/>
            <w:shd w:val="clear" w:color="auto" w:fill="F2F2F2" w:themeFill="background1" w:themeFillShade="F2"/>
          </w:tcPr>
          <w:p w14:paraId="0C4A5B1F" w14:textId="31485823" w:rsidR="00DA352E" w:rsidRPr="00DA352E" w:rsidRDefault="00DA352E" w:rsidP="0098525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C379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C3797">
                  <w:t>NA</w:t>
                </w:r>
              </w:sdtContent>
            </w:sdt>
          </w:p>
        </w:tc>
      </w:tr>
      <w:tr w:rsidR="00DA352E" w:rsidRPr="00DA352E" w14:paraId="2DF4E2D3" w14:textId="77777777" w:rsidTr="00985257">
        <w:trPr>
          <w:gridAfter w:val="1"/>
          <w:wAfter w:w="33" w:type="pct"/>
        </w:trPr>
        <w:tc>
          <w:tcPr>
            <w:tcW w:w="4967" w:type="pct"/>
          </w:tcPr>
          <w:p w14:paraId="76301725" w14:textId="7CEF0216" w:rsidR="00DA352E" w:rsidRPr="00DA352E" w:rsidRDefault="005C3797" w:rsidP="00A32AE0">
            <w:pPr>
              <w:pStyle w:val="Tabletextprimarysource"/>
            </w:pPr>
            <w:r>
              <w:t>No report</w:t>
            </w:r>
            <w:r w:rsidR="00A32AE0">
              <w:t>.</w:t>
            </w:r>
          </w:p>
        </w:tc>
      </w:tr>
    </w:tbl>
    <w:p w14:paraId="26AE803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EBA568E" w14:textId="77777777" w:rsidTr="00985257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F795D0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DF1AA7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B26169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7F3D538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7636B5D" w14:textId="77777777" w:rsidTr="00985257">
        <w:trPr>
          <w:cantSplit/>
        </w:trPr>
        <w:tc>
          <w:tcPr>
            <w:tcW w:w="1492" w:type="dxa"/>
          </w:tcPr>
          <w:p w14:paraId="5F3D11C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44DEED68" w14:textId="76EC4F1E" w:rsidR="004966BF" w:rsidRPr="00CE617F" w:rsidRDefault="006B0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C7196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374695E2" w14:textId="490FABE6" w:rsidR="004966BF" w:rsidRPr="004C23F4" w:rsidRDefault="007C719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29F0D68B" w14:textId="7DCF1BF8" w:rsidR="004966BF" w:rsidRPr="004C23F4" w:rsidRDefault="007C7196" w:rsidP="00BA74BA">
            <w:pPr>
              <w:pStyle w:val="Tablefont"/>
              <w:numPr>
                <w:ilvl w:val="0"/>
                <w:numId w:val="3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agricultural uses not assessed</w:t>
            </w:r>
            <w:r w:rsidR="00AC31B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25A00AF" w14:textId="77777777" w:rsidTr="00985257">
        <w:trPr>
          <w:cantSplit/>
        </w:trPr>
        <w:tc>
          <w:tcPr>
            <w:tcW w:w="1492" w:type="dxa"/>
          </w:tcPr>
          <w:p w14:paraId="13B30E22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731E054" w14:textId="315E97A0" w:rsidR="004966BF" w:rsidRDefault="006B0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E339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F77D646" w14:textId="2921090D" w:rsidR="004966BF" w:rsidRPr="004C23F4" w:rsidRDefault="006E339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1" w:type="dxa"/>
          </w:tcPr>
          <w:p w14:paraId="7AE1BC22" w14:textId="2F9E122F" w:rsidR="00B96C18" w:rsidRDefault="00B96C18" w:rsidP="00211370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Skin permeation coefficient (k</w:t>
            </w:r>
            <w:r w:rsidRPr="00B96C18">
              <w:rPr>
                <w:rFonts w:cs="Arial"/>
                <w:vertAlign w:val="subscript"/>
              </w:rPr>
              <w:t>p</w:t>
            </w:r>
            <w:r>
              <w:rPr>
                <w:rFonts w:cs="Arial"/>
              </w:rPr>
              <w:t>): 0.0001 cm/h; water solubility (S</w:t>
            </w:r>
            <w:r>
              <w:rPr>
                <w:rFonts w:cs="Arial"/>
                <w:vertAlign w:val="subscript"/>
              </w:rPr>
              <w:t>w</w:t>
            </w:r>
            <w:r>
              <w:rPr>
                <w:rFonts w:cs="Arial"/>
              </w:rPr>
              <w:t>): 600 mg/cm</w:t>
            </w:r>
            <w:r>
              <w:rPr>
                <w:rFonts w:cs="Arial"/>
                <w:vertAlign w:val="superscript"/>
              </w:rPr>
              <w:t>3</w:t>
            </w:r>
          </w:p>
          <w:p w14:paraId="23641A84" w14:textId="76889379" w:rsidR="004966BF" w:rsidRPr="004C23F4" w:rsidRDefault="00B96C18" w:rsidP="00211370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A</w:t>
            </w:r>
            <w:r w:rsidRPr="00B96C18">
              <w:rPr>
                <w:rFonts w:cs="Arial"/>
              </w:rPr>
              <w:t xml:space="preserve">vailable </w:t>
            </w:r>
            <w:r>
              <w:rPr>
                <w:rFonts w:cs="Arial"/>
              </w:rPr>
              <w:t>t</w:t>
            </w:r>
            <w:r w:rsidRPr="00B96C18">
              <w:rPr>
                <w:rFonts w:cs="Arial"/>
              </w:rPr>
              <w:t xml:space="preserve">oxicokinetic data </w:t>
            </w:r>
            <w:r>
              <w:rPr>
                <w:rFonts w:cs="Arial"/>
              </w:rPr>
              <w:t>indicate potential for dermal absorption and systemic availability at acutely/fatally toxic levels in animals causing cholinesterase inhibition</w:t>
            </w:r>
            <w:r w:rsidR="00AC31B3">
              <w:rPr>
                <w:rFonts w:cs="Arial"/>
              </w:rPr>
              <w:t>.</w:t>
            </w:r>
          </w:p>
        </w:tc>
      </w:tr>
    </w:tbl>
    <w:bookmarkEnd w:id="0"/>
    <w:p w14:paraId="627C7C2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266B6CC" w14:textId="77777777" w:rsidTr="00B96C18">
        <w:trPr>
          <w:trHeight w:val="454"/>
          <w:tblHeader/>
        </w:trPr>
        <w:tc>
          <w:tcPr>
            <w:tcW w:w="6597" w:type="dxa"/>
            <w:vAlign w:val="center"/>
          </w:tcPr>
          <w:p w14:paraId="5CB352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67E9D55" w14:textId="4F9FC85E" w:rsidR="002E0D61" w:rsidRDefault="00B96C1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B6E98A5" w14:textId="77777777" w:rsidTr="00B96C18">
        <w:trPr>
          <w:trHeight w:val="454"/>
        </w:trPr>
        <w:tc>
          <w:tcPr>
            <w:tcW w:w="6597" w:type="dxa"/>
            <w:vAlign w:val="center"/>
          </w:tcPr>
          <w:p w14:paraId="597F7FA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B5232AC" w14:textId="68E12375" w:rsidR="008A36CF" w:rsidRDefault="00B96C1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93030A9" w14:textId="77777777" w:rsidTr="00B96C1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CE2D992" w14:textId="711C8078" w:rsidR="008A36CF" w:rsidRPr="006901A2" w:rsidRDefault="00B96C1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5C1719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3A486A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6DBD19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9CE42A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8E0E5C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58DE0B" w14:textId="77777777" w:rsidTr="00812887">
        <w:trPr>
          <w:cantSplit/>
        </w:trPr>
        <w:tc>
          <w:tcPr>
            <w:tcW w:w="3227" w:type="dxa"/>
          </w:tcPr>
          <w:p w14:paraId="2A0486F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AB99369" w14:textId="287BE43F" w:rsidR="00687890" w:rsidRPr="00DD2F9B" w:rsidRDefault="005C3797" w:rsidP="00DD2F9B">
            <w:pPr>
              <w:pStyle w:val="Tablefont"/>
            </w:pPr>
            <w:r w:rsidRPr="005C3797">
              <w:t>Skin</w:t>
            </w:r>
          </w:p>
        </w:tc>
      </w:tr>
      <w:tr w:rsidR="007925F0" w:rsidRPr="004C23F4" w14:paraId="1B25A8C8" w14:textId="77777777" w:rsidTr="00812887">
        <w:trPr>
          <w:cantSplit/>
        </w:trPr>
        <w:tc>
          <w:tcPr>
            <w:tcW w:w="3227" w:type="dxa"/>
          </w:tcPr>
          <w:p w14:paraId="484AF6A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EE465E3" w14:textId="5E145422" w:rsidR="007925F0" w:rsidRPr="00DD2F9B" w:rsidRDefault="005C3797" w:rsidP="00DD2F9B">
            <w:pPr>
              <w:pStyle w:val="Tablefont"/>
            </w:pPr>
            <w:r w:rsidRPr="005C3797">
              <w:t>—</w:t>
            </w:r>
          </w:p>
        </w:tc>
      </w:tr>
      <w:tr w:rsidR="00AF483F" w:rsidRPr="004C23F4" w14:paraId="4AC8E6F4" w14:textId="77777777" w:rsidTr="00812887">
        <w:trPr>
          <w:cantSplit/>
        </w:trPr>
        <w:tc>
          <w:tcPr>
            <w:tcW w:w="3227" w:type="dxa"/>
          </w:tcPr>
          <w:p w14:paraId="0EC8C91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D829D0" w14:textId="1AE33F59" w:rsidR="00AF483F" w:rsidRPr="00DD2F9B" w:rsidRDefault="005C379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268DE49" w14:textId="77777777" w:rsidTr="00812887">
        <w:trPr>
          <w:cantSplit/>
        </w:trPr>
        <w:tc>
          <w:tcPr>
            <w:tcW w:w="3227" w:type="dxa"/>
          </w:tcPr>
          <w:p w14:paraId="1851090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7D49BC5" w14:textId="79E355B1" w:rsidR="00687890" w:rsidRPr="00DD2F9B" w:rsidRDefault="00B4524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523AE921" w14:textId="77777777" w:rsidTr="00812887">
        <w:trPr>
          <w:cantSplit/>
        </w:trPr>
        <w:tc>
          <w:tcPr>
            <w:tcW w:w="3227" w:type="dxa"/>
          </w:tcPr>
          <w:p w14:paraId="7C246AF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285468" w14:textId="12B21E3B" w:rsidR="00E41A26" w:rsidRPr="00DD2F9B" w:rsidRDefault="005C379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F95951" w14:textId="77777777" w:rsidTr="00812887">
        <w:trPr>
          <w:cantSplit/>
        </w:trPr>
        <w:tc>
          <w:tcPr>
            <w:tcW w:w="3227" w:type="dxa"/>
          </w:tcPr>
          <w:p w14:paraId="390E7E8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C194F04" w14:textId="05EB741C" w:rsidR="002E0D61" w:rsidRPr="00DD2F9B" w:rsidRDefault="005C3797" w:rsidP="00DD2F9B">
            <w:pPr>
              <w:pStyle w:val="Tablefont"/>
            </w:pPr>
            <w:r w:rsidRPr="005C3797">
              <w:t>Carcinogenicity – A4</w:t>
            </w:r>
            <w:r>
              <w:t>, Skin</w:t>
            </w:r>
          </w:p>
        </w:tc>
      </w:tr>
      <w:tr w:rsidR="002E0D61" w:rsidRPr="004C23F4" w14:paraId="0FCACD06" w14:textId="77777777" w:rsidTr="00812887">
        <w:trPr>
          <w:cantSplit/>
        </w:trPr>
        <w:tc>
          <w:tcPr>
            <w:tcW w:w="3227" w:type="dxa"/>
          </w:tcPr>
          <w:p w14:paraId="05E464D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5FDAC61" w14:textId="5BDA41D2" w:rsidR="002E0D61" w:rsidRPr="00DD2F9B" w:rsidRDefault="005C3797" w:rsidP="00DD2F9B">
            <w:pPr>
              <w:pStyle w:val="Tablefont"/>
            </w:pPr>
            <w:r w:rsidRPr="005C3797">
              <w:t>H (skin)</w:t>
            </w:r>
          </w:p>
        </w:tc>
      </w:tr>
      <w:tr w:rsidR="002E0D61" w:rsidRPr="004C23F4" w14:paraId="560FB61F" w14:textId="77777777" w:rsidTr="00812887">
        <w:trPr>
          <w:cantSplit/>
        </w:trPr>
        <w:tc>
          <w:tcPr>
            <w:tcW w:w="3227" w:type="dxa"/>
          </w:tcPr>
          <w:p w14:paraId="7228131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671C7EE" w14:textId="0EDED98E" w:rsidR="002E0D61" w:rsidRPr="00DD2F9B" w:rsidRDefault="005C379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BE2BFB" w14:textId="77777777" w:rsidTr="00812887">
        <w:trPr>
          <w:cantSplit/>
        </w:trPr>
        <w:tc>
          <w:tcPr>
            <w:tcW w:w="3227" w:type="dxa"/>
          </w:tcPr>
          <w:p w14:paraId="33CABA1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3522E12" w14:textId="5E4EC97D" w:rsidR="002E0D61" w:rsidRPr="00DD2F9B" w:rsidRDefault="005C379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303ED28" w14:textId="77777777" w:rsidTr="00812887">
        <w:trPr>
          <w:cantSplit/>
        </w:trPr>
        <w:tc>
          <w:tcPr>
            <w:tcW w:w="3227" w:type="dxa"/>
          </w:tcPr>
          <w:p w14:paraId="54A9DB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59B1BA" w14:textId="1FD6C957" w:rsidR="00386093" w:rsidRPr="00DD2F9B" w:rsidRDefault="005C379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5BAF44" w14:textId="77777777" w:rsidTr="00812887">
        <w:trPr>
          <w:cantSplit/>
        </w:trPr>
        <w:tc>
          <w:tcPr>
            <w:tcW w:w="3227" w:type="dxa"/>
          </w:tcPr>
          <w:p w14:paraId="78AE076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75EB53D" w14:textId="7817F59A" w:rsidR="00386093" w:rsidRPr="00DD2F9B" w:rsidRDefault="005C3797" w:rsidP="00D87570">
            <w:pPr>
              <w:pStyle w:val="Tablefont"/>
              <w:keepNext/>
            </w:pPr>
            <w:r w:rsidRPr="005C3797">
              <w:t>SK:SYS</w:t>
            </w:r>
          </w:p>
        </w:tc>
      </w:tr>
    </w:tbl>
    <w:bookmarkEnd w:id="2"/>
    <w:p w14:paraId="335F8FD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41DA6D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C23925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962C0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F7FE29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769" w:type="dxa"/>
              <w:tblLook w:val="04A0" w:firstRow="1" w:lastRow="0" w:firstColumn="1" w:lastColumn="0" w:noHBand="0" w:noVBand="1"/>
            </w:tblPr>
            <w:tblGrid>
              <w:gridCol w:w="3784"/>
              <w:gridCol w:w="1131"/>
              <w:gridCol w:w="1194"/>
              <w:gridCol w:w="2701"/>
            </w:tblGrid>
            <w:tr w:rsidR="00B45244" w:rsidRPr="00B45244" w14:paraId="23B39C8F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B55768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1E70C0C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C5E4F9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EE22A3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627AA8A7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89EF85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2B6856E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2984B4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D4F2FC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447EE17C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A4F94B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FC77EE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91BC74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F7838F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5819F6A5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9D3866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897F89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EACD8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9C0E6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1351CDC8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17EF88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4D1B35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19A22F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FCE80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1548ED3A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03DDC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561F058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4E4E7D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5E82D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45244" w:rsidRPr="00B45244" w14:paraId="5C9846C6" w14:textId="77777777" w:rsidTr="00B45244">
              <w:trPr>
                <w:trHeight w:val="231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18C9C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3BFB8A" w14:textId="77777777" w:rsidR="00B45244" w:rsidRPr="00B45244" w:rsidRDefault="00B45244" w:rsidP="00B4524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D9FD1" w14:textId="77777777" w:rsidR="00B45244" w:rsidRPr="00B45244" w:rsidRDefault="00B45244" w:rsidP="00B4524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0.6666667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590817" w14:textId="77777777" w:rsidR="00B45244" w:rsidRPr="00B45244" w:rsidRDefault="00B45244" w:rsidP="00B4524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4524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BB2A56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8249EF7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D9C1F0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FF3109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AD161A7" w14:textId="76B715B8" w:rsidR="00EB3D1B" w:rsidRDefault="005C379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95E535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278873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AEF7C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63A332" w14:textId="7F080ABE" w:rsidR="001B79E5" w:rsidRDefault="005C3797" w:rsidP="001B79E5">
                <w:pPr>
                  <w:pStyle w:val="Tablefont"/>
                </w:pPr>
                <w:r>
                  <w:t>224.15</w:t>
                </w:r>
              </w:p>
            </w:tc>
          </w:sdtContent>
        </w:sdt>
      </w:tr>
      <w:tr w:rsidR="00A31D99" w:rsidRPr="004C23F4" w14:paraId="0513398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E7F87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348D08" w14:textId="5A5F364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1513B">
                  <w:t>9.17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1343979461"/>
                    <w:placeholder>
                      <w:docPart w:val="E8DC47A6A06F4548A58487BCDA1B1AD4"/>
                    </w:placeholder>
                  </w:sdtPr>
                  <w:sdtEndPr/>
                  <w:sdtContent>
                    <w:r w:rsidR="00F1513B">
                      <w:t>0.11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54E0BF4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92F72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1FE6AA" w14:textId="751A063C" w:rsidR="00687890" w:rsidRPr="004C23F4" w:rsidRDefault="00B4524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564AEB8" w14:textId="77777777" w:rsidTr="00EA6243">
        <w:trPr>
          <w:cantSplit/>
        </w:trPr>
        <w:tc>
          <w:tcPr>
            <w:tcW w:w="4077" w:type="dxa"/>
            <w:vAlign w:val="center"/>
          </w:tcPr>
          <w:p w14:paraId="4D16F77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521311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A729973" w14:textId="77777777" w:rsidTr="00EA6243">
        <w:trPr>
          <w:cantSplit/>
        </w:trPr>
        <w:tc>
          <w:tcPr>
            <w:tcW w:w="4077" w:type="dxa"/>
            <w:vAlign w:val="center"/>
          </w:tcPr>
          <w:p w14:paraId="628FBC9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43788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3F682A4" w14:textId="77777777" w:rsidTr="00EA6243">
        <w:trPr>
          <w:cantSplit/>
        </w:trPr>
        <w:tc>
          <w:tcPr>
            <w:tcW w:w="4077" w:type="dxa"/>
            <w:vAlign w:val="center"/>
          </w:tcPr>
          <w:p w14:paraId="3975872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CF9E3D" w14:textId="69289764" w:rsidR="00E06F40" w:rsidRPr="00A006A0" w:rsidRDefault="006B002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45244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2FED0C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F6728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9C3E3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90C326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73E9D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093BDF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EEAA2C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DF8BE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A06840A" w14:textId="47AF05F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085D185" w14:textId="55EE2855" w:rsidR="005C3797" w:rsidRDefault="005C3797" w:rsidP="00084859">
      <w:r w:rsidRPr="002022B6">
        <w:t>Deutsche Forschungsgemeinschaft (DFG)</w:t>
      </w:r>
      <w:r>
        <w:t xml:space="preserve"> (</w:t>
      </w:r>
      <w:r w:rsidRPr="005C3797">
        <w:t>2002</w:t>
      </w:r>
      <w:r>
        <w:t xml:space="preserve">) </w:t>
      </w:r>
      <w:r w:rsidRPr="005C3797">
        <w:t>Mevinphos (Phosdrin)</w:t>
      </w:r>
      <w:r w:rsidR="00EC5C10">
        <w:t xml:space="preserve"> – MAK value documentation, German language edition.</w:t>
      </w:r>
    </w:p>
    <w:p w14:paraId="1AB0525C" w14:textId="602A1872" w:rsidR="00EC5C10" w:rsidRDefault="00EC5C10" w:rsidP="00084859">
      <w:r w:rsidRPr="002022B6">
        <w:t>Deutsche Forschungsgemeinschaft (DFG)</w:t>
      </w:r>
      <w:r>
        <w:t xml:space="preserve"> (1972) </w:t>
      </w:r>
      <w:r w:rsidRPr="005C3797">
        <w:t>Mevinphos (Phosdrin)</w:t>
      </w:r>
      <w:r>
        <w:t xml:space="preserve"> – MAK value documentation, German language edition.</w:t>
      </w:r>
    </w:p>
    <w:p w14:paraId="68D43D4A" w14:textId="5EE4DBFF" w:rsidR="00B45244" w:rsidRDefault="00B45244" w:rsidP="00084859">
      <w:r w:rsidRPr="00DB0A36">
        <w:t>National Industrial Chemicals Notification and Assessment Scheme (NICNAS) (</w:t>
      </w:r>
      <w:r>
        <w:t>2018</w:t>
      </w:r>
      <w:r w:rsidRPr="00DB0A36">
        <w:t xml:space="preserve">) </w:t>
      </w:r>
      <w:r w:rsidRPr="007C7196">
        <w:t>2-Butenoic acid, 3-[(dimethoxyphosphinyl)oxy]-, methyl ester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59415D20" w14:textId="002FBED6" w:rsidR="005C3797" w:rsidRDefault="005C3797" w:rsidP="005C3797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Pr="005C3797">
        <w:t>1994</w:t>
      </w:r>
      <w:r>
        <w:t xml:space="preserve">) Immediately dangerous to life or health concentrations – </w:t>
      </w:r>
      <w:r w:rsidRPr="005C3797">
        <w:t>Phosdrin</w:t>
      </w:r>
      <w:r>
        <w:t>.</w:t>
      </w:r>
    </w:p>
    <w:p w14:paraId="68FA5238" w14:textId="392A306D" w:rsidR="005C3797" w:rsidRPr="00D86E03" w:rsidRDefault="005C3797" w:rsidP="005C3797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6715BA" w:rsidRPr="006715BA">
        <w:t>2015</w:t>
      </w:r>
      <w:r>
        <w:t xml:space="preserve">) </w:t>
      </w:r>
      <w:r w:rsidRPr="006B0272">
        <w:t xml:space="preserve">NIOSH Skin Notation Profiles: </w:t>
      </w:r>
      <w:r w:rsidR="006715BA" w:rsidRPr="006715BA">
        <w:t>Phosdrin</w:t>
      </w:r>
      <w:r>
        <w:t>.</w:t>
      </w:r>
    </w:p>
    <w:p w14:paraId="5BD2B242" w14:textId="6F4879D4" w:rsidR="005C3797" w:rsidRPr="00351FE0" w:rsidRDefault="005C3797" w:rsidP="00084859"/>
    <w:sectPr w:rsidR="005C379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1B266" w14:textId="77777777" w:rsidR="001C2758" w:rsidRDefault="001C2758" w:rsidP="00F43AD5">
      <w:pPr>
        <w:spacing w:after="0" w:line="240" w:lineRule="auto"/>
      </w:pPr>
      <w:r>
        <w:separator/>
      </w:r>
    </w:p>
  </w:endnote>
  <w:endnote w:type="continuationSeparator" w:id="0">
    <w:p w14:paraId="3835BE69" w14:textId="77777777" w:rsidR="001C2758" w:rsidRDefault="001C275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4B1A1" w14:textId="77777777" w:rsidR="001C51D7" w:rsidRDefault="001C5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74D62A3" w14:textId="5FC9E030" w:rsidR="006E3391" w:rsidRDefault="006E3391" w:rsidP="0034744C">
        <w:pPr>
          <w:pStyle w:val="Footer"/>
          <w:rPr>
            <w:sz w:val="18"/>
            <w:szCs w:val="18"/>
          </w:rPr>
        </w:pPr>
        <w:r w:rsidRPr="005C3797">
          <w:rPr>
            <w:b/>
            <w:sz w:val="18"/>
            <w:szCs w:val="18"/>
          </w:rPr>
          <w:t>Mevinphos</w:t>
        </w:r>
        <w:r>
          <w:rPr>
            <w:b/>
            <w:sz w:val="18"/>
            <w:szCs w:val="18"/>
          </w:rPr>
          <w:t xml:space="preserve"> (</w:t>
        </w:r>
        <w:r w:rsidRPr="005C3797">
          <w:rPr>
            <w:b/>
            <w:sz w:val="18"/>
            <w:szCs w:val="18"/>
          </w:rPr>
          <w:t>7786-34-7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ECDC94D" w14:textId="60278C53" w:rsidR="006E3391" w:rsidRPr="00F43AD5" w:rsidRDefault="006E339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C51D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CBE9E" w14:textId="77777777" w:rsidR="001C51D7" w:rsidRDefault="001C5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648A4" w14:textId="77777777" w:rsidR="001C2758" w:rsidRDefault="001C2758" w:rsidP="00F43AD5">
      <w:pPr>
        <w:spacing w:after="0" w:line="240" w:lineRule="auto"/>
      </w:pPr>
      <w:r>
        <w:separator/>
      </w:r>
    </w:p>
  </w:footnote>
  <w:footnote w:type="continuationSeparator" w:id="0">
    <w:p w14:paraId="35F7EAD2" w14:textId="77777777" w:rsidR="001C2758" w:rsidRDefault="001C275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06B31" w14:textId="211A7FE7" w:rsidR="001C51D7" w:rsidRDefault="001C5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5769" w14:textId="10A98CD3" w:rsidR="006E3391" w:rsidRDefault="006E339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343A" w14:textId="23DE456F" w:rsidR="001C51D7" w:rsidRDefault="001C51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1BD1F" w14:textId="43D55988" w:rsidR="001C51D7" w:rsidRDefault="001C51D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C3EAA" w14:textId="6AD88BAC" w:rsidR="006E3391" w:rsidRDefault="001C51D7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FAAB78" wp14:editId="3190E4D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3740" w14:textId="538C2E34" w:rsidR="001C51D7" w:rsidRDefault="001C5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272964"/>
    <w:multiLevelType w:val="hybridMultilevel"/>
    <w:tmpl w:val="5FBC22B8"/>
    <w:lvl w:ilvl="0" w:tplc="4CC474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85E2C"/>
    <w:multiLevelType w:val="hybridMultilevel"/>
    <w:tmpl w:val="0622C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C3F7B"/>
    <w:multiLevelType w:val="hybridMultilevel"/>
    <w:tmpl w:val="2F3EC5EE"/>
    <w:lvl w:ilvl="0" w:tplc="72FA40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42105">
    <w:abstractNumId w:val="2"/>
  </w:num>
  <w:num w:numId="2" w16cid:durableId="585458068">
    <w:abstractNumId w:val="0"/>
  </w:num>
  <w:num w:numId="3" w16cid:durableId="24943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B21"/>
    <w:rsid w:val="00007B80"/>
    <w:rsid w:val="00013A22"/>
    <w:rsid w:val="00014C3F"/>
    <w:rsid w:val="00017C82"/>
    <w:rsid w:val="000266D3"/>
    <w:rsid w:val="00032B88"/>
    <w:rsid w:val="00046DF5"/>
    <w:rsid w:val="00052060"/>
    <w:rsid w:val="0005574A"/>
    <w:rsid w:val="00055FE1"/>
    <w:rsid w:val="00056EC2"/>
    <w:rsid w:val="00060B48"/>
    <w:rsid w:val="000610DA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B7E36"/>
    <w:rsid w:val="000C096D"/>
    <w:rsid w:val="000C139A"/>
    <w:rsid w:val="000C1B53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2758"/>
    <w:rsid w:val="001C51D7"/>
    <w:rsid w:val="001C5257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370"/>
    <w:rsid w:val="00213640"/>
    <w:rsid w:val="00221547"/>
    <w:rsid w:val="002216FC"/>
    <w:rsid w:val="0022251C"/>
    <w:rsid w:val="00222533"/>
    <w:rsid w:val="00222F30"/>
    <w:rsid w:val="00224EE2"/>
    <w:rsid w:val="00227EC7"/>
    <w:rsid w:val="00231074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3AF"/>
    <w:rsid w:val="00347192"/>
    <w:rsid w:val="0034744C"/>
    <w:rsid w:val="003513CF"/>
    <w:rsid w:val="00351FE0"/>
    <w:rsid w:val="00352615"/>
    <w:rsid w:val="0035412B"/>
    <w:rsid w:val="003567A8"/>
    <w:rsid w:val="0035707C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395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177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3DE8"/>
    <w:rsid w:val="00571481"/>
    <w:rsid w:val="00581055"/>
    <w:rsid w:val="00591E38"/>
    <w:rsid w:val="005A19C5"/>
    <w:rsid w:val="005A3034"/>
    <w:rsid w:val="005A4301"/>
    <w:rsid w:val="005A462D"/>
    <w:rsid w:val="005B253B"/>
    <w:rsid w:val="005B771D"/>
    <w:rsid w:val="005C3797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5BA"/>
    <w:rsid w:val="0067305D"/>
    <w:rsid w:val="00677D9B"/>
    <w:rsid w:val="006845C6"/>
    <w:rsid w:val="006867F3"/>
    <w:rsid w:val="00687890"/>
    <w:rsid w:val="006901A2"/>
    <w:rsid w:val="00690368"/>
    <w:rsid w:val="0069079C"/>
    <w:rsid w:val="00690B53"/>
    <w:rsid w:val="00695B72"/>
    <w:rsid w:val="006B0024"/>
    <w:rsid w:val="006B160A"/>
    <w:rsid w:val="006B4E6C"/>
    <w:rsid w:val="006B50B6"/>
    <w:rsid w:val="006C4193"/>
    <w:rsid w:val="006D79EA"/>
    <w:rsid w:val="006E3391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693"/>
    <w:rsid w:val="00796708"/>
    <w:rsid w:val="007B1B42"/>
    <w:rsid w:val="007C30EB"/>
    <w:rsid w:val="007C7196"/>
    <w:rsid w:val="007E063C"/>
    <w:rsid w:val="007E2A4B"/>
    <w:rsid w:val="007E307D"/>
    <w:rsid w:val="007E6A4E"/>
    <w:rsid w:val="007E6C94"/>
    <w:rsid w:val="007F1005"/>
    <w:rsid w:val="007F25E0"/>
    <w:rsid w:val="007F5328"/>
    <w:rsid w:val="0080011F"/>
    <w:rsid w:val="00802927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663"/>
    <w:rsid w:val="008B403C"/>
    <w:rsid w:val="008B7983"/>
    <w:rsid w:val="008C2511"/>
    <w:rsid w:val="008D026D"/>
    <w:rsid w:val="008D23AB"/>
    <w:rsid w:val="008D4B8B"/>
    <w:rsid w:val="008D5A78"/>
    <w:rsid w:val="008E6C22"/>
    <w:rsid w:val="008E7B64"/>
    <w:rsid w:val="008F3318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9B7"/>
    <w:rsid w:val="00961124"/>
    <w:rsid w:val="009621B6"/>
    <w:rsid w:val="00974F2D"/>
    <w:rsid w:val="00977524"/>
    <w:rsid w:val="00977E88"/>
    <w:rsid w:val="00984920"/>
    <w:rsid w:val="00985257"/>
    <w:rsid w:val="0099303A"/>
    <w:rsid w:val="009933C3"/>
    <w:rsid w:val="009971C2"/>
    <w:rsid w:val="009A1254"/>
    <w:rsid w:val="009A2F09"/>
    <w:rsid w:val="009B2FF2"/>
    <w:rsid w:val="009B380C"/>
    <w:rsid w:val="009B4843"/>
    <w:rsid w:val="009B6008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FA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AE0"/>
    <w:rsid w:val="00A357BA"/>
    <w:rsid w:val="00A35ADC"/>
    <w:rsid w:val="00A402A3"/>
    <w:rsid w:val="00A50EB6"/>
    <w:rsid w:val="00A53681"/>
    <w:rsid w:val="00A633D4"/>
    <w:rsid w:val="00A6461A"/>
    <w:rsid w:val="00A84504"/>
    <w:rsid w:val="00A8672F"/>
    <w:rsid w:val="00A90F1A"/>
    <w:rsid w:val="00A93057"/>
    <w:rsid w:val="00A961EC"/>
    <w:rsid w:val="00A968B0"/>
    <w:rsid w:val="00AB2672"/>
    <w:rsid w:val="00AB2817"/>
    <w:rsid w:val="00AB43C4"/>
    <w:rsid w:val="00AC1D7E"/>
    <w:rsid w:val="00AC31B3"/>
    <w:rsid w:val="00AC32E7"/>
    <w:rsid w:val="00AC3A9F"/>
    <w:rsid w:val="00AC6D2F"/>
    <w:rsid w:val="00AC7A54"/>
    <w:rsid w:val="00AD0326"/>
    <w:rsid w:val="00AE2745"/>
    <w:rsid w:val="00AE2F64"/>
    <w:rsid w:val="00AF15AD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5244"/>
    <w:rsid w:val="00B479A9"/>
    <w:rsid w:val="00B52EDF"/>
    <w:rsid w:val="00B71188"/>
    <w:rsid w:val="00B76A41"/>
    <w:rsid w:val="00B87D4C"/>
    <w:rsid w:val="00B93646"/>
    <w:rsid w:val="00B96C18"/>
    <w:rsid w:val="00BA0B38"/>
    <w:rsid w:val="00BA1DBB"/>
    <w:rsid w:val="00BA4510"/>
    <w:rsid w:val="00BA4D62"/>
    <w:rsid w:val="00BA529A"/>
    <w:rsid w:val="00BA74B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67FD"/>
    <w:rsid w:val="00C57452"/>
    <w:rsid w:val="00C61EDF"/>
    <w:rsid w:val="00C6239D"/>
    <w:rsid w:val="00C62DC6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C3D"/>
    <w:rsid w:val="00CC4274"/>
    <w:rsid w:val="00CD2BFD"/>
    <w:rsid w:val="00CE5AD6"/>
    <w:rsid w:val="00CE617F"/>
    <w:rsid w:val="00CE78EF"/>
    <w:rsid w:val="00CF477A"/>
    <w:rsid w:val="00D048F7"/>
    <w:rsid w:val="00D0517E"/>
    <w:rsid w:val="00D140FC"/>
    <w:rsid w:val="00D1666A"/>
    <w:rsid w:val="00D21D8C"/>
    <w:rsid w:val="00D2335B"/>
    <w:rsid w:val="00D31357"/>
    <w:rsid w:val="00D33220"/>
    <w:rsid w:val="00D334D1"/>
    <w:rsid w:val="00D44C89"/>
    <w:rsid w:val="00D516CD"/>
    <w:rsid w:val="00D668E6"/>
    <w:rsid w:val="00D67893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30B0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5F32"/>
    <w:rsid w:val="00E67C2F"/>
    <w:rsid w:val="00E67EF5"/>
    <w:rsid w:val="00E804EA"/>
    <w:rsid w:val="00E80A71"/>
    <w:rsid w:val="00E82337"/>
    <w:rsid w:val="00E84EAB"/>
    <w:rsid w:val="00E92499"/>
    <w:rsid w:val="00E949AF"/>
    <w:rsid w:val="00E96077"/>
    <w:rsid w:val="00EA0A06"/>
    <w:rsid w:val="00EA6243"/>
    <w:rsid w:val="00EA74AB"/>
    <w:rsid w:val="00EA7BBE"/>
    <w:rsid w:val="00EB3D1B"/>
    <w:rsid w:val="00EC5C10"/>
    <w:rsid w:val="00ED1D89"/>
    <w:rsid w:val="00ED66BC"/>
    <w:rsid w:val="00EF233A"/>
    <w:rsid w:val="00EF303E"/>
    <w:rsid w:val="00EF3A40"/>
    <w:rsid w:val="00EF7F78"/>
    <w:rsid w:val="00F01B08"/>
    <w:rsid w:val="00F01C4D"/>
    <w:rsid w:val="00F04CBD"/>
    <w:rsid w:val="00F053FA"/>
    <w:rsid w:val="00F10C97"/>
    <w:rsid w:val="00F11C71"/>
    <w:rsid w:val="00F1513B"/>
    <w:rsid w:val="00F16019"/>
    <w:rsid w:val="00F20E68"/>
    <w:rsid w:val="00F22093"/>
    <w:rsid w:val="00F236DF"/>
    <w:rsid w:val="00F26746"/>
    <w:rsid w:val="00F43AD5"/>
    <w:rsid w:val="00F4402E"/>
    <w:rsid w:val="00F56DD0"/>
    <w:rsid w:val="00F6491C"/>
    <w:rsid w:val="00F67BBB"/>
    <w:rsid w:val="00F83B8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122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5C3797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45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52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524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4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48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8DC47A6A06F4548A58487BCDA1B1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CA46C-C4D4-4B8A-88EE-E84E9F2510D6}"/>
      </w:docPartPr>
      <w:docPartBody>
        <w:p w:rsidR="00A161AD" w:rsidRDefault="00A161AD" w:rsidP="00A161AD">
          <w:pPr>
            <w:pStyle w:val="E8DC47A6A06F4548A58487BCDA1B1AD4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E58FD9C0AF0C4204AAAED3C197345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78FD5-F79F-4FDE-95DE-84962D06CA47}"/>
      </w:docPartPr>
      <w:docPartBody>
        <w:p w:rsidR="00214235" w:rsidRDefault="00A161AD" w:rsidP="00A161AD">
          <w:pPr>
            <w:pStyle w:val="E58FD9C0AF0C4204AAAED3C197345E4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4235"/>
    <w:rsid w:val="00A161AD"/>
    <w:rsid w:val="00D21A9F"/>
    <w:rsid w:val="00D2335B"/>
    <w:rsid w:val="00D641F8"/>
    <w:rsid w:val="00E3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61A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8DC47A6A06F4548A58487BCDA1B1AD4">
    <w:name w:val="E8DC47A6A06F4548A58487BCDA1B1AD4"/>
    <w:rsid w:val="00A161AD"/>
  </w:style>
  <w:style w:type="paragraph" w:customStyle="1" w:styleId="E58FD9C0AF0C4204AAAED3C197345E44">
    <w:name w:val="E58FD9C0AF0C4204AAAED3C197345E44"/>
    <w:rsid w:val="00A161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DE2279-BA2B-4C97-8377-21317100B087}"/>
</file>

<file path=customXml/itemProps2.xml><?xml version="1.0" encoding="utf-8"?>
<ds:datastoreItem xmlns:ds="http://schemas.openxmlformats.org/officeDocument/2006/customXml" ds:itemID="{48E04613-450B-426F-823F-CB41C75ECE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E277-5795-480A-ABEB-F6B525804F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94CA5-2691-4DC5-99E2-ABAE41C1AF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2020-01-22T01:21:00Z</dcterms:created>
  <dcterms:modified xsi:type="dcterms:W3CDTF">2025-12-24T00:12:00Z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2025-12-24T00:12:27Z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c17fe452-a093-43a1-bff9-13a9f5f8db9f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