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2E26B28" w14:textId="77777777" w:rsidR="00BD499F" w:rsidRPr="004C23F4" w:rsidRDefault="004F625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nitrogen trifluoride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C3DF149" w14:textId="77777777" w:rsidTr="00B76A41">
        <w:trPr>
          <w:cantSplit/>
          <w:tblHeader/>
        </w:trPr>
        <w:tc>
          <w:tcPr>
            <w:tcW w:w="4077" w:type="dxa"/>
          </w:tcPr>
          <w:p w14:paraId="7335E1D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5266001" w14:textId="77777777" w:rsidR="00F43AD5" w:rsidRPr="00717D45" w:rsidRDefault="004F6254" w:rsidP="00B76A41">
            <w:pPr>
              <w:pStyle w:val="Tablefont"/>
            </w:pPr>
            <w:r w:rsidRPr="004F6254">
              <w:t>7783-54-2</w:t>
            </w:r>
          </w:p>
        </w:tc>
      </w:tr>
      <w:tr w:rsidR="00F43AD5" w:rsidRPr="004C1BA4" w14:paraId="13A514BD" w14:textId="77777777" w:rsidTr="00B76A41">
        <w:trPr>
          <w:cantSplit/>
        </w:trPr>
        <w:tc>
          <w:tcPr>
            <w:tcW w:w="4077" w:type="dxa"/>
          </w:tcPr>
          <w:p w14:paraId="4F5E5F2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27528A4" w14:textId="77777777" w:rsidR="00F43AD5" w:rsidRPr="004C1BA4" w:rsidRDefault="004F6254" w:rsidP="00B76A41">
            <w:pPr>
              <w:pStyle w:val="Tablefont"/>
            </w:pPr>
            <w:r w:rsidRPr="004C1BA4">
              <w:t>Nitrogen fluoride</w:t>
            </w:r>
            <w:r w:rsidR="007C7640" w:rsidRPr="004C1BA4">
              <w:t>, trifluoroamine, trifluoroammonia, perfluoroammonia</w:t>
            </w:r>
          </w:p>
        </w:tc>
      </w:tr>
      <w:tr w:rsidR="00F43AD5" w:rsidRPr="004C23F4" w14:paraId="3433FD57" w14:textId="77777777" w:rsidTr="00B76A41">
        <w:trPr>
          <w:cantSplit/>
        </w:trPr>
        <w:tc>
          <w:tcPr>
            <w:tcW w:w="4077" w:type="dxa"/>
          </w:tcPr>
          <w:p w14:paraId="3F19658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C5A030E" w14:textId="77777777" w:rsidR="00F43AD5" w:rsidRPr="00717D45" w:rsidRDefault="004F6254" w:rsidP="00B76A41">
            <w:pPr>
              <w:pStyle w:val="Tablefont"/>
            </w:pPr>
            <w:r>
              <w:t>NF</w:t>
            </w:r>
            <w:r w:rsidRPr="004F6254">
              <w:rPr>
                <w:vertAlign w:val="subscript"/>
              </w:rPr>
              <w:t>3</w:t>
            </w:r>
          </w:p>
        </w:tc>
      </w:tr>
      <w:tr w:rsidR="00F43AD5" w:rsidRPr="004C23F4" w14:paraId="2334F32B" w14:textId="77777777" w:rsidTr="00B76A41">
        <w:trPr>
          <w:cantSplit/>
        </w:trPr>
        <w:tc>
          <w:tcPr>
            <w:tcW w:w="4077" w:type="dxa"/>
          </w:tcPr>
          <w:p w14:paraId="498AB07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8A1D353" w14:textId="77777777" w:rsidR="00F43AD5" w:rsidRPr="00B40C60" w:rsidRDefault="004F6254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1616E32" w14:textId="3C4B669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9382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A7BA5C4" w14:textId="77777777" w:rsidTr="00D566E5">
        <w:trPr>
          <w:cantSplit/>
          <w:tblHeader/>
        </w:trPr>
        <w:tc>
          <w:tcPr>
            <w:tcW w:w="4010" w:type="dxa"/>
            <w:vAlign w:val="center"/>
          </w:tcPr>
          <w:p w14:paraId="51CD492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B7B7671" w14:textId="18422328" w:rsidR="002C7AFE" w:rsidRPr="00EA5F03" w:rsidRDefault="00B9382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 </w:t>
            </w:r>
            <w:r w:rsidR="00EA5F03">
              <w:rPr>
                <w:b/>
              </w:rPr>
              <w:t>ppm (</w:t>
            </w:r>
            <w:r>
              <w:rPr>
                <w:b/>
              </w:rPr>
              <w:t>29</w:t>
            </w:r>
            <w:r w:rsidR="00EA5F03">
              <w:rPr>
                <w:b/>
              </w:rPr>
              <w:t xml:space="preserve"> mg/m</w:t>
            </w:r>
            <w:r w:rsidR="00EA5F03">
              <w:rPr>
                <w:b/>
                <w:vertAlign w:val="superscript"/>
              </w:rPr>
              <w:t>3</w:t>
            </w:r>
            <w:r w:rsidR="00EA5F03">
              <w:rPr>
                <w:b/>
              </w:rPr>
              <w:t>)</w:t>
            </w:r>
          </w:p>
        </w:tc>
      </w:tr>
      <w:tr w:rsidR="00D566E5" w:rsidRPr="004C23F4" w14:paraId="416CEB03" w14:textId="77777777" w:rsidTr="00D566E5">
        <w:trPr>
          <w:cantSplit/>
        </w:trPr>
        <w:tc>
          <w:tcPr>
            <w:tcW w:w="4010" w:type="dxa"/>
            <w:vAlign w:val="center"/>
          </w:tcPr>
          <w:p w14:paraId="54932C70" w14:textId="77777777" w:rsidR="00D566E5" w:rsidRPr="002C58FF" w:rsidRDefault="00D566E5" w:rsidP="00D566E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D1CB588" w14:textId="77777777" w:rsidR="00D566E5" w:rsidRPr="00D566E5" w:rsidRDefault="00D566E5" w:rsidP="00D566E5">
            <w:pPr>
              <w:pStyle w:val="Tablefont"/>
              <w:rPr>
                <w:b/>
              </w:rPr>
            </w:pPr>
            <w:r w:rsidRPr="00AE6B38">
              <w:rPr>
                <w:b/>
              </w:rPr>
              <w:t>—</w:t>
            </w:r>
          </w:p>
        </w:tc>
      </w:tr>
      <w:tr w:rsidR="00D566E5" w:rsidRPr="004C23F4" w14:paraId="27BC5232" w14:textId="77777777" w:rsidTr="00D566E5">
        <w:trPr>
          <w:cantSplit/>
        </w:trPr>
        <w:tc>
          <w:tcPr>
            <w:tcW w:w="4010" w:type="dxa"/>
            <w:vAlign w:val="center"/>
          </w:tcPr>
          <w:p w14:paraId="0A80AC4F" w14:textId="77777777" w:rsidR="00D566E5" w:rsidRPr="002C58FF" w:rsidRDefault="00D566E5" w:rsidP="00D566E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55EFA7D" w14:textId="77777777" w:rsidR="00D566E5" w:rsidRPr="00D566E5" w:rsidRDefault="00D566E5" w:rsidP="00D566E5">
            <w:pPr>
              <w:pStyle w:val="Tablefont"/>
              <w:rPr>
                <w:b/>
              </w:rPr>
            </w:pPr>
            <w:r w:rsidRPr="00AE6B38">
              <w:rPr>
                <w:b/>
              </w:rPr>
              <w:t>—</w:t>
            </w:r>
          </w:p>
        </w:tc>
      </w:tr>
      <w:tr w:rsidR="00D566E5" w:rsidRPr="004C23F4" w14:paraId="488136DF" w14:textId="77777777" w:rsidTr="00D566E5">
        <w:trPr>
          <w:cantSplit/>
        </w:trPr>
        <w:tc>
          <w:tcPr>
            <w:tcW w:w="4010" w:type="dxa"/>
          </w:tcPr>
          <w:p w14:paraId="7EAA1842" w14:textId="77777777" w:rsidR="00D566E5" w:rsidRPr="002C58FF" w:rsidRDefault="00D566E5" w:rsidP="00D566E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E71A2D9" w14:textId="77777777" w:rsidR="00D566E5" w:rsidRPr="00D566E5" w:rsidRDefault="00D566E5" w:rsidP="00D566E5">
            <w:pPr>
              <w:pStyle w:val="Tablefont"/>
              <w:rPr>
                <w:b/>
              </w:rPr>
            </w:pPr>
            <w:r w:rsidRPr="00AE6B38">
              <w:rPr>
                <w:b/>
              </w:rPr>
              <w:t>—</w:t>
            </w:r>
          </w:p>
        </w:tc>
      </w:tr>
      <w:tr w:rsidR="00D566E5" w:rsidRPr="004C23F4" w14:paraId="2B963218" w14:textId="77777777" w:rsidTr="00D566E5">
        <w:trPr>
          <w:cantSplit/>
        </w:trPr>
        <w:tc>
          <w:tcPr>
            <w:tcW w:w="4010" w:type="dxa"/>
            <w:vAlign w:val="center"/>
          </w:tcPr>
          <w:p w14:paraId="2022F343" w14:textId="77777777" w:rsidR="00D566E5" w:rsidRPr="002C58FF" w:rsidRDefault="00D566E5" w:rsidP="00D566E5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7DB1A8B" w14:textId="77777777" w:rsidR="00D566E5" w:rsidRPr="00D566E5" w:rsidRDefault="006F57D7" w:rsidP="006F57D7">
            <w:pPr>
              <w:pStyle w:val="Tablefont"/>
              <w:tabs>
                <w:tab w:val="left" w:pos="739"/>
              </w:tabs>
              <w:rPr>
                <w:b/>
              </w:rPr>
            </w:pPr>
            <w:r>
              <w:rPr>
                <w:b/>
              </w:rPr>
              <w:t>1,000 ppm</w:t>
            </w:r>
          </w:p>
        </w:tc>
      </w:tr>
      <w:tr w:rsidR="001247C7" w:rsidRPr="004C23F4" w14:paraId="49ED767C" w14:textId="77777777" w:rsidTr="004F3E79">
        <w:trPr>
          <w:cantSplit/>
        </w:trPr>
        <w:tc>
          <w:tcPr>
            <w:tcW w:w="9026" w:type="dxa"/>
            <w:gridSpan w:val="2"/>
            <w:vAlign w:val="center"/>
          </w:tcPr>
          <w:p w14:paraId="3C0C9644" w14:textId="77777777" w:rsidR="001247C7" w:rsidRPr="001247C7" w:rsidRDefault="001247C7" w:rsidP="00D566E5">
            <w:pPr>
              <w:pStyle w:val="Tablefont"/>
              <w:rPr>
                <w:b/>
              </w:rPr>
            </w:pPr>
            <w:r w:rsidRPr="001247C7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CEC8B723BD545F4944B2252EB8FE5A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E798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5E74D5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58EB15D" w14:textId="21FABD00" w:rsidR="006639B4" w:rsidRPr="004C23F4" w:rsidRDefault="00C24DA1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B93820">
        <w:rPr>
          <w:rFonts w:cs="Arial"/>
        </w:rPr>
        <w:t xml:space="preserve">10 </w:t>
      </w:r>
      <w:r>
        <w:rPr>
          <w:rFonts w:cs="Arial"/>
        </w:rPr>
        <w:t>ppm (</w:t>
      </w:r>
      <w:r w:rsidR="00B93820">
        <w:rPr>
          <w:rFonts w:cs="Arial"/>
        </w:rPr>
        <w:t>29</w:t>
      </w:r>
      <w:r w:rsidRPr="007A28CF">
        <w:rPr>
          <w:rFonts w:cs="Arial"/>
        </w:rPr>
        <w:t xml:space="preserve"> mg/m</w:t>
      </w:r>
      <w:r w:rsidRPr="007A28CF">
        <w:rPr>
          <w:rFonts w:cs="Arial"/>
          <w:vertAlign w:val="superscript"/>
        </w:rPr>
        <w:t>3</w:t>
      </w:r>
      <w:r w:rsidRPr="007A28CF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="004C1BA4">
        <w:t>methaemoglobinaemia</w:t>
      </w:r>
      <w:r>
        <w:t xml:space="preserve"> and liver and kidney effects in exposed workers.</w:t>
      </w:r>
    </w:p>
    <w:p w14:paraId="4E36FD7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EA5F540" w14:textId="77777777" w:rsidR="00FB15EB" w:rsidRDefault="00C24DA1" w:rsidP="006639B4">
      <w:r>
        <w:rPr>
          <w:rFonts w:cs="Arial"/>
        </w:rPr>
        <w:t xml:space="preserve">Nitrogen trifluoride </w:t>
      </w:r>
      <w:r>
        <w:t xml:space="preserve">is an oxidiser for high-energy fuels and is also used in chemical syntheses. </w:t>
      </w:r>
    </w:p>
    <w:p w14:paraId="214CE1B8" w14:textId="0426ACEC" w:rsidR="00451453" w:rsidRDefault="00CE7982" w:rsidP="006639B4">
      <w:r>
        <w:t xml:space="preserve">Critical effects of exposure include </w:t>
      </w:r>
      <w:r w:rsidR="004C1BA4">
        <w:t>methaemoglobinaemia</w:t>
      </w:r>
      <w:r>
        <w:t>, enlargement of the spleen and pathologic changes in the liver (ACGIH, 20</w:t>
      </w:r>
      <w:r w:rsidR="00FB15EB">
        <w:t>18</w:t>
      </w:r>
      <w:r>
        <w:t>).</w:t>
      </w:r>
      <w:r w:rsidR="00FB15EB">
        <w:t xml:space="preserve"> </w:t>
      </w:r>
    </w:p>
    <w:p w14:paraId="38A46899" w14:textId="37679F15" w:rsidR="00174CB0" w:rsidRDefault="00C24DA1" w:rsidP="006639B4">
      <w:r>
        <w:t xml:space="preserve">No human inhalation toxicity data </w:t>
      </w:r>
      <w:r w:rsidR="006C2CF6">
        <w:t>are</w:t>
      </w:r>
      <w:r>
        <w:t xml:space="preserve"> available, with the only </w:t>
      </w:r>
      <w:r w:rsidR="00D53CE2">
        <w:t xml:space="preserve">one </w:t>
      </w:r>
      <w:r>
        <w:t xml:space="preserve">study </w:t>
      </w:r>
      <w:r w:rsidR="006C2CF6">
        <w:t>reporting the</w:t>
      </w:r>
      <w:r>
        <w:t xml:space="preserve"> detection of odour </w:t>
      </w:r>
      <w:r w:rsidR="006C2CF6">
        <w:t>by</w:t>
      </w:r>
      <w:r>
        <w:t xml:space="preserve"> one volunteer exposed </w:t>
      </w:r>
      <w:r w:rsidR="008C43C7">
        <w:t>at</w:t>
      </w:r>
      <w:r>
        <w:t xml:space="preserve"> 500 ppm (no odour was detected when exposed </w:t>
      </w:r>
      <w:r w:rsidR="008C43C7">
        <w:t>at</w:t>
      </w:r>
      <w:r>
        <w:t xml:space="preserve"> 100 ppm). </w:t>
      </w:r>
      <w:r w:rsidR="006631E5">
        <w:t>A</w:t>
      </w:r>
      <w:r w:rsidR="00727402">
        <w:t xml:space="preserve"> </w:t>
      </w:r>
      <w:r w:rsidR="00D94D03">
        <w:t xml:space="preserve">NOAEC </w:t>
      </w:r>
      <w:r w:rsidR="00727402">
        <w:t xml:space="preserve">of 5 ppm </w:t>
      </w:r>
      <w:r w:rsidR="006C2CF6">
        <w:t>i</w:t>
      </w:r>
      <w:r w:rsidR="00727402">
        <w:t xml:space="preserve">s identified in a </w:t>
      </w:r>
      <w:r w:rsidR="00174CB0">
        <w:t>90</w:t>
      </w:r>
      <w:r w:rsidR="006631E5">
        <w:t>-</w:t>
      </w:r>
      <w:r w:rsidR="00174CB0">
        <w:t>day</w:t>
      </w:r>
      <w:r w:rsidR="00727402">
        <w:t xml:space="preserve"> inhalation study </w:t>
      </w:r>
      <w:r w:rsidR="00D94D03">
        <w:t xml:space="preserve">in </w:t>
      </w:r>
      <w:r w:rsidR="00727402">
        <w:t xml:space="preserve">rats based on </w:t>
      </w:r>
      <w:r w:rsidR="00727402">
        <w:rPr>
          <w:rStyle w:val="checkbox"/>
          <w:rFonts w:ascii="Arial" w:hAnsi="Arial" w:cs="Arial"/>
        </w:rPr>
        <w:t xml:space="preserve">haemolytic anaemia </w:t>
      </w:r>
      <w:r w:rsidR="00727402">
        <w:t xml:space="preserve">(ECHA, 2013). </w:t>
      </w:r>
      <w:r w:rsidR="006631E5">
        <w:t>Mild to moderate pathologic changes in liver and inflammation of the kidneys are reported at 100 ppm in a 19-week inhalation study in rats</w:t>
      </w:r>
      <w:r w:rsidR="0036689D">
        <w:t>. N</w:t>
      </w:r>
      <w:r w:rsidR="006631E5">
        <w:t>o changes to spleen or haematological parameters are reported in this study</w:t>
      </w:r>
      <w:r w:rsidR="00B93820">
        <w:t xml:space="preserve"> (ACGIH, 2018).</w:t>
      </w:r>
    </w:p>
    <w:p w14:paraId="164D7B58" w14:textId="33B591C5" w:rsidR="006639B4" w:rsidRPr="004C23F4" w:rsidRDefault="00FB15EB" w:rsidP="006639B4">
      <w:pPr>
        <w:rPr>
          <w:rFonts w:cs="Arial"/>
        </w:rPr>
      </w:pPr>
      <w:r>
        <w:t xml:space="preserve">The TWA </w:t>
      </w:r>
      <w:r w:rsidR="006631E5">
        <w:t>of 10 ppm is consistent across the primary sources</w:t>
      </w:r>
      <w:r w:rsidR="00D94D03">
        <w:t xml:space="preserve"> available</w:t>
      </w:r>
      <w:r w:rsidR="00E422F8">
        <w:t xml:space="preserve"> and is recommended to be retained</w:t>
      </w:r>
      <w:r w:rsidR="00D30DC7">
        <w:t>. This TWA</w:t>
      </w:r>
      <w:r w:rsidR="006631E5">
        <w:t xml:space="preserve"> </w:t>
      </w:r>
      <w:r w:rsidR="00D94D03">
        <w:t>derived by</w:t>
      </w:r>
      <w:r w:rsidR="00B93820">
        <w:t xml:space="preserve"> </w:t>
      </w:r>
      <w:r w:rsidR="00857D84">
        <w:t>ACGIH (2018) and HCOTN (2004)</w:t>
      </w:r>
      <w:r w:rsidR="00B93820">
        <w:t xml:space="preserve"> and </w:t>
      </w:r>
      <w:r w:rsidR="00174CB0">
        <w:t xml:space="preserve">based on evidence </w:t>
      </w:r>
      <w:r w:rsidR="00B93820">
        <w:t>presented</w:t>
      </w:r>
      <w:r w:rsidR="0092133B">
        <w:t xml:space="preserve"> is considered protective of</w:t>
      </w:r>
      <w:r w:rsidR="00174CB0">
        <w:t xml:space="preserve"> </w:t>
      </w:r>
      <w:r w:rsidR="00CE7982">
        <w:t>RBC</w:t>
      </w:r>
      <w:r w:rsidR="00174CB0">
        <w:t xml:space="preserve"> effects.</w:t>
      </w:r>
    </w:p>
    <w:p w14:paraId="3581969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77A09F9" w14:textId="4728DFB7" w:rsidR="004F6254" w:rsidRPr="00C24DA1" w:rsidRDefault="004F6254" w:rsidP="004F6254">
      <w:pPr>
        <w:rPr>
          <w:rFonts w:cs="Arial"/>
        </w:rPr>
      </w:pPr>
      <w:r w:rsidRPr="00C24DA1">
        <w:rPr>
          <w:rFonts w:cs="Arial"/>
        </w:rPr>
        <w:t>Not classified as a carcinogen according to the Globally Harmonized Sys</w:t>
      </w:r>
      <w:r w:rsidR="00E33039">
        <w:rPr>
          <w:rFonts w:cs="Arial"/>
        </w:rPr>
        <w:t>s</w:t>
      </w:r>
      <w:r w:rsidRPr="00C24DA1">
        <w:rPr>
          <w:rFonts w:cs="Arial"/>
        </w:rPr>
        <w:t>tem of Classification and Labelling o</w:t>
      </w:r>
      <w:r w:rsidR="001247C7" w:rsidRPr="00C24DA1">
        <w:rPr>
          <w:rFonts w:cs="Arial"/>
        </w:rPr>
        <w:t xml:space="preserve">f </w:t>
      </w:r>
      <w:r w:rsidRPr="00C24DA1">
        <w:rPr>
          <w:rFonts w:cs="Arial"/>
        </w:rPr>
        <w:t xml:space="preserve">Chemicals (GHS). </w:t>
      </w:r>
    </w:p>
    <w:p w14:paraId="2FDD725F" w14:textId="77777777" w:rsidR="004F6254" w:rsidRPr="00C24DA1" w:rsidRDefault="004F6254" w:rsidP="004F6254">
      <w:pPr>
        <w:rPr>
          <w:rFonts w:cs="Arial"/>
        </w:rPr>
      </w:pPr>
      <w:r w:rsidRPr="00C24DA1">
        <w:rPr>
          <w:rFonts w:cs="Arial"/>
        </w:rPr>
        <w:t xml:space="preserve">Not classified as a skin </w:t>
      </w:r>
      <w:r w:rsidR="001247C7" w:rsidRPr="00C24DA1">
        <w:rPr>
          <w:rFonts w:cs="Arial"/>
        </w:rPr>
        <w:t xml:space="preserve">sensitiser </w:t>
      </w:r>
      <w:r w:rsidRPr="00C24DA1">
        <w:rPr>
          <w:rFonts w:cs="Arial"/>
        </w:rPr>
        <w:t>or respiratory sensitiser according to the GHS.</w:t>
      </w:r>
    </w:p>
    <w:p w14:paraId="14D70111" w14:textId="0D886026" w:rsidR="0025734A" w:rsidRPr="004C23F4" w:rsidRDefault="002902E7">
      <w:pPr>
        <w:rPr>
          <w:rFonts w:cs="Arial"/>
        </w:rPr>
      </w:pPr>
      <w:r>
        <w:rPr>
          <w:rFonts w:cs="Arial"/>
        </w:rPr>
        <w:t>There are insufficient data to recommend a skin notation</w:t>
      </w:r>
      <w:r w:rsidR="004F6254" w:rsidRPr="00C24DA1">
        <w:rPr>
          <w:rFonts w:cs="Arial"/>
        </w:rPr>
        <w:t>.</w:t>
      </w:r>
    </w:p>
    <w:p w14:paraId="1750A06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B263DE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20858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F77220" w14:paraId="73F5747C" w14:textId="77777777" w:rsidTr="00F7722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BAF6D00" w14:textId="77777777" w:rsidR="00C978F0" w:rsidRPr="00F77220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F77220">
              <w:rPr>
                <w:b/>
              </w:rPr>
              <w:t>Source</w:t>
            </w:r>
            <w:r w:rsidR="00DA352E" w:rsidRPr="00F77220">
              <w:rPr>
                <w:b/>
              </w:rPr>
              <w:tab/>
              <w:t>Year set</w:t>
            </w:r>
            <w:r w:rsidR="00DA352E" w:rsidRPr="00F77220">
              <w:rPr>
                <w:b/>
              </w:rPr>
              <w:tab/>
              <w:t>Standard</w:t>
            </w:r>
            <w:r w:rsidR="00974F2D" w:rsidRPr="00F77220">
              <w:rPr>
                <w:b/>
              </w:rPr>
              <w:tab/>
            </w:r>
          </w:p>
        </w:tc>
      </w:tr>
      <w:tr w:rsidR="00DE26E8" w:rsidRPr="003365A5" w14:paraId="72CA8C46" w14:textId="77777777" w:rsidTr="00F77220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A82B0E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566E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566E5">
                  <w:t>TWA: 10 ppm (29 mg/m</w:t>
                </w:r>
                <w:r w:rsidR="00D566E5" w:rsidRPr="00D566E5">
                  <w:rPr>
                    <w:vertAlign w:val="superscript"/>
                  </w:rPr>
                  <w:t>3</w:t>
                </w:r>
                <w:r w:rsidR="00D566E5">
                  <w:t>)</w:t>
                </w:r>
              </w:sdtContent>
            </w:sdt>
          </w:p>
        </w:tc>
      </w:tr>
      <w:tr w:rsidR="00C978F0" w:rsidRPr="00DA352E" w14:paraId="0D1E137F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5F74564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A22466B" w14:textId="77777777" w:rsidTr="00F772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DEA9B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30E3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30E3A">
                  <w:t>TLV-</w:t>
                </w:r>
                <w:r w:rsidR="00830E3A" w:rsidRPr="00830E3A">
                  <w:t>TWA: 10 ppm (29 mg/m</w:t>
                </w:r>
                <w:r w:rsidR="00830E3A" w:rsidRPr="00830E3A">
                  <w:rPr>
                    <w:vertAlign w:val="superscript"/>
                  </w:rPr>
                  <w:t>3</w:t>
                </w:r>
                <w:r w:rsidR="00830E3A" w:rsidRPr="00830E3A">
                  <w:t>)</w:t>
                </w:r>
              </w:sdtContent>
            </w:sdt>
          </w:p>
        </w:tc>
      </w:tr>
      <w:tr w:rsidR="00C978F0" w:rsidRPr="00DA352E" w14:paraId="2CB0C2AD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6FF46EC1" w14:textId="77777777" w:rsidR="00C978F0" w:rsidRDefault="001247C7" w:rsidP="003365A5">
            <w:pPr>
              <w:pStyle w:val="Tabletextprimarysource"/>
            </w:pPr>
            <w:r>
              <w:t>TLV-TWA recommended to minimise the potential for elevated methaemoglobin in blood, anoxia and effects on liver and kidney histology.</w:t>
            </w:r>
          </w:p>
          <w:p w14:paraId="0F49D3EF" w14:textId="77777777" w:rsidR="001247C7" w:rsidRDefault="001247C7" w:rsidP="003365A5">
            <w:pPr>
              <w:pStyle w:val="Tabletextprimarysource"/>
            </w:pPr>
            <w:r>
              <w:t>Human data:</w:t>
            </w:r>
          </w:p>
          <w:p w14:paraId="393C88C3" w14:textId="53F04D9A" w:rsidR="006C2CF6" w:rsidRDefault="006F2DEC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 volunteers exposed for 2</w:t>
            </w:r>
            <w:r w:rsidR="00065B56">
              <w:t>–</w:t>
            </w:r>
            <w:r>
              <w:t xml:space="preserve">3 min </w:t>
            </w:r>
            <w:r w:rsidR="006C2CF6">
              <w:t>at</w:t>
            </w:r>
            <w:r>
              <w:t xml:space="preserve"> 100 and 500 ppm did not detect odour at 100 ppm</w:t>
            </w:r>
          </w:p>
          <w:p w14:paraId="1E542801" w14:textId="0A1E9726" w:rsidR="001247C7" w:rsidRDefault="006F2DEC" w:rsidP="00857D84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>one volunteer reported an odour at 500 ppm</w:t>
            </w:r>
          </w:p>
          <w:p w14:paraId="1D8F8056" w14:textId="77777777" w:rsidR="006F2DEC" w:rsidRDefault="004A35ED" w:rsidP="004A35ED">
            <w:pPr>
              <w:pStyle w:val="Tabletextprimarysource"/>
            </w:pPr>
            <w:r>
              <w:t>Animal data:</w:t>
            </w:r>
          </w:p>
          <w:p w14:paraId="253B3225" w14:textId="10899795" w:rsidR="004A35ED" w:rsidRDefault="004A35ED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Single</w:t>
            </w:r>
            <w:r w:rsidR="006C2CF6">
              <w:t xml:space="preserve"> IP</w:t>
            </w:r>
            <w:r>
              <w:t xml:space="preserve"> injections of the gas (8</w:t>
            </w:r>
            <w:r w:rsidR="00065B56">
              <w:t>–</w:t>
            </w:r>
            <w:r>
              <w:t xml:space="preserve">15 mL/kg) in rats caused cyanosis and enlarged spleens, possibly due to </w:t>
            </w:r>
            <w:r w:rsidR="00D94D03">
              <w:t>methaemoglobinaemia</w:t>
            </w:r>
          </w:p>
          <w:p w14:paraId="6AFF732E" w14:textId="38586D74" w:rsidR="004A35ED" w:rsidRDefault="004A35ED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Anoxic deaths from </w:t>
            </w:r>
            <w:r w:rsidR="00D94D03">
              <w:t>methaemoglobinaemia</w:t>
            </w:r>
            <w:r>
              <w:t xml:space="preserve"> reported from acute inhalation data in rats and slight histologic changes to liver and kidneys</w:t>
            </w:r>
            <w:r w:rsidR="00317000">
              <w:t xml:space="preserve"> and enlargement and darkening of spleen</w:t>
            </w:r>
            <w:r>
              <w:t xml:space="preserve"> </w:t>
            </w:r>
            <w:r w:rsidR="00317000">
              <w:t>in</w:t>
            </w:r>
            <w:r>
              <w:t xml:space="preserve"> some rats</w:t>
            </w:r>
          </w:p>
          <w:p w14:paraId="568B6198" w14:textId="5005687C" w:rsidR="006C2CF6" w:rsidRDefault="00CE7982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</w:t>
            </w:r>
            <w:r w:rsidR="006C2CF6">
              <w:t>at</w:t>
            </w:r>
            <w:r>
              <w:t xml:space="preserve"> 1,000 ppm for 4 h</w:t>
            </w:r>
            <w:r w:rsidR="00317000">
              <w:t xml:space="preserve"> in rats caused significant increase in methaemoglobin </w:t>
            </w:r>
          </w:p>
          <w:p w14:paraId="64F29F53" w14:textId="0BC61F30" w:rsidR="004A35ED" w:rsidRDefault="00317000" w:rsidP="00857D84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 xml:space="preserve">inhalation </w:t>
            </w:r>
            <w:r w:rsidR="006C2CF6">
              <w:t>at</w:t>
            </w:r>
            <w:r>
              <w:t xml:space="preserve"> 3,000 ppm for 10 min did not exhibit increase</w:t>
            </w:r>
          </w:p>
          <w:p w14:paraId="4AD7177B" w14:textId="77777777" w:rsidR="00317000" w:rsidRDefault="00317000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317000">
              <w:rPr>
                <w:vertAlign w:val="subscript"/>
              </w:rPr>
              <w:t>50</w:t>
            </w:r>
            <w:r>
              <w:t>: 6</w:t>
            </w:r>
            <w:r w:rsidR="00CE7982">
              <w:t>,700 ppm (rats, inhalation, 1 h</w:t>
            </w:r>
            <w:r>
              <w:t>); 7</w:t>
            </w:r>
            <w:r w:rsidR="00CE7982">
              <w:t>,500 ppm (mice, inhalation, 1 h</w:t>
            </w:r>
            <w:r>
              <w:t>)</w:t>
            </w:r>
          </w:p>
          <w:p w14:paraId="38ACABD7" w14:textId="336BCEFD" w:rsidR="00317000" w:rsidRDefault="00960718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Dogs more sensitive than rabbits and rodents to chemically induced </w:t>
            </w:r>
            <w:r w:rsidR="00D94D03">
              <w:t>methaemoglobinaemia</w:t>
            </w:r>
          </w:p>
          <w:p w14:paraId="53492EFF" w14:textId="77777777" w:rsidR="001B3695" w:rsidRDefault="001B3695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Some ocular irritation observed in animals during inhalation studies</w:t>
            </w:r>
          </w:p>
          <w:p w14:paraId="399CC8F3" w14:textId="4AA73E64" w:rsidR="001B3695" w:rsidRDefault="001B3695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Following 9 </w:t>
            </w:r>
            <w:r w:rsidR="00CE7982">
              <w:t>IP</w:t>
            </w:r>
            <w:r>
              <w:t xml:space="preserve"> injections </w:t>
            </w:r>
            <w:r w:rsidR="006C2CF6">
              <w:t xml:space="preserve">of </w:t>
            </w:r>
            <w:r>
              <w:t>10 mL of the gas, rabbits showed enlarged spleens, pathologic changes in liver and myocardial degeneration</w:t>
            </w:r>
          </w:p>
          <w:p w14:paraId="7172C2F9" w14:textId="0D1166E3" w:rsidR="006C2CF6" w:rsidRDefault="00CE7982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inhaling 100 ppm (7 h</w:t>
            </w:r>
            <w:r w:rsidR="001B3695">
              <w:t>/d, 5 d/wk, 19 wk duration) demonstrated mild to moderate pathologic changes in liver</w:t>
            </w:r>
            <w:r w:rsidR="009B060E">
              <w:t xml:space="preserve"> and interstitial and tubular nephritis in kidneys</w:t>
            </w:r>
          </w:p>
          <w:p w14:paraId="4ED5E3B9" w14:textId="625844EB" w:rsidR="001B3695" w:rsidRDefault="006C2CF6" w:rsidP="00857D84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>s</w:t>
            </w:r>
            <w:r w:rsidR="009B060E">
              <w:t>ignificant effects on spleen or haematologic parameters not observed</w:t>
            </w:r>
            <w:r w:rsidR="00EA5F03">
              <w:t>.</w:t>
            </w:r>
          </w:p>
          <w:p w14:paraId="586050D2" w14:textId="77777777" w:rsidR="006C2CF6" w:rsidRDefault="006C2CF6" w:rsidP="009B060E">
            <w:pPr>
              <w:pStyle w:val="Tabletextprimarysource"/>
            </w:pPr>
          </w:p>
          <w:p w14:paraId="7CA18505" w14:textId="77777777" w:rsidR="009B060E" w:rsidRDefault="009B060E" w:rsidP="009B060E">
            <w:pPr>
              <w:pStyle w:val="Tabletextprimarysource"/>
            </w:pPr>
            <w:r>
              <w:t>Insufficient data to recommend skin, SEN or carcinogenicity notations or TLV-STEL.</w:t>
            </w:r>
          </w:p>
          <w:p w14:paraId="7E8E1B0D" w14:textId="6B1AC26B" w:rsidR="006C2CF6" w:rsidRPr="00DA352E" w:rsidRDefault="006C2CF6" w:rsidP="009B060E">
            <w:pPr>
              <w:pStyle w:val="Tabletextprimarysource"/>
            </w:pPr>
          </w:p>
        </w:tc>
      </w:tr>
      <w:tr w:rsidR="00C978F0" w:rsidRPr="00DA352E" w14:paraId="0B5ECBBD" w14:textId="77777777" w:rsidTr="00F772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29318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20E7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20E74">
                  <w:t>NA</w:t>
                </w:r>
              </w:sdtContent>
            </w:sdt>
          </w:p>
        </w:tc>
      </w:tr>
      <w:tr w:rsidR="00C978F0" w:rsidRPr="00DA352E" w14:paraId="6C5DB614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4EBAB926" w14:textId="77777777" w:rsidR="00C978F0" w:rsidRPr="00DA352E" w:rsidRDefault="00920E74" w:rsidP="003365A5">
            <w:pPr>
              <w:pStyle w:val="Tabletextprimarysource"/>
            </w:pPr>
            <w:r>
              <w:t>No report</w:t>
            </w:r>
            <w:r w:rsidR="00CE7982">
              <w:t>.</w:t>
            </w:r>
          </w:p>
        </w:tc>
      </w:tr>
      <w:tr w:rsidR="00C978F0" w:rsidRPr="00DA352E" w14:paraId="59FD4CEA" w14:textId="77777777" w:rsidTr="00F772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1EFDD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F53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F53A8">
                  <w:t>NA</w:t>
                </w:r>
              </w:sdtContent>
            </w:sdt>
          </w:p>
        </w:tc>
      </w:tr>
      <w:tr w:rsidR="00C978F0" w:rsidRPr="00DA352E" w14:paraId="7830C344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657C9A1A" w14:textId="77777777" w:rsidR="00C978F0" w:rsidRPr="00DA352E" w:rsidRDefault="007F53A8" w:rsidP="003365A5">
            <w:pPr>
              <w:pStyle w:val="Tabletextprimarysource"/>
            </w:pPr>
            <w:r>
              <w:t>No report</w:t>
            </w:r>
            <w:r w:rsidR="00CE7982">
              <w:t>.</w:t>
            </w:r>
          </w:p>
        </w:tc>
      </w:tr>
      <w:tr w:rsidR="00DA352E" w:rsidRPr="00DA352E" w14:paraId="3B6CEA1A" w14:textId="77777777" w:rsidTr="00F772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BFF02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F53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F53A8">
                  <w:t>NA</w:t>
                </w:r>
              </w:sdtContent>
            </w:sdt>
          </w:p>
        </w:tc>
      </w:tr>
      <w:tr w:rsidR="00DA352E" w:rsidRPr="00DA352E" w14:paraId="10603DA4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5C5DAA6F" w14:textId="77777777" w:rsidR="00DA352E" w:rsidRPr="00DA352E" w:rsidRDefault="007F53A8" w:rsidP="003365A5">
            <w:pPr>
              <w:pStyle w:val="Tabletextprimarysource"/>
            </w:pPr>
            <w:r>
              <w:t>No report</w:t>
            </w:r>
            <w:r w:rsidR="00CE7982">
              <w:t>.</w:t>
            </w:r>
          </w:p>
        </w:tc>
      </w:tr>
      <w:tr w:rsidR="00DA352E" w:rsidRPr="00DA352E" w14:paraId="6EB3789D" w14:textId="77777777" w:rsidTr="00F772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2983D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2436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24362" w:rsidRPr="00B24362">
                  <w:t>TWA</w:t>
                </w:r>
                <w:r w:rsidR="00B24362">
                  <w:t>: 10 ppm (29 mg/m</w:t>
                </w:r>
                <w:r w:rsidR="00B24362" w:rsidRPr="00B24362">
                  <w:rPr>
                    <w:vertAlign w:val="superscript"/>
                  </w:rPr>
                  <w:t>3</w:t>
                </w:r>
                <w:r w:rsidR="00B24362">
                  <w:t>)</w:t>
                </w:r>
              </w:sdtContent>
            </w:sdt>
          </w:p>
        </w:tc>
      </w:tr>
      <w:tr w:rsidR="00DA352E" w:rsidRPr="00DA352E" w14:paraId="01022BD4" w14:textId="77777777" w:rsidTr="00F77220">
        <w:trPr>
          <w:gridAfter w:val="1"/>
          <w:wAfter w:w="8" w:type="pct"/>
          <w:cantSplit/>
        </w:trPr>
        <w:tc>
          <w:tcPr>
            <w:tcW w:w="4992" w:type="pct"/>
          </w:tcPr>
          <w:p w14:paraId="76271100" w14:textId="77777777" w:rsidR="00DA352E" w:rsidRDefault="009B060E" w:rsidP="003365A5">
            <w:pPr>
              <w:pStyle w:val="Tabletextprimarysource"/>
            </w:pPr>
            <w:r>
              <w:t>Summary of additional data:</w:t>
            </w:r>
          </w:p>
          <w:p w14:paraId="53C4117A" w14:textId="77777777" w:rsidR="009B060E" w:rsidRDefault="00117EA5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found on effects on skin, eyes and mucous membranes</w:t>
            </w:r>
          </w:p>
          <w:p w14:paraId="23DF657D" w14:textId="77777777" w:rsidR="00117EA5" w:rsidRDefault="00117EA5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117EA5">
              <w:rPr>
                <w:vertAlign w:val="subscript"/>
              </w:rPr>
              <w:t>50</w:t>
            </w:r>
            <w:r>
              <w:t>: 2,000 ppm (5,920 mg/m</w:t>
            </w:r>
            <w:r>
              <w:rPr>
                <w:vertAlign w:val="superscript"/>
              </w:rPr>
              <w:t>3</w:t>
            </w:r>
            <w:r w:rsidR="00CE7982">
              <w:t>) (mice, inhalation, 4 h</w:t>
            </w:r>
            <w:r>
              <w:t>)</w:t>
            </w:r>
          </w:p>
          <w:p w14:paraId="4C454307" w14:textId="77777777" w:rsidR="00117EA5" w:rsidRDefault="00117EA5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found on potential carcinogenicity, mutagenicity or genotoxicity</w:t>
            </w:r>
          </w:p>
          <w:p w14:paraId="682DFD06" w14:textId="5CB46C48" w:rsidR="00480A47" w:rsidRDefault="00480A47" w:rsidP="006C2CF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Toxicological database considered too poor to justify recommendation of health-based OEL, but committee considered TWA of 10 ppm too high based on effects observed in 19</w:t>
            </w:r>
            <w:r w:rsidR="00D94D03">
              <w:noBreakHyphen/>
            </w:r>
            <w:r>
              <w:t>wk inhalation study with rats.</w:t>
            </w:r>
          </w:p>
          <w:p w14:paraId="18293C7C" w14:textId="7CE494D0" w:rsidR="006C2CF6" w:rsidRPr="00DA352E" w:rsidRDefault="006C2CF6" w:rsidP="006C2CF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4B58222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F77220" w14:paraId="66234864" w14:textId="77777777" w:rsidTr="00F77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F223C16" w14:textId="77777777" w:rsidR="004966BF" w:rsidRPr="00F77220" w:rsidRDefault="004966BF" w:rsidP="00263255">
            <w:pPr>
              <w:pStyle w:val="Tableheader"/>
              <w:rPr>
                <w:b/>
              </w:rPr>
            </w:pPr>
            <w:r w:rsidRPr="00F77220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F67CCBE" w14:textId="77777777" w:rsidR="004966BF" w:rsidRPr="00F77220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266A11" w14:textId="77777777" w:rsidR="004966BF" w:rsidRPr="00F77220" w:rsidRDefault="004966BF" w:rsidP="00263255">
            <w:pPr>
              <w:pStyle w:val="Tableheader"/>
              <w:rPr>
                <w:b/>
              </w:rPr>
            </w:pPr>
            <w:r w:rsidRPr="00F77220">
              <w:rPr>
                <w:b/>
              </w:rP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8BFEE3C" w14:textId="77777777" w:rsidR="004966BF" w:rsidRPr="00F77220" w:rsidRDefault="004966BF" w:rsidP="00263255">
            <w:pPr>
              <w:pStyle w:val="Tableheader"/>
              <w:rPr>
                <w:b/>
              </w:rPr>
            </w:pPr>
            <w:r w:rsidRPr="00F77220">
              <w:rPr>
                <w:b/>
              </w:rPr>
              <w:t>Additional information</w:t>
            </w:r>
          </w:p>
        </w:tc>
      </w:tr>
      <w:tr w:rsidR="004966BF" w:rsidRPr="004C23F4" w14:paraId="0CA26788" w14:textId="77777777" w:rsidTr="00F77220">
        <w:trPr>
          <w:cantSplit/>
        </w:trPr>
        <w:tc>
          <w:tcPr>
            <w:tcW w:w="1496" w:type="dxa"/>
          </w:tcPr>
          <w:p w14:paraId="729D00F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C39E483" w14:textId="77777777" w:rsidR="004966BF" w:rsidRPr="00CE617F" w:rsidRDefault="00AD7C6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24E8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0029AB" w14:textId="77777777" w:rsidR="004966BF" w:rsidRPr="004C23F4" w:rsidRDefault="00DB0FF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6" w:type="dxa"/>
          </w:tcPr>
          <w:p w14:paraId="354B41D0" w14:textId="0505FE31" w:rsidR="004966BF" w:rsidRDefault="00CE7982" w:rsidP="006C2C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Time adjusted 4</w:t>
            </w:r>
            <w:r w:rsidR="006631E5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h</w:t>
            </w:r>
            <w:r w:rsidR="000C6AFD">
              <w:rPr>
                <w:rStyle w:val="checkbox"/>
                <w:rFonts w:ascii="Arial" w:hAnsi="Arial" w:cs="Arial"/>
              </w:rPr>
              <w:t xml:space="preserve"> LC</w:t>
            </w:r>
            <w:r w:rsidR="000C6AFD" w:rsidRPr="000C6AFD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2C27B9">
              <w:rPr>
                <w:rStyle w:val="checkbox"/>
                <w:rFonts w:ascii="Arial" w:hAnsi="Arial" w:cs="Arial"/>
              </w:rPr>
              <w:t>of</w:t>
            </w:r>
            <w:r>
              <w:rPr>
                <w:rStyle w:val="checkbox"/>
                <w:rFonts w:ascii="Arial" w:hAnsi="Arial" w:cs="Arial"/>
              </w:rPr>
              <w:t xml:space="preserve"> 3,350 ppm (from 1</w:t>
            </w:r>
            <w:r w:rsidR="002D22B5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h</w:t>
            </w:r>
            <w:r w:rsidR="000C6AFD">
              <w:rPr>
                <w:rStyle w:val="checkbox"/>
                <w:rFonts w:ascii="Arial" w:hAnsi="Arial" w:cs="Arial"/>
              </w:rPr>
              <w:t xml:space="preserve"> rat study </w:t>
            </w:r>
            <w:r>
              <w:rPr>
                <w:rStyle w:val="checkbox"/>
                <w:rFonts w:ascii="Arial" w:hAnsi="Arial" w:cs="Arial"/>
              </w:rPr>
              <w:t xml:space="preserve">with a </w:t>
            </w:r>
            <w:r w:rsidR="000C6AFD">
              <w:rPr>
                <w:rStyle w:val="checkbox"/>
                <w:rFonts w:ascii="Arial" w:hAnsi="Arial" w:cs="Arial"/>
              </w:rPr>
              <w:t>LC</w:t>
            </w:r>
            <w:r w:rsidR="000C6AFD" w:rsidRPr="000C6AFD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0C6AFD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of </w:t>
            </w:r>
            <w:r w:rsidR="000C6AFD">
              <w:rPr>
                <w:rStyle w:val="checkbox"/>
                <w:rFonts w:ascii="Arial" w:hAnsi="Arial" w:cs="Arial"/>
              </w:rPr>
              <w:t>6,700 ppm)</w:t>
            </w:r>
          </w:p>
          <w:p w14:paraId="2328A759" w14:textId="10AADF19" w:rsidR="000C6AFD" w:rsidRDefault="00DB0FF4" w:rsidP="006C2C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 </w:t>
            </w:r>
            <w:r w:rsidR="002C27B9">
              <w:rPr>
                <w:rStyle w:val="checkbox"/>
                <w:rFonts w:ascii="Arial" w:hAnsi="Arial" w:cs="Arial"/>
              </w:rPr>
              <w:t xml:space="preserve">of </w:t>
            </w:r>
            <w:r>
              <w:rPr>
                <w:rStyle w:val="checkbox"/>
                <w:rFonts w:ascii="Arial" w:hAnsi="Arial" w:cs="Arial"/>
              </w:rPr>
              <w:t xml:space="preserve">5 ppm (rats, 90 d); based on haemolytic anaemia </w:t>
            </w:r>
            <w:r w:rsidR="002D22B5">
              <w:rPr>
                <w:rStyle w:val="checkbox"/>
                <w:rFonts w:ascii="Arial" w:hAnsi="Arial" w:cs="Arial"/>
              </w:rPr>
              <w:t xml:space="preserve">at </w:t>
            </w:r>
            <w:r>
              <w:rPr>
                <w:rStyle w:val="checkbox"/>
                <w:rFonts w:ascii="Arial" w:hAnsi="Arial" w:cs="Arial"/>
              </w:rPr>
              <w:t>20 ppm and greater</w:t>
            </w:r>
            <w:r w:rsidR="002D22B5">
              <w:rPr>
                <w:rStyle w:val="checkbox"/>
                <w:rFonts w:ascii="Arial" w:hAnsi="Arial" w:cs="Arial"/>
              </w:rPr>
              <w:t xml:space="preserve"> doses</w:t>
            </w:r>
          </w:p>
          <w:p w14:paraId="69A8D28D" w14:textId="336142EA" w:rsidR="00DB0FF4" w:rsidRPr="004C23F4" w:rsidRDefault="00DB0FF4" w:rsidP="006C2C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Negative results in genotoxicity assays</w:t>
            </w:r>
            <w:r w:rsidR="00FB15EB">
              <w:t>.</w:t>
            </w:r>
          </w:p>
        </w:tc>
      </w:tr>
    </w:tbl>
    <w:p w14:paraId="4D6A8CFE" w14:textId="77777777" w:rsidR="007E2A4B" w:rsidRDefault="007E2A4B"/>
    <w:bookmarkEnd w:id="0"/>
    <w:p w14:paraId="0BAFDC2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2EDDDDB" w14:textId="77777777" w:rsidTr="00EA5F03">
        <w:trPr>
          <w:trHeight w:val="454"/>
          <w:tblHeader/>
        </w:trPr>
        <w:tc>
          <w:tcPr>
            <w:tcW w:w="6597" w:type="dxa"/>
            <w:vAlign w:val="center"/>
          </w:tcPr>
          <w:p w14:paraId="749D322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D9B1E7F" w14:textId="77777777" w:rsidR="002E0D61" w:rsidRDefault="00EA5F0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726EEB2" w14:textId="77777777" w:rsidTr="00EA5F03">
        <w:trPr>
          <w:trHeight w:val="454"/>
        </w:trPr>
        <w:tc>
          <w:tcPr>
            <w:tcW w:w="6597" w:type="dxa"/>
            <w:vAlign w:val="center"/>
          </w:tcPr>
          <w:p w14:paraId="0A64EDB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D00EA3C" w14:textId="77777777" w:rsidR="008A36CF" w:rsidRDefault="00EA5F0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C2CF6" w14:paraId="7813DCE8" w14:textId="77777777" w:rsidTr="00D75681">
        <w:trPr>
          <w:trHeight w:val="454"/>
        </w:trPr>
        <w:sdt>
          <w:sdtPr>
            <w:rPr>
              <w:b/>
            </w:rPr>
            <w:id w:val="1830936485"/>
            <w:placeholder>
              <w:docPart w:val="9A1AF36217824C8087FF86AE567D8BE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CEA0022" w14:textId="68752A79" w:rsidR="006C2CF6" w:rsidRDefault="006C2CF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D0EB83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F77220" w14:paraId="27CCA6B1" w14:textId="77777777" w:rsidTr="00F77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BD698D" w14:textId="77777777" w:rsidR="00687890" w:rsidRPr="00F77220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F77220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58704B7" w14:textId="77777777" w:rsidR="00687890" w:rsidRPr="00F77220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F77220">
              <w:rPr>
                <w:b/>
              </w:rPr>
              <w:t>Notations</w:t>
            </w:r>
            <w:r w:rsidR="003A2B94" w:rsidRPr="00F77220">
              <w:rPr>
                <w:b/>
              </w:rPr>
              <w:tab/>
            </w:r>
          </w:p>
        </w:tc>
      </w:tr>
      <w:tr w:rsidR="00687890" w:rsidRPr="004C23F4" w14:paraId="1838DA28" w14:textId="77777777" w:rsidTr="00F77220">
        <w:trPr>
          <w:cantSplit/>
        </w:trPr>
        <w:tc>
          <w:tcPr>
            <w:tcW w:w="3227" w:type="dxa"/>
          </w:tcPr>
          <w:p w14:paraId="71238F5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C3F01E6" w14:textId="77777777" w:rsidR="00687890" w:rsidRPr="00DD2F9B" w:rsidRDefault="00830E3A" w:rsidP="00830E3A">
            <w:pPr>
              <w:pStyle w:val="Tablefont"/>
            </w:pPr>
            <w:r>
              <w:t>NA</w:t>
            </w:r>
          </w:p>
        </w:tc>
      </w:tr>
      <w:tr w:rsidR="007925F0" w:rsidRPr="004C23F4" w14:paraId="0523EBE2" w14:textId="77777777" w:rsidTr="00F77220">
        <w:trPr>
          <w:cantSplit/>
        </w:trPr>
        <w:tc>
          <w:tcPr>
            <w:tcW w:w="3227" w:type="dxa"/>
          </w:tcPr>
          <w:p w14:paraId="5815DEE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A157B31" w14:textId="77777777" w:rsidR="007925F0" w:rsidRPr="00DD2F9B" w:rsidRDefault="00830E3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D43BD38" w14:textId="77777777" w:rsidTr="00F77220">
        <w:trPr>
          <w:cantSplit/>
        </w:trPr>
        <w:tc>
          <w:tcPr>
            <w:tcW w:w="3227" w:type="dxa"/>
          </w:tcPr>
          <w:p w14:paraId="4E1CF1D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770D3D" w14:textId="77777777" w:rsidR="00AF483F" w:rsidRPr="00DD2F9B" w:rsidRDefault="006F57D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635CF6E" w14:textId="77777777" w:rsidTr="00F77220">
        <w:trPr>
          <w:cantSplit/>
        </w:trPr>
        <w:tc>
          <w:tcPr>
            <w:tcW w:w="3227" w:type="dxa"/>
          </w:tcPr>
          <w:p w14:paraId="6ABEE1E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7EE90CD" w14:textId="77777777" w:rsidR="00687890" w:rsidRPr="00DD2F9B" w:rsidRDefault="006F57D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6DA3411" w14:textId="77777777" w:rsidTr="00F77220">
        <w:trPr>
          <w:cantSplit/>
        </w:trPr>
        <w:tc>
          <w:tcPr>
            <w:tcW w:w="3227" w:type="dxa"/>
          </w:tcPr>
          <w:p w14:paraId="6963895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98113E" w14:textId="77777777" w:rsidR="00E41A26" w:rsidRPr="00DD2F9B" w:rsidRDefault="006F57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19FB23" w14:textId="77777777" w:rsidTr="00F77220">
        <w:trPr>
          <w:cantSplit/>
        </w:trPr>
        <w:tc>
          <w:tcPr>
            <w:tcW w:w="3227" w:type="dxa"/>
          </w:tcPr>
          <w:p w14:paraId="1C0C410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D275CA6" w14:textId="77777777" w:rsidR="002E0D61" w:rsidRPr="00DD2F9B" w:rsidRDefault="00830E3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DE00DEF" w14:textId="77777777" w:rsidTr="00F77220">
        <w:trPr>
          <w:cantSplit/>
        </w:trPr>
        <w:tc>
          <w:tcPr>
            <w:tcW w:w="3227" w:type="dxa"/>
          </w:tcPr>
          <w:p w14:paraId="21C4355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F3F63AE" w14:textId="77777777" w:rsidR="002E0D61" w:rsidRPr="00DD2F9B" w:rsidRDefault="007F53A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9DCCFC" w14:textId="77777777" w:rsidTr="00F77220">
        <w:trPr>
          <w:cantSplit/>
        </w:trPr>
        <w:tc>
          <w:tcPr>
            <w:tcW w:w="3227" w:type="dxa"/>
          </w:tcPr>
          <w:p w14:paraId="5783704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762CB3" w14:textId="77777777" w:rsidR="002E0D61" w:rsidRPr="00DD2F9B" w:rsidRDefault="007F53A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D7F9BF" w14:textId="77777777" w:rsidTr="00F77220">
        <w:trPr>
          <w:cantSplit/>
        </w:trPr>
        <w:tc>
          <w:tcPr>
            <w:tcW w:w="3227" w:type="dxa"/>
          </w:tcPr>
          <w:p w14:paraId="78CD9FF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37F687B" w14:textId="77777777" w:rsidR="002E0D61" w:rsidRPr="00DD2F9B" w:rsidRDefault="006F57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2100A8" w14:textId="77777777" w:rsidTr="00F77220">
        <w:trPr>
          <w:cantSplit/>
        </w:trPr>
        <w:tc>
          <w:tcPr>
            <w:tcW w:w="3227" w:type="dxa"/>
          </w:tcPr>
          <w:p w14:paraId="7D94DDA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308B553" w14:textId="77777777" w:rsidR="00386093" w:rsidRPr="00DD2F9B" w:rsidRDefault="006F57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79FA695" w14:textId="77777777" w:rsidTr="00F77220">
        <w:trPr>
          <w:cantSplit/>
        </w:trPr>
        <w:tc>
          <w:tcPr>
            <w:tcW w:w="3227" w:type="dxa"/>
          </w:tcPr>
          <w:p w14:paraId="5D22D5CA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C709F65" w14:textId="77777777" w:rsidR="00386093" w:rsidRPr="00DD2F9B" w:rsidRDefault="006F57D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2C661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F89991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5973EE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CC1E5BC" w14:textId="6C819CA1" w:rsidR="00932DCE" w:rsidRPr="004C23F4" w:rsidRDefault="00C24DA1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6C2CF6">
              <w:t>.</w:t>
            </w:r>
          </w:p>
        </w:tc>
      </w:tr>
    </w:tbl>
    <w:bookmarkEnd w:id="3"/>
    <w:p w14:paraId="6655FDE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72EE5A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BFBB2F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20E3C5F" w14:textId="77777777" w:rsidR="00EB3D1B" w:rsidRDefault="0027043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D2CE2A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692546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00EAB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39C047" w14:textId="77777777" w:rsidR="001B79E5" w:rsidRDefault="004F6254" w:rsidP="001B79E5">
                <w:pPr>
                  <w:pStyle w:val="Tablefont"/>
                </w:pPr>
                <w:r>
                  <w:t>71</w:t>
                </w:r>
              </w:p>
            </w:tc>
          </w:sdtContent>
        </w:sdt>
      </w:tr>
      <w:tr w:rsidR="00A31D99" w:rsidRPr="004C23F4" w14:paraId="549AA7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BD1A4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FA629B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EA988D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10DE6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3126C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6055BF" w14:textId="77777777" w:rsidTr="00EA6243">
        <w:trPr>
          <w:cantSplit/>
        </w:trPr>
        <w:tc>
          <w:tcPr>
            <w:tcW w:w="4077" w:type="dxa"/>
            <w:vAlign w:val="center"/>
          </w:tcPr>
          <w:p w14:paraId="48F2A2A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F579E4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6D4274" w14:textId="77777777" w:rsidTr="00EA6243">
        <w:trPr>
          <w:cantSplit/>
        </w:trPr>
        <w:tc>
          <w:tcPr>
            <w:tcW w:w="4077" w:type="dxa"/>
            <w:vAlign w:val="center"/>
          </w:tcPr>
          <w:p w14:paraId="2DC66A9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FF2D8A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361E5AD" w14:textId="77777777" w:rsidTr="00EA6243">
        <w:trPr>
          <w:cantSplit/>
        </w:trPr>
        <w:tc>
          <w:tcPr>
            <w:tcW w:w="4077" w:type="dxa"/>
            <w:vAlign w:val="center"/>
          </w:tcPr>
          <w:p w14:paraId="049B04D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1504B1" w14:textId="77777777" w:rsidR="00E06F40" w:rsidRPr="00A006A0" w:rsidRDefault="00AD7C6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E7982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DB4DC7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514B84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7B7B8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23FCFD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D5100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6EF5C5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7B60B1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1D4DB1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DE61FF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065A81E" w14:textId="77777777" w:rsidR="00DB0FF4" w:rsidRPr="00E461B8" w:rsidRDefault="00DB0FF4" w:rsidP="00DB0FF4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6EF48C2" w14:textId="77777777" w:rsidR="00ED5FF9" w:rsidRDefault="00ED5FF9" w:rsidP="00ED5FF9">
      <w:pPr>
        <w:rPr>
          <w:b/>
        </w:rPr>
      </w:pPr>
      <w:r w:rsidRPr="002022B6">
        <w:t>Health Council of the Netherlands</w:t>
      </w:r>
      <w:r>
        <w:t xml:space="preserve"> (HCOTN) (2004) </w:t>
      </w:r>
      <w:r w:rsidRPr="00ED5FF9">
        <w:t>Nitrogen trifluoride</w:t>
      </w:r>
      <w:r w:rsidRPr="005F7416">
        <w:t xml:space="preserve">. </w:t>
      </w:r>
      <w:r w:rsidRPr="00ED5FF9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2000/15OSH/125.</w:t>
      </w:r>
    </w:p>
    <w:p w14:paraId="34C72DB8" w14:textId="77777777" w:rsidR="00ED5FF9" w:rsidRDefault="00ED5FF9" w:rsidP="00ED5FF9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C639198E345D46CC9B307E8B47E277DB"/>
          </w:placeholder>
          <w:temporary/>
          <w:showingPlcHdr/>
        </w:sdtPr>
        <w:sdtEndPr/>
        <w:sdtContent>
          <w:r w:rsidRPr="00ED5FF9">
            <w:t>1994</w:t>
          </w:r>
        </w:sdtContent>
      </w:sdt>
      <w:r>
        <w:t>) Immediately dangerous to life or health concentrations – nitrogen trifluoride.</w:t>
      </w:r>
    </w:p>
    <w:p w14:paraId="5831BBA4" w14:textId="77777777" w:rsidR="00ED5FF9" w:rsidRPr="00351FE0" w:rsidRDefault="00ED5FF9" w:rsidP="00084859"/>
    <w:sectPr w:rsidR="00ED5FF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5CFE7" w14:textId="77777777" w:rsidR="00025ED5" w:rsidRDefault="00025ED5" w:rsidP="00F43AD5">
      <w:pPr>
        <w:spacing w:after="0" w:line="240" w:lineRule="auto"/>
      </w:pPr>
      <w:r>
        <w:separator/>
      </w:r>
    </w:p>
  </w:endnote>
  <w:endnote w:type="continuationSeparator" w:id="0">
    <w:p w14:paraId="48D39896" w14:textId="77777777" w:rsidR="00025ED5" w:rsidRDefault="00025ED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6416" w14:textId="77777777" w:rsidR="00F77220" w:rsidRDefault="00F77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EE8E93D" w14:textId="77777777" w:rsidR="008A36CF" w:rsidRDefault="004F625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Nitrogen trifluoride</w:t>
        </w:r>
        <w:r w:rsidR="008A36CF">
          <w:rPr>
            <w:b/>
            <w:sz w:val="18"/>
            <w:szCs w:val="18"/>
          </w:rPr>
          <w:t xml:space="preserve"> (</w:t>
        </w:r>
        <w:r w:rsidRPr="004F6254">
          <w:rPr>
            <w:b/>
            <w:sz w:val="18"/>
            <w:szCs w:val="18"/>
          </w:rPr>
          <w:t>7783-54-2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79682C">
          <w:rPr>
            <w:sz w:val="18"/>
            <w:szCs w:val="18"/>
          </w:rPr>
          <w:t>20</w:t>
        </w:r>
      </w:p>
      <w:p w14:paraId="68489E6D" w14:textId="173BA63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5145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7882C" w14:textId="77777777" w:rsidR="00F77220" w:rsidRDefault="00F77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F5AF1" w14:textId="77777777" w:rsidR="00025ED5" w:rsidRDefault="00025ED5" w:rsidP="00F43AD5">
      <w:pPr>
        <w:spacing w:after="0" w:line="240" w:lineRule="auto"/>
      </w:pPr>
      <w:r>
        <w:separator/>
      </w:r>
    </w:p>
  </w:footnote>
  <w:footnote w:type="continuationSeparator" w:id="0">
    <w:p w14:paraId="422646C5" w14:textId="77777777" w:rsidR="00025ED5" w:rsidRDefault="00025ED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CFD8" w14:textId="256E0E1D" w:rsidR="00F77220" w:rsidRDefault="00F772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555E" w14:textId="0A202FA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81FE3C" wp14:editId="2F03420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97F21" w14:textId="7E4E85C0" w:rsidR="00F77220" w:rsidRDefault="00F772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F5A59" w14:textId="5777C054" w:rsidR="00F77220" w:rsidRDefault="00F7722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4C8B" w14:textId="281A4290" w:rsidR="008A36CF" w:rsidRDefault="00F77220" w:rsidP="00F43AD5">
    <w:pPr>
      <w:pStyle w:val="Header"/>
      <w:jc w:val="right"/>
    </w:pPr>
    <w:r>
      <w:rPr>
        <w:noProof/>
      </w:rPr>
      <w:drawing>
        <wp:inline distT="0" distB="0" distL="0" distR="0" wp14:anchorId="74702DE5" wp14:editId="0E9DAC58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AA39" w14:textId="0FD0C73A" w:rsidR="00F77220" w:rsidRDefault="00F772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E8AA8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EA3207"/>
    <w:multiLevelType w:val="hybridMultilevel"/>
    <w:tmpl w:val="DEDE8A6A"/>
    <w:lvl w:ilvl="0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873612445">
    <w:abstractNumId w:val="0"/>
  </w:num>
  <w:num w:numId="2" w16cid:durableId="1436440261">
    <w:abstractNumId w:val="1"/>
  </w:num>
  <w:num w:numId="3" w16cid:durableId="2053309386">
    <w:abstractNumId w:val="0"/>
  </w:num>
  <w:num w:numId="4" w16cid:durableId="20398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ED5"/>
    <w:rsid w:val="00032B88"/>
    <w:rsid w:val="00046DF5"/>
    <w:rsid w:val="00052060"/>
    <w:rsid w:val="0005574A"/>
    <w:rsid w:val="00055FE1"/>
    <w:rsid w:val="00056EC2"/>
    <w:rsid w:val="00060B48"/>
    <w:rsid w:val="00065B56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AFD"/>
    <w:rsid w:val="000D291C"/>
    <w:rsid w:val="000E5A54"/>
    <w:rsid w:val="000E63D3"/>
    <w:rsid w:val="000E67CF"/>
    <w:rsid w:val="001044A6"/>
    <w:rsid w:val="0010461E"/>
    <w:rsid w:val="00106FAA"/>
    <w:rsid w:val="00113443"/>
    <w:rsid w:val="00117EA5"/>
    <w:rsid w:val="001247C7"/>
    <w:rsid w:val="001269A7"/>
    <w:rsid w:val="00131092"/>
    <w:rsid w:val="00140E6A"/>
    <w:rsid w:val="00146545"/>
    <w:rsid w:val="00146B75"/>
    <w:rsid w:val="0015266D"/>
    <w:rsid w:val="0015288A"/>
    <w:rsid w:val="00160F47"/>
    <w:rsid w:val="00174CB0"/>
    <w:rsid w:val="00177CA1"/>
    <w:rsid w:val="00183823"/>
    <w:rsid w:val="00183942"/>
    <w:rsid w:val="001A009E"/>
    <w:rsid w:val="001A1287"/>
    <w:rsid w:val="001A3859"/>
    <w:rsid w:val="001A3C9D"/>
    <w:rsid w:val="001A43F8"/>
    <w:rsid w:val="001B3695"/>
    <w:rsid w:val="001B79E5"/>
    <w:rsid w:val="001C1781"/>
    <w:rsid w:val="001D56F0"/>
    <w:rsid w:val="001D663B"/>
    <w:rsid w:val="001D7B41"/>
    <w:rsid w:val="001E40B7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43E"/>
    <w:rsid w:val="00276494"/>
    <w:rsid w:val="00277B0C"/>
    <w:rsid w:val="002902E7"/>
    <w:rsid w:val="002B1A2C"/>
    <w:rsid w:val="002C27B9"/>
    <w:rsid w:val="002C34F2"/>
    <w:rsid w:val="002C58FF"/>
    <w:rsid w:val="002C7AFE"/>
    <w:rsid w:val="002D05D2"/>
    <w:rsid w:val="002D22B5"/>
    <w:rsid w:val="002E0D61"/>
    <w:rsid w:val="002E4C7B"/>
    <w:rsid w:val="0030740C"/>
    <w:rsid w:val="003137D9"/>
    <w:rsid w:val="00314475"/>
    <w:rsid w:val="00315833"/>
    <w:rsid w:val="00317000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89D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453"/>
    <w:rsid w:val="004515EE"/>
    <w:rsid w:val="004529F0"/>
    <w:rsid w:val="00460A03"/>
    <w:rsid w:val="00465642"/>
    <w:rsid w:val="00472A11"/>
    <w:rsid w:val="00472AAD"/>
    <w:rsid w:val="00474E33"/>
    <w:rsid w:val="00476803"/>
    <w:rsid w:val="00480A47"/>
    <w:rsid w:val="00485BFD"/>
    <w:rsid w:val="004867A2"/>
    <w:rsid w:val="004873F2"/>
    <w:rsid w:val="00490D4C"/>
    <w:rsid w:val="00493A35"/>
    <w:rsid w:val="0049527A"/>
    <w:rsid w:val="004966BF"/>
    <w:rsid w:val="00497984"/>
    <w:rsid w:val="004A35ED"/>
    <w:rsid w:val="004A5088"/>
    <w:rsid w:val="004C1BA4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254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4E82"/>
    <w:rsid w:val="00625200"/>
    <w:rsid w:val="006363A8"/>
    <w:rsid w:val="00636DB7"/>
    <w:rsid w:val="00650905"/>
    <w:rsid w:val="006532ED"/>
    <w:rsid w:val="006549F2"/>
    <w:rsid w:val="006567B7"/>
    <w:rsid w:val="00657BFB"/>
    <w:rsid w:val="006631E5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CF6"/>
    <w:rsid w:val="006D79EA"/>
    <w:rsid w:val="006E5D05"/>
    <w:rsid w:val="006F2DEC"/>
    <w:rsid w:val="006F57D7"/>
    <w:rsid w:val="00701053"/>
    <w:rsid w:val="00701507"/>
    <w:rsid w:val="00714021"/>
    <w:rsid w:val="00716A0F"/>
    <w:rsid w:val="00717D45"/>
    <w:rsid w:val="007208F7"/>
    <w:rsid w:val="007218AF"/>
    <w:rsid w:val="00727402"/>
    <w:rsid w:val="007365D1"/>
    <w:rsid w:val="00740E0E"/>
    <w:rsid w:val="0074774D"/>
    <w:rsid w:val="00750212"/>
    <w:rsid w:val="00751215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82C"/>
    <w:rsid w:val="007B1B42"/>
    <w:rsid w:val="007C30EB"/>
    <w:rsid w:val="007C7640"/>
    <w:rsid w:val="007E063C"/>
    <w:rsid w:val="007E2A4B"/>
    <w:rsid w:val="007E307D"/>
    <w:rsid w:val="007E6A4E"/>
    <w:rsid w:val="007E6C94"/>
    <w:rsid w:val="007F1005"/>
    <w:rsid w:val="007F25E0"/>
    <w:rsid w:val="007F5328"/>
    <w:rsid w:val="007F53A8"/>
    <w:rsid w:val="00804F5A"/>
    <w:rsid w:val="00810C6D"/>
    <w:rsid w:val="00812887"/>
    <w:rsid w:val="00826F21"/>
    <w:rsid w:val="00830E3A"/>
    <w:rsid w:val="00834CC8"/>
    <w:rsid w:val="00835E00"/>
    <w:rsid w:val="00837113"/>
    <w:rsid w:val="008414E4"/>
    <w:rsid w:val="00843E21"/>
    <w:rsid w:val="0084508E"/>
    <w:rsid w:val="00857A8A"/>
    <w:rsid w:val="00857D84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43C7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0E74"/>
    <w:rsid w:val="0092133B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717"/>
    <w:rsid w:val="00960718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60E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6C1"/>
    <w:rsid w:val="00A633D4"/>
    <w:rsid w:val="00A6461A"/>
    <w:rsid w:val="00A84504"/>
    <w:rsid w:val="00A8672F"/>
    <w:rsid w:val="00A93057"/>
    <w:rsid w:val="00A939AC"/>
    <w:rsid w:val="00A968B0"/>
    <w:rsid w:val="00AB2672"/>
    <w:rsid w:val="00AB2817"/>
    <w:rsid w:val="00AB43C4"/>
    <w:rsid w:val="00AC32E7"/>
    <w:rsid w:val="00AC3A9F"/>
    <w:rsid w:val="00AC6D2F"/>
    <w:rsid w:val="00AD7C64"/>
    <w:rsid w:val="00AE2745"/>
    <w:rsid w:val="00AE2F64"/>
    <w:rsid w:val="00AF42CB"/>
    <w:rsid w:val="00AF483F"/>
    <w:rsid w:val="00AF5E07"/>
    <w:rsid w:val="00AF5F06"/>
    <w:rsid w:val="00B00A25"/>
    <w:rsid w:val="00B10B97"/>
    <w:rsid w:val="00B12370"/>
    <w:rsid w:val="00B1422A"/>
    <w:rsid w:val="00B1765C"/>
    <w:rsid w:val="00B213C4"/>
    <w:rsid w:val="00B24362"/>
    <w:rsid w:val="00B40C60"/>
    <w:rsid w:val="00B479A9"/>
    <w:rsid w:val="00B52EDF"/>
    <w:rsid w:val="00B56777"/>
    <w:rsid w:val="00B71188"/>
    <w:rsid w:val="00B76A41"/>
    <w:rsid w:val="00B87D4C"/>
    <w:rsid w:val="00B93646"/>
    <w:rsid w:val="00B93820"/>
    <w:rsid w:val="00BA0B38"/>
    <w:rsid w:val="00BA0E8E"/>
    <w:rsid w:val="00BA1DBB"/>
    <w:rsid w:val="00BA4510"/>
    <w:rsid w:val="00BA529A"/>
    <w:rsid w:val="00BB612A"/>
    <w:rsid w:val="00BC52A0"/>
    <w:rsid w:val="00BD499F"/>
    <w:rsid w:val="00BD56DE"/>
    <w:rsid w:val="00BF2406"/>
    <w:rsid w:val="00C06E43"/>
    <w:rsid w:val="00C16315"/>
    <w:rsid w:val="00C24DA1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E36"/>
    <w:rsid w:val="00CE5AD6"/>
    <w:rsid w:val="00CE617F"/>
    <w:rsid w:val="00CE78EF"/>
    <w:rsid w:val="00CE7982"/>
    <w:rsid w:val="00D048F7"/>
    <w:rsid w:val="00D0517E"/>
    <w:rsid w:val="00D140FC"/>
    <w:rsid w:val="00D21D8C"/>
    <w:rsid w:val="00D30DC7"/>
    <w:rsid w:val="00D31357"/>
    <w:rsid w:val="00D33220"/>
    <w:rsid w:val="00D334D1"/>
    <w:rsid w:val="00D44C89"/>
    <w:rsid w:val="00D516CD"/>
    <w:rsid w:val="00D53CE2"/>
    <w:rsid w:val="00D566E5"/>
    <w:rsid w:val="00D668E6"/>
    <w:rsid w:val="00D70670"/>
    <w:rsid w:val="00D74D80"/>
    <w:rsid w:val="00D76624"/>
    <w:rsid w:val="00D87570"/>
    <w:rsid w:val="00D91CB9"/>
    <w:rsid w:val="00D94D03"/>
    <w:rsid w:val="00D97989"/>
    <w:rsid w:val="00D97D8D"/>
    <w:rsid w:val="00DA352E"/>
    <w:rsid w:val="00DB0FF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039"/>
    <w:rsid w:val="00E37CFD"/>
    <w:rsid w:val="00E41A26"/>
    <w:rsid w:val="00E422F8"/>
    <w:rsid w:val="00E46BCB"/>
    <w:rsid w:val="00E46E58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F03"/>
    <w:rsid w:val="00EA6243"/>
    <w:rsid w:val="00EA74AB"/>
    <w:rsid w:val="00EB3D1B"/>
    <w:rsid w:val="00ED1D89"/>
    <w:rsid w:val="00ED5FF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7220"/>
    <w:rsid w:val="00F87D92"/>
    <w:rsid w:val="00F90AA7"/>
    <w:rsid w:val="00F92498"/>
    <w:rsid w:val="00F9496B"/>
    <w:rsid w:val="00F970C9"/>
    <w:rsid w:val="00FA06A8"/>
    <w:rsid w:val="00FA3DF5"/>
    <w:rsid w:val="00FA741F"/>
    <w:rsid w:val="00FB15EB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2B09D4A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ED5FF9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247C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0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F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FF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5E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639198E345D46CC9B307E8B47E27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3E574-6991-4952-9302-81C9AB4CEA6D}"/>
      </w:docPartPr>
      <w:docPartBody>
        <w:p w:rsidR="00DF2271" w:rsidRDefault="00ED67E7" w:rsidP="00ED67E7">
          <w:pPr>
            <w:pStyle w:val="C639198E345D46CC9B307E8B47E277DB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1CEC8B723BD545F4944B2252EB8FE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96516-381A-4696-8A1B-5C5873F1FFD3}"/>
      </w:docPartPr>
      <w:docPartBody>
        <w:p w:rsidR="002B3028" w:rsidRDefault="00DF2271" w:rsidP="00DF2271">
          <w:pPr>
            <w:pStyle w:val="1CEC8B723BD545F4944B2252EB8FE5A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A1AF36217824C8087FF86AE567D8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B324A-77B8-4F4D-A687-26ED03A4E4FE}"/>
      </w:docPartPr>
      <w:docPartBody>
        <w:p w:rsidR="000B1CA8" w:rsidRDefault="00BD7F1B" w:rsidP="00BD7F1B">
          <w:pPr>
            <w:pStyle w:val="9A1AF36217824C8087FF86AE567D8BE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1CA8"/>
    <w:rsid w:val="002B3028"/>
    <w:rsid w:val="00900214"/>
    <w:rsid w:val="00BD7F1B"/>
    <w:rsid w:val="00CD4E36"/>
    <w:rsid w:val="00D21A9F"/>
    <w:rsid w:val="00DF2271"/>
    <w:rsid w:val="00E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7F1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639198E345D46CC9B307E8B47E277DB">
    <w:name w:val="C639198E345D46CC9B307E8B47E277DB"/>
    <w:rsid w:val="00ED67E7"/>
    <w:rPr>
      <w:lang w:val="en-US" w:eastAsia="en-US"/>
    </w:rPr>
  </w:style>
  <w:style w:type="paragraph" w:customStyle="1" w:styleId="1CEC8B723BD545F4944B2252EB8FE5A2">
    <w:name w:val="1CEC8B723BD545F4944B2252EB8FE5A2"/>
    <w:rsid w:val="00DF2271"/>
  </w:style>
  <w:style w:type="paragraph" w:customStyle="1" w:styleId="9A1AF36217824C8087FF86AE567D8BEA">
    <w:name w:val="9A1AF36217824C8087FF86AE567D8BEA"/>
    <w:rsid w:val="00BD7F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6CEC8-3E1B-4E38-A849-C37B264C7D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5EE0CB-C349-49C9-A78D-D5B3761370C5}"/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bf54d604-3e62-4e70-ba33-9e9084b96a66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2020-02-11T05:08:00Z</dcterms:created>
  <dcterms:modified xsi:type="dcterms:W3CDTF">2026-01-02T05:20:00Z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2026-01-02T05:20:39Z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ca689764-3e4c-4832-9e79-aead21d91428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