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4217858" w14:textId="4D25105D" w:rsidR="00BD499F" w:rsidRPr="004C23F4" w:rsidRDefault="00EE19A3" w:rsidP="00B40C60">
          <w:pPr>
            <w:pStyle w:val="Heading1"/>
            <w:jc w:val="center"/>
            <w:rPr>
              <w:rFonts w:ascii="Arial" w:hAnsi="Arial" w:cs="Arial"/>
            </w:rPr>
          </w:pPr>
          <w:r w:rsidRPr="00B000DC">
            <w:rPr>
              <w:rFonts w:cs="Arial"/>
            </w:rPr>
            <w:t xml:space="preserve">nickel, </w:t>
          </w:r>
          <w:r>
            <w:rPr>
              <w:rFonts w:cs="Arial"/>
            </w:rPr>
            <w:t xml:space="preserve">metal and </w:t>
          </w:r>
          <w:r w:rsidRPr="00B000DC">
            <w:rPr>
              <w:rFonts w:cs="Arial"/>
            </w:rPr>
            <w:t xml:space="preserve">insoluble COMPOUNDS </w:t>
          </w:r>
          <w:r>
            <w:rPr>
              <w:rFonts w:cs="Arial"/>
            </w:rPr>
            <w:t xml:space="preserve"> </w:t>
          </w:r>
          <w:r w:rsidRPr="00B000DC">
            <w:rPr>
              <w:rFonts w:cs="Arial"/>
            </w:rPr>
            <w:t>(as ni)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3"/>
        <w:gridCol w:w="5033"/>
      </w:tblGrid>
      <w:tr w:rsidR="00F43AD5" w:rsidRPr="004C23F4" w14:paraId="0EE19B23" w14:textId="77777777" w:rsidTr="00B76A41">
        <w:trPr>
          <w:cantSplit/>
          <w:tblHeader/>
        </w:trPr>
        <w:tc>
          <w:tcPr>
            <w:tcW w:w="4077" w:type="dxa"/>
          </w:tcPr>
          <w:p w14:paraId="23129B24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1BD67F62" w14:textId="3E736238" w:rsidR="00F43AD5" w:rsidRPr="00717D45" w:rsidRDefault="00E54E89" w:rsidP="00B76A41">
            <w:pPr>
              <w:pStyle w:val="Tablefont"/>
            </w:pPr>
            <w:r>
              <w:t>7440-02-0</w:t>
            </w:r>
            <w:r w:rsidR="00E72583">
              <w:t xml:space="preserve"> (Nickel metal)</w:t>
            </w:r>
          </w:p>
        </w:tc>
      </w:tr>
      <w:tr w:rsidR="00F43AD5" w:rsidRPr="004C23F4" w14:paraId="629482F8" w14:textId="77777777" w:rsidTr="00B76A41">
        <w:trPr>
          <w:cantSplit/>
        </w:trPr>
        <w:tc>
          <w:tcPr>
            <w:tcW w:w="4077" w:type="dxa"/>
          </w:tcPr>
          <w:p w14:paraId="00093A9A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7D19D1DA" w14:textId="77777777" w:rsidR="00F43AD5" w:rsidRPr="00717D45" w:rsidRDefault="00A12E7E" w:rsidP="00B76A41">
            <w:pPr>
              <w:pStyle w:val="Tablefont"/>
            </w:pPr>
            <w:r>
              <w:t>—</w:t>
            </w:r>
          </w:p>
        </w:tc>
      </w:tr>
      <w:tr w:rsidR="00F43AD5" w:rsidRPr="004C23F4" w14:paraId="6349FDBE" w14:textId="77777777" w:rsidTr="00B76A41">
        <w:trPr>
          <w:cantSplit/>
        </w:trPr>
        <w:tc>
          <w:tcPr>
            <w:tcW w:w="4077" w:type="dxa"/>
          </w:tcPr>
          <w:p w14:paraId="7671456C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72813E90" w14:textId="77777777" w:rsidR="00F43AD5" w:rsidRPr="00717D45" w:rsidRDefault="00A12E7E" w:rsidP="00B76A41">
            <w:pPr>
              <w:pStyle w:val="Tablefont"/>
            </w:pPr>
            <w:r>
              <w:t>Ni</w:t>
            </w:r>
          </w:p>
        </w:tc>
      </w:tr>
      <w:tr w:rsidR="00F43AD5" w:rsidRPr="004C23F4" w14:paraId="31F0FC35" w14:textId="77777777" w:rsidTr="00B76A41">
        <w:trPr>
          <w:cantSplit/>
        </w:trPr>
        <w:tc>
          <w:tcPr>
            <w:tcW w:w="4077" w:type="dxa"/>
          </w:tcPr>
          <w:p w14:paraId="28983D5D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7376DC5E" w14:textId="77777777" w:rsidR="00F43AD5" w:rsidRPr="00B40C60" w:rsidRDefault="00A12E7E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0508530D" w14:textId="0D8E59B1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373D82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2A10C41F" w14:textId="77777777" w:rsidTr="00A12E7E">
        <w:trPr>
          <w:cantSplit/>
          <w:tblHeader/>
        </w:trPr>
        <w:tc>
          <w:tcPr>
            <w:tcW w:w="4010" w:type="dxa"/>
            <w:vAlign w:val="center"/>
          </w:tcPr>
          <w:p w14:paraId="2B66CC60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21BB50A0" w14:textId="53699781" w:rsidR="002C7AFE" w:rsidRPr="00665FF6" w:rsidRDefault="00665FF6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0.1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 xml:space="preserve"> (Ni</w:t>
            </w:r>
            <w:r w:rsidR="004A02CC">
              <w:rPr>
                <w:b/>
              </w:rPr>
              <w:t xml:space="preserve">, as inhalable) </w:t>
            </w:r>
          </w:p>
        </w:tc>
      </w:tr>
      <w:tr w:rsidR="00A12E7E" w:rsidRPr="004C23F4" w14:paraId="597E813F" w14:textId="77777777" w:rsidTr="00A12E7E">
        <w:trPr>
          <w:cantSplit/>
        </w:trPr>
        <w:tc>
          <w:tcPr>
            <w:tcW w:w="4010" w:type="dxa"/>
            <w:vAlign w:val="center"/>
          </w:tcPr>
          <w:p w14:paraId="6040A35D" w14:textId="77777777" w:rsidR="00A12E7E" w:rsidRPr="002C58FF" w:rsidRDefault="00A12E7E" w:rsidP="00A12E7E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2AC81947" w14:textId="77777777" w:rsidR="00A12E7E" w:rsidRPr="00A12E7E" w:rsidRDefault="00A12E7E" w:rsidP="00A12E7E">
            <w:pPr>
              <w:pStyle w:val="Tablefont"/>
              <w:rPr>
                <w:b/>
              </w:rPr>
            </w:pPr>
            <w:r w:rsidRPr="00236203">
              <w:rPr>
                <w:b/>
              </w:rPr>
              <w:t>—</w:t>
            </w:r>
          </w:p>
        </w:tc>
      </w:tr>
      <w:tr w:rsidR="00A12E7E" w:rsidRPr="004C23F4" w14:paraId="6E91F9B8" w14:textId="77777777" w:rsidTr="00A12E7E">
        <w:trPr>
          <w:cantSplit/>
        </w:trPr>
        <w:tc>
          <w:tcPr>
            <w:tcW w:w="4010" w:type="dxa"/>
            <w:vAlign w:val="center"/>
          </w:tcPr>
          <w:p w14:paraId="65314086" w14:textId="77777777" w:rsidR="00A12E7E" w:rsidRPr="002C58FF" w:rsidRDefault="00A12E7E" w:rsidP="00A12E7E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2D855170" w14:textId="77777777" w:rsidR="00A12E7E" w:rsidRPr="00A12E7E" w:rsidRDefault="00A12E7E" w:rsidP="00A12E7E">
            <w:pPr>
              <w:pStyle w:val="Tablefont"/>
              <w:rPr>
                <w:b/>
              </w:rPr>
            </w:pPr>
            <w:r w:rsidRPr="00236203">
              <w:rPr>
                <w:b/>
              </w:rPr>
              <w:t>—</w:t>
            </w:r>
          </w:p>
        </w:tc>
      </w:tr>
      <w:tr w:rsidR="00A12E7E" w:rsidRPr="004C23F4" w14:paraId="7BB1B62D" w14:textId="77777777" w:rsidTr="00A12E7E">
        <w:trPr>
          <w:cantSplit/>
        </w:trPr>
        <w:tc>
          <w:tcPr>
            <w:tcW w:w="4010" w:type="dxa"/>
          </w:tcPr>
          <w:p w14:paraId="71260559" w14:textId="77777777" w:rsidR="00A12E7E" w:rsidRPr="002C58FF" w:rsidRDefault="00A12E7E" w:rsidP="00A12E7E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5AA80AC3" w14:textId="34D294DC" w:rsidR="00A12E7E" w:rsidRPr="00A12E7E" w:rsidRDefault="00ED460C" w:rsidP="00A12E7E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Carc, 2, </w:t>
            </w:r>
            <w:r w:rsidR="00E72583">
              <w:rPr>
                <w:b/>
              </w:rPr>
              <w:t>DSEN</w:t>
            </w:r>
          </w:p>
        </w:tc>
      </w:tr>
      <w:tr w:rsidR="00A12E7E" w:rsidRPr="004C23F4" w14:paraId="6B33B6DE" w14:textId="77777777" w:rsidTr="00A12E7E">
        <w:trPr>
          <w:cantSplit/>
        </w:trPr>
        <w:tc>
          <w:tcPr>
            <w:tcW w:w="4010" w:type="dxa"/>
            <w:vAlign w:val="center"/>
          </w:tcPr>
          <w:p w14:paraId="6BA6C64B" w14:textId="77777777" w:rsidR="00A12E7E" w:rsidRPr="002C58FF" w:rsidRDefault="00A12E7E" w:rsidP="00A12E7E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8122573" w14:textId="29D5A5AF" w:rsidR="00A12E7E" w:rsidRPr="00A12E7E" w:rsidRDefault="00D35C11" w:rsidP="00A12E7E">
            <w:pPr>
              <w:pStyle w:val="Tablefont"/>
              <w:rPr>
                <w:b/>
              </w:rPr>
            </w:pPr>
            <w:r>
              <w:rPr>
                <w:b/>
              </w:rPr>
              <w:t>10 mg/m</w:t>
            </w:r>
            <w:r w:rsidRPr="00D35C11">
              <w:rPr>
                <w:b/>
                <w:vertAlign w:val="superscript"/>
              </w:rPr>
              <w:t>3</w:t>
            </w:r>
          </w:p>
        </w:tc>
      </w:tr>
      <w:tr w:rsidR="00B81481" w:rsidRPr="004C23F4" w14:paraId="45D75907" w14:textId="77777777" w:rsidTr="00EC311A">
        <w:trPr>
          <w:cantSplit/>
        </w:trPr>
        <w:tc>
          <w:tcPr>
            <w:tcW w:w="9026" w:type="dxa"/>
            <w:gridSpan w:val="2"/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810"/>
            </w:tblGrid>
            <w:tr w:rsidR="00B81481" w:rsidRPr="00D225B2" w14:paraId="41A0B883" w14:textId="77777777" w:rsidTr="00EC311A">
              <w:trPr>
                <w:cantSplit/>
              </w:trPr>
              <w:tc>
                <w:tcPr>
                  <w:tcW w:w="9026" w:type="dxa"/>
                  <w:vAlign w:val="center"/>
                </w:tcPr>
                <w:p w14:paraId="7C5E1D8E" w14:textId="77777777" w:rsidR="00B81481" w:rsidRPr="00D225B2" w:rsidRDefault="00B81481" w:rsidP="00B81481">
                  <w:pPr>
                    <w:pStyle w:val="Tablefont"/>
                    <w:rPr>
                      <w:b/>
                    </w:rPr>
                  </w:pPr>
                  <w:r w:rsidRPr="00E82B18">
                    <w:rPr>
                      <w:b/>
                    </w:rPr>
                    <w:t>Sampling and analysis:</w:t>
                  </w:r>
                  <w:r w:rsidRPr="00EC521E">
                    <w:rPr>
                      <w:rStyle w:val="WESstatus"/>
                      <w:color w:val="auto"/>
                    </w:rPr>
                    <w:t xml:space="preserve"> </w:t>
                  </w:r>
                  <w:sdt>
                    <w:sdtPr>
                      <w:rPr>
                        <w:rStyle w:val="WESstatus"/>
                        <w:color w:val="auto"/>
                      </w:rPr>
                      <w:id w:val="-2105258949"/>
                      <w:placeholder>
                        <w:docPart w:val="8E5047EC650F4602A41E441DE232A4CF"/>
                      </w:placeholder>
                      <w:comboBox>
                        <w:listItem w:displayText="(Click here to enter)" w:value="(Click here to enter)"/>
      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      <w:listItem w:displayText="The recommended value is quantifiable through available sampling and analysis techniques. " w:value="The recommended value is quantifiable through available sampling and analysis techniques. "/>
      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      </w:comboBox>
                    </w:sdtPr>
                    <w:sdtEndPr>
                      <w:rPr>
                        <w:rStyle w:val="WESstatus"/>
                      </w:rPr>
                    </w:sdtEndPr>
                    <w:sdtContent>
                      <w:r>
                        <w:rPr>
                          <w:rStyle w:val="WESstatus"/>
                          <w:color w:val="auto"/>
                        </w:rPr>
                        <w:t xml:space="preserve">The recommended value is quantifiable through available sampling and analysis techniques. </w:t>
                      </w:r>
                    </w:sdtContent>
                  </w:sdt>
                </w:p>
              </w:tc>
            </w:tr>
          </w:tbl>
          <w:p w14:paraId="7AB32675" w14:textId="5BD40AD0" w:rsidR="00B81481" w:rsidRPr="00A12E7E" w:rsidRDefault="00B81481" w:rsidP="00A12E7E">
            <w:pPr>
              <w:pStyle w:val="Tablefont"/>
              <w:rPr>
                <w:b/>
              </w:rPr>
            </w:pPr>
          </w:p>
        </w:tc>
      </w:tr>
    </w:tbl>
    <w:p w14:paraId="717F4B90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3B82D457" w14:textId="634400A6" w:rsidR="006639B4" w:rsidRDefault="005718C7" w:rsidP="000C139A">
      <w:r>
        <w:t>A TWA of 0.1 mg/m</w:t>
      </w:r>
      <w:r>
        <w:rPr>
          <w:vertAlign w:val="superscript"/>
        </w:rPr>
        <w:t xml:space="preserve">3 </w:t>
      </w:r>
      <w:r w:rsidRPr="005718C7">
        <w:t xml:space="preserve">is recommended </w:t>
      </w:r>
      <w:r>
        <w:t xml:space="preserve">to protect for inflammation of the airways and to minimise the potential for </w:t>
      </w:r>
      <w:r w:rsidR="00EE19A3">
        <w:t xml:space="preserve">lung and nasal </w:t>
      </w:r>
      <w:r>
        <w:t>cancer in exposed workers.</w:t>
      </w:r>
    </w:p>
    <w:p w14:paraId="2518DF5B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34DE785" w14:textId="252334E7" w:rsidR="00602895" w:rsidRDefault="00FD24B7" w:rsidP="00FD24B7">
      <w:r>
        <w:t xml:space="preserve">Major uses of nickel metal and divalent salts include production of stainless steel, corrosion- and heat resistant alloys, catalysts for hydrogenation of fats and oils, electro-plating, coinage and alkaline batteries. This evaluation </w:t>
      </w:r>
      <w:r w:rsidR="00EE19A3">
        <w:t>covers</w:t>
      </w:r>
      <w:r>
        <w:t xml:space="preserve"> insoluble nickel compounds including nickel metal, nickel powder and sul</w:t>
      </w:r>
      <w:r w:rsidR="004F5504">
        <w:t>f</w:t>
      </w:r>
      <w:r>
        <w:t xml:space="preserve">ide roasting fume and dust. </w:t>
      </w:r>
    </w:p>
    <w:p w14:paraId="6F6FCCF5" w14:textId="2979281E" w:rsidR="00EE19A3" w:rsidRDefault="00FD24B7" w:rsidP="006465ED">
      <w:r>
        <w:t>The critical effect</w:t>
      </w:r>
      <w:r w:rsidR="00602895">
        <w:t>s</w:t>
      </w:r>
      <w:r>
        <w:t xml:space="preserve"> </w:t>
      </w:r>
      <w:r w:rsidR="00602895">
        <w:t xml:space="preserve">of </w:t>
      </w:r>
      <w:r>
        <w:t xml:space="preserve">exposure </w:t>
      </w:r>
      <w:r w:rsidR="00602895">
        <w:t xml:space="preserve">are </w:t>
      </w:r>
      <w:r>
        <w:t xml:space="preserve">respiratory </w:t>
      </w:r>
      <w:r w:rsidR="00EE19A3">
        <w:t xml:space="preserve">(nasal and lung) </w:t>
      </w:r>
      <w:r>
        <w:t>cancer</w:t>
      </w:r>
      <w:r w:rsidR="006465ED">
        <w:t xml:space="preserve"> and inflammatory responses in the lung</w:t>
      </w:r>
      <w:r>
        <w:t>.</w:t>
      </w:r>
      <w:r w:rsidR="00602895">
        <w:t xml:space="preserve"> </w:t>
      </w:r>
      <w:r w:rsidR="005664E2">
        <w:t>Several agencies have classified nickel compounds as carcinogenic, causing cancer in the lungs and nasal cavity based on observational studies in workers and evidence in animals</w:t>
      </w:r>
      <w:r w:rsidR="00006D4F">
        <w:t>. C</w:t>
      </w:r>
      <w:r w:rsidR="00CF0278">
        <w:t xml:space="preserve">arcinogenic risk is considered greater when there is exposure to mixed species of nickel </w:t>
      </w:r>
      <w:r w:rsidR="005664E2">
        <w:rPr>
          <w:rFonts w:cs="Arial"/>
        </w:rPr>
        <w:t xml:space="preserve">(ACGIH, 2018; DFG, 2010; </w:t>
      </w:r>
      <w:r w:rsidR="00BD40F3">
        <w:rPr>
          <w:rFonts w:cs="Arial"/>
        </w:rPr>
        <w:t xml:space="preserve">IARC, 2012; </w:t>
      </w:r>
      <w:r w:rsidR="005664E2">
        <w:rPr>
          <w:rFonts w:cs="Arial"/>
        </w:rPr>
        <w:t>SCOEL, 2011).</w:t>
      </w:r>
      <w:r w:rsidR="006465ED">
        <w:rPr>
          <w:rFonts w:cs="Arial"/>
        </w:rPr>
        <w:t xml:space="preserve"> </w:t>
      </w:r>
      <w:r w:rsidR="00EE19A3">
        <w:t xml:space="preserve">Nickel and nickel compounds are not directly </w:t>
      </w:r>
      <w:r w:rsidR="00DD5227">
        <w:t>mutagenic</w:t>
      </w:r>
      <w:r w:rsidR="00EE19A3">
        <w:t xml:space="preserve"> and carcinogenicity is due to mechanisms that are not directly genotoxic (AIOH, 2016; DFG, 2010; SCOEL, 2011). As such, insoluble nickel compounds are considered to have a threshold in terms of carcinogenicity.</w:t>
      </w:r>
    </w:p>
    <w:p w14:paraId="5DE5ABC9" w14:textId="115C09D1" w:rsidR="00FD24B7" w:rsidRDefault="00CD6339" w:rsidP="006465ED">
      <w:r>
        <w:rPr>
          <w:rFonts w:cs="Arial"/>
        </w:rPr>
        <w:t>AIOH (2016) cited a</w:t>
      </w:r>
      <w:r w:rsidR="006465ED">
        <w:rPr>
          <w:rFonts w:cs="Arial"/>
        </w:rPr>
        <w:t xml:space="preserve"> s</w:t>
      </w:r>
      <w:r w:rsidR="006465ED" w:rsidRPr="006465ED">
        <w:rPr>
          <w:rFonts w:cs="Arial"/>
        </w:rPr>
        <w:t xml:space="preserve">tudy of 2,521 refinery workers with more than </w:t>
      </w:r>
      <w:r w:rsidR="00EE19A3">
        <w:rPr>
          <w:rFonts w:cs="Arial"/>
        </w:rPr>
        <w:t>five</w:t>
      </w:r>
      <w:r w:rsidR="006465ED" w:rsidRPr="006465ED">
        <w:rPr>
          <w:rFonts w:cs="Arial"/>
        </w:rPr>
        <w:t xml:space="preserve"> y</w:t>
      </w:r>
      <w:r w:rsidR="006465ED">
        <w:rPr>
          <w:rFonts w:cs="Arial"/>
        </w:rPr>
        <w:t xml:space="preserve">ears </w:t>
      </w:r>
      <w:r w:rsidR="006465ED" w:rsidRPr="006465ED">
        <w:rPr>
          <w:rFonts w:cs="Arial"/>
        </w:rPr>
        <w:t xml:space="preserve">employment and relatively high </w:t>
      </w:r>
      <w:r w:rsidR="00A74992">
        <w:rPr>
          <w:rFonts w:cs="Arial"/>
        </w:rPr>
        <w:t xml:space="preserve">historic </w:t>
      </w:r>
      <w:r w:rsidR="006465ED" w:rsidRPr="006465ED">
        <w:rPr>
          <w:rFonts w:cs="Arial"/>
        </w:rPr>
        <w:t>exposures to airborne n</w:t>
      </w:r>
      <w:r w:rsidR="006465ED">
        <w:rPr>
          <w:rFonts w:cs="Arial"/>
        </w:rPr>
        <w:t>ickel</w:t>
      </w:r>
      <w:r>
        <w:rPr>
          <w:rFonts w:cs="Arial"/>
        </w:rPr>
        <w:t>. A</w:t>
      </w:r>
      <w:r w:rsidR="008F7198">
        <w:t>n</w:t>
      </w:r>
      <w:r w:rsidR="003227B9">
        <w:t xml:space="preserve"> </w:t>
      </w:r>
      <w:r w:rsidR="008F7198">
        <w:t>overall</w:t>
      </w:r>
      <w:r w:rsidR="003227B9">
        <w:t xml:space="preserve"> </w:t>
      </w:r>
      <w:r w:rsidR="008F7198">
        <w:t>non</w:t>
      </w:r>
      <w:r w:rsidR="008F7198">
        <w:rPr>
          <w:rFonts w:ascii="Cambria Math" w:hAnsi="Cambria Math" w:cs="Cambria Math"/>
        </w:rPr>
        <w:t>‐</w:t>
      </w:r>
      <w:r w:rsidR="008F7198">
        <w:t>significant</w:t>
      </w:r>
      <w:r w:rsidR="003227B9">
        <w:rPr>
          <w:rFonts w:cs="Arial"/>
        </w:rPr>
        <w:t xml:space="preserve"> </w:t>
      </w:r>
      <w:r w:rsidR="008F7198">
        <w:t>excess</w:t>
      </w:r>
      <w:r w:rsidR="003227B9">
        <w:t xml:space="preserve"> </w:t>
      </w:r>
      <w:r w:rsidR="008F7198">
        <w:t>of</w:t>
      </w:r>
      <w:r w:rsidR="003227B9">
        <w:t xml:space="preserve"> </w:t>
      </w:r>
      <w:r w:rsidR="008F7198">
        <w:t>lung</w:t>
      </w:r>
      <w:r w:rsidR="003227B9">
        <w:t xml:space="preserve"> </w:t>
      </w:r>
      <w:r w:rsidR="008F7198">
        <w:t>cancer</w:t>
      </w:r>
      <w:r w:rsidR="003227B9">
        <w:t xml:space="preserve"> </w:t>
      </w:r>
      <w:r w:rsidR="008F7198">
        <w:t>in</w:t>
      </w:r>
      <w:r w:rsidR="003227B9">
        <w:t xml:space="preserve"> </w:t>
      </w:r>
      <w:r w:rsidR="008F7198">
        <w:t>workers</w:t>
      </w:r>
      <w:r w:rsidR="003227B9">
        <w:t xml:space="preserve"> </w:t>
      </w:r>
      <w:r w:rsidR="008F7198">
        <w:t>employed</w:t>
      </w:r>
      <w:r w:rsidR="003227B9">
        <w:t xml:space="preserve"> </w:t>
      </w:r>
      <w:r w:rsidR="008F7198">
        <w:t>after</w:t>
      </w:r>
      <w:r w:rsidR="003227B9">
        <w:t xml:space="preserve"> </w:t>
      </w:r>
      <w:r w:rsidR="008F7198">
        <w:t xml:space="preserve">1952 and a significant excess was noted </w:t>
      </w:r>
      <w:r>
        <w:t xml:space="preserve">in this study </w:t>
      </w:r>
      <w:r w:rsidR="008F7198">
        <w:t xml:space="preserve">for one specific sub-group exposed in </w:t>
      </w:r>
      <w:r w:rsidR="00DC113B">
        <w:t>the range of 1 to 10 </w:t>
      </w:r>
      <w:r w:rsidR="008F7198">
        <w:t>mg/m</w:t>
      </w:r>
      <w:r w:rsidR="008F7198">
        <w:rPr>
          <w:vertAlign w:val="superscript"/>
        </w:rPr>
        <w:t>3</w:t>
      </w:r>
      <w:r w:rsidR="006465ED">
        <w:rPr>
          <w:rFonts w:cs="Arial"/>
        </w:rPr>
        <w:t xml:space="preserve">. </w:t>
      </w:r>
      <w:r w:rsidR="008F7198">
        <w:t>As</w:t>
      </w:r>
      <w:r w:rsidR="003227B9">
        <w:t xml:space="preserve"> </w:t>
      </w:r>
      <w:r w:rsidR="008F7198">
        <w:t>the</w:t>
      </w:r>
      <w:r w:rsidR="003227B9">
        <w:t xml:space="preserve"> </w:t>
      </w:r>
      <w:r w:rsidR="008F7198">
        <w:t>workers</w:t>
      </w:r>
      <w:r w:rsidR="003227B9">
        <w:t xml:space="preserve"> </w:t>
      </w:r>
      <w:r w:rsidR="008F7198">
        <w:t>were</w:t>
      </w:r>
      <w:r w:rsidR="003227B9">
        <w:t xml:space="preserve"> </w:t>
      </w:r>
      <w:r w:rsidR="008F7198">
        <w:t>tracked</w:t>
      </w:r>
      <w:r w:rsidR="003227B9">
        <w:t xml:space="preserve"> </w:t>
      </w:r>
      <w:r w:rsidR="008F7198">
        <w:t>over</w:t>
      </w:r>
      <w:r w:rsidR="003227B9">
        <w:t xml:space="preserve"> </w:t>
      </w:r>
      <w:r w:rsidR="008F7198">
        <w:t>time</w:t>
      </w:r>
      <w:r w:rsidR="003227B9">
        <w:t xml:space="preserve"> </w:t>
      </w:r>
      <w:r w:rsidR="008F7198">
        <w:t>and</w:t>
      </w:r>
      <w:r w:rsidR="003227B9">
        <w:t xml:space="preserve"> </w:t>
      </w:r>
      <w:r w:rsidR="008F7198">
        <w:t>exposures</w:t>
      </w:r>
      <w:r w:rsidR="003227B9">
        <w:t xml:space="preserve"> </w:t>
      </w:r>
      <w:r w:rsidR="008F7198">
        <w:t>were</w:t>
      </w:r>
      <w:r w:rsidR="003227B9">
        <w:t xml:space="preserve"> </w:t>
      </w:r>
      <w:r w:rsidR="00DC113B">
        <w:t>greatly</w:t>
      </w:r>
      <w:r w:rsidR="003227B9">
        <w:t xml:space="preserve"> </w:t>
      </w:r>
      <w:r w:rsidR="00DC113B">
        <w:t>reduced</w:t>
      </w:r>
      <w:r w:rsidR="008F7198">
        <w:t>, follow</w:t>
      </w:r>
      <w:r w:rsidR="008F7198">
        <w:rPr>
          <w:rFonts w:ascii="Cambria Math" w:hAnsi="Cambria Math" w:cs="Cambria Math"/>
        </w:rPr>
        <w:t>‐</w:t>
      </w:r>
      <w:r w:rsidR="008F7198">
        <w:t>up</w:t>
      </w:r>
      <w:r w:rsidR="008F7198">
        <w:rPr>
          <w:rFonts w:cs="Arial"/>
        </w:rPr>
        <w:t> </w:t>
      </w:r>
      <w:r w:rsidR="008F7198">
        <w:t>studies</w:t>
      </w:r>
      <w:r w:rsidR="003227B9">
        <w:rPr>
          <w:rFonts w:cs="Arial"/>
        </w:rPr>
        <w:t xml:space="preserve"> </w:t>
      </w:r>
      <w:r w:rsidR="008F7198">
        <w:t>demonstrated</w:t>
      </w:r>
      <w:r w:rsidR="003227B9">
        <w:rPr>
          <w:rFonts w:cs="Arial"/>
        </w:rPr>
        <w:t xml:space="preserve"> </w:t>
      </w:r>
      <w:r w:rsidR="008F7198">
        <w:t>negligible</w:t>
      </w:r>
      <w:r w:rsidR="003227B9">
        <w:rPr>
          <w:rFonts w:cs="Arial"/>
        </w:rPr>
        <w:t xml:space="preserve"> </w:t>
      </w:r>
      <w:r w:rsidR="008F7198">
        <w:t>risks</w:t>
      </w:r>
      <w:r w:rsidR="003227B9">
        <w:rPr>
          <w:rFonts w:cs="Arial"/>
        </w:rPr>
        <w:t xml:space="preserve"> </w:t>
      </w:r>
      <w:r w:rsidR="008F7198">
        <w:t>from</w:t>
      </w:r>
      <w:r w:rsidR="004F5504">
        <w:rPr>
          <w:rFonts w:cs="Arial"/>
        </w:rPr>
        <w:t xml:space="preserve"> “</w:t>
      </w:r>
      <w:r w:rsidR="008F7198">
        <w:t>total</w:t>
      </w:r>
      <w:r w:rsidR="004F5504">
        <w:rPr>
          <w:rFonts w:cs="Arial"/>
        </w:rPr>
        <w:t xml:space="preserve"> </w:t>
      </w:r>
      <w:r w:rsidR="008F7198">
        <w:t>nickel</w:t>
      </w:r>
      <w:r w:rsidR="008F7198">
        <w:rPr>
          <w:rFonts w:cs="Arial"/>
        </w:rPr>
        <w:t>”</w:t>
      </w:r>
      <w:r w:rsidR="004F5504">
        <w:rPr>
          <w:rFonts w:cs="Arial"/>
        </w:rPr>
        <w:t xml:space="preserve"> </w:t>
      </w:r>
      <w:r w:rsidR="008F7198">
        <w:t>at</w:t>
      </w:r>
      <w:r w:rsidR="003227B9">
        <w:t xml:space="preserve"> </w:t>
      </w:r>
      <w:r w:rsidR="008F7198">
        <w:t>concentrations</w:t>
      </w:r>
      <w:r w:rsidR="003227B9">
        <w:t xml:space="preserve"> </w:t>
      </w:r>
      <w:r w:rsidR="00DC113B">
        <w:t>less than 0.2 mg/m</w:t>
      </w:r>
      <w:r w:rsidR="00DC113B">
        <w:rPr>
          <w:vertAlign w:val="superscript"/>
        </w:rPr>
        <w:t>3</w:t>
      </w:r>
      <w:r w:rsidR="008F7198" w:rsidRPr="006465ED" w:rsidDel="008F7198">
        <w:rPr>
          <w:rFonts w:cs="Arial"/>
        </w:rPr>
        <w:t xml:space="preserve"> </w:t>
      </w:r>
      <w:r w:rsidR="00527892">
        <w:rPr>
          <w:rFonts w:cs="Arial"/>
        </w:rPr>
        <w:t xml:space="preserve">(AIOH, 2016). </w:t>
      </w:r>
      <w:r w:rsidR="00527892">
        <w:rPr>
          <w:rStyle w:val="checkbox"/>
          <w:rFonts w:ascii="Arial" w:hAnsi="Arial" w:cs="Arial"/>
        </w:rPr>
        <w:t>E</w:t>
      </w:r>
      <w:r w:rsidR="00527892" w:rsidRPr="00311FC7">
        <w:rPr>
          <w:rStyle w:val="checkbox"/>
          <w:rFonts w:ascii="Arial" w:hAnsi="Arial" w:cs="Arial"/>
        </w:rPr>
        <w:t>vidence</w:t>
      </w:r>
      <w:r w:rsidR="00527892">
        <w:rPr>
          <w:rStyle w:val="checkbox"/>
          <w:rFonts w:ascii="Arial" w:hAnsi="Arial" w:cs="Arial"/>
        </w:rPr>
        <w:t xml:space="preserve"> </w:t>
      </w:r>
      <w:r w:rsidR="00527892" w:rsidRPr="00311FC7">
        <w:rPr>
          <w:rStyle w:val="checkbox"/>
          <w:rFonts w:ascii="Arial" w:hAnsi="Arial" w:cs="Arial"/>
        </w:rPr>
        <w:t xml:space="preserve">of carcinogenicity </w:t>
      </w:r>
      <w:r w:rsidR="00527892">
        <w:rPr>
          <w:rStyle w:val="checkbox"/>
          <w:rFonts w:ascii="Arial" w:hAnsi="Arial" w:cs="Arial"/>
        </w:rPr>
        <w:t>in rats</w:t>
      </w:r>
      <w:r w:rsidR="00DC113B">
        <w:rPr>
          <w:rStyle w:val="checkbox"/>
          <w:rFonts w:ascii="Arial" w:hAnsi="Arial" w:cs="Arial"/>
        </w:rPr>
        <w:t xml:space="preserve"> is demonstrated </w:t>
      </w:r>
      <w:r w:rsidR="00DC113B">
        <w:t>with significant increase in lung carcinomas and adenomas</w:t>
      </w:r>
      <w:r w:rsidR="00527892" w:rsidRPr="00311FC7">
        <w:rPr>
          <w:rStyle w:val="checkbox"/>
          <w:rFonts w:ascii="Arial" w:hAnsi="Arial" w:cs="Arial"/>
        </w:rPr>
        <w:t xml:space="preserve"> at </w:t>
      </w:r>
      <w:r w:rsidR="00C63F92" w:rsidRPr="00311FC7">
        <w:rPr>
          <w:rStyle w:val="checkbox"/>
          <w:rFonts w:ascii="Arial" w:hAnsi="Arial" w:cs="Arial"/>
        </w:rPr>
        <w:t xml:space="preserve">and above </w:t>
      </w:r>
      <w:r w:rsidR="00527892" w:rsidRPr="00311FC7">
        <w:rPr>
          <w:rStyle w:val="checkbox"/>
          <w:rFonts w:ascii="Arial" w:hAnsi="Arial" w:cs="Arial"/>
        </w:rPr>
        <w:t>0.1</w:t>
      </w:r>
      <w:r w:rsidR="00373D82">
        <w:rPr>
          <w:rStyle w:val="checkbox"/>
          <w:rFonts w:ascii="Arial" w:hAnsi="Arial" w:cs="Arial"/>
        </w:rPr>
        <w:t>5</w:t>
      </w:r>
      <w:r w:rsidR="00527892">
        <w:rPr>
          <w:rStyle w:val="checkbox"/>
          <w:rFonts w:ascii="Arial" w:hAnsi="Arial" w:cs="Arial"/>
        </w:rPr>
        <w:t xml:space="preserve"> </w:t>
      </w:r>
      <w:r w:rsidR="00527892" w:rsidRPr="00311FC7">
        <w:rPr>
          <w:rStyle w:val="checkbox"/>
          <w:rFonts w:ascii="Arial" w:hAnsi="Arial" w:cs="Arial"/>
        </w:rPr>
        <w:t>mg/m</w:t>
      </w:r>
      <w:r w:rsidR="00527892" w:rsidRPr="006932F9">
        <w:rPr>
          <w:rStyle w:val="checkbox"/>
          <w:rFonts w:ascii="Arial" w:hAnsi="Arial" w:cs="Arial"/>
          <w:vertAlign w:val="superscript"/>
        </w:rPr>
        <w:t xml:space="preserve">3 </w:t>
      </w:r>
      <w:r w:rsidR="00527892" w:rsidRPr="00311FC7">
        <w:rPr>
          <w:rStyle w:val="checkbox"/>
          <w:rFonts w:ascii="Arial" w:hAnsi="Arial" w:cs="Arial"/>
        </w:rPr>
        <w:t xml:space="preserve">nickel </w:t>
      </w:r>
      <w:r w:rsidR="004F5504" w:rsidRPr="00311FC7">
        <w:rPr>
          <w:rStyle w:val="checkbox"/>
          <w:rFonts w:ascii="Arial" w:hAnsi="Arial" w:cs="Arial"/>
        </w:rPr>
        <w:t>subsul</w:t>
      </w:r>
      <w:r w:rsidR="004F5504">
        <w:rPr>
          <w:rStyle w:val="checkbox"/>
          <w:rFonts w:ascii="Arial" w:hAnsi="Arial" w:cs="Arial"/>
        </w:rPr>
        <w:t>f</w:t>
      </w:r>
      <w:r w:rsidR="004F5504" w:rsidRPr="00311FC7">
        <w:rPr>
          <w:rStyle w:val="checkbox"/>
          <w:rFonts w:ascii="Arial" w:hAnsi="Arial" w:cs="Arial"/>
        </w:rPr>
        <w:t>ide</w:t>
      </w:r>
      <w:r w:rsidR="004F5504">
        <w:rPr>
          <w:rStyle w:val="checkbox"/>
          <w:rFonts w:ascii="Arial" w:hAnsi="Arial" w:cs="Arial"/>
        </w:rPr>
        <w:t xml:space="preserve"> </w:t>
      </w:r>
      <w:r w:rsidR="00527892">
        <w:rPr>
          <w:rStyle w:val="checkbox"/>
          <w:rFonts w:ascii="Arial" w:hAnsi="Arial" w:cs="Arial"/>
        </w:rPr>
        <w:lastRenderedPageBreak/>
        <w:t>(</w:t>
      </w:r>
      <w:r w:rsidR="00EC311A">
        <w:rPr>
          <w:rStyle w:val="checkbox"/>
          <w:rFonts w:ascii="Arial" w:hAnsi="Arial" w:cs="Arial"/>
        </w:rPr>
        <w:t>Ni</w:t>
      </w:r>
      <w:r w:rsidR="00EC311A" w:rsidRPr="003227B9">
        <w:rPr>
          <w:rStyle w:val="checkbox"/>
          <w:rFonts w:ascii="Arial" w:hAnsi="Arial" w:cs="Arial"/>
          <w:vertAlign w:val="subscript"/>
        </w:rPr>
        <w:t>3</w:t>
      </w:r>
      <w:r w:rsidR="00EC311A">
        <w:rPr>
          <w:rStyle w:val="checkbox"/>
          <w:rFonts w:ascii="Arial" w:hAnsi="Arial" w:cs="Arial"/>
        </w:rPr>
        <w:t>S</w:t>
      </w:r>
      <w:r w:rsidR="00EC311A" w:rsidRPr="003227B9">
        <w:rPr>
          <w:rStyle w:val="checkbox"/>
          <w:rFonts w:ascii="Arial" w:hAnsi="Arial" w:cs="Arial"/>
          <w:vertAlign w:val="subscript"/>
        </w:rPr>
        <w:t>2</w:t>
      </w:r>
      <w:r w:rsidR="00E80A07">
        <w:rPr>
          <w:rStyle w:val="checkbox"/>
          <w:rFonts w:ascii="Arial" w:hAnsi="Arial" w:cs="Arial"/>
        </w:rPr>
        <w:t>)</w:t>
      </w:r>
      <w:r w:rsidR="004F5504">
        <w:rPr>
          <w:rStyle w:val="checkbox"/>
          <w:rFonts w:ascii="Arial" w:hAnsi="Arial" w:cs="Arial"/>
        </w:rPr>
        <w:t xml:space="preserve"> </w:t>
      </w:r>
      <w:r w:rsidR="00373D82">
        <w:rPr>
          <w:rStyle w:val="checkbox"/>
          <w:rFonts w:ascii="Arial" w:hAnsi="Arial" w:cs="Arial"/>
        </w:rPr>
        <w:t>(equivalent to 0.11 mg/m</w:t>
      </w:r>
      <w:r w:rsidR="00373D82">
        <w:rPr>
          <w:rStyle w:val="checkbox"/>
          <w:rFonts w:ascii="Arial" w:hAnsi="Arial" w:cs="Arial"/>
          <w:vertAlign w:val="superscript"/>
        </w:rPr>
        <w:t>3</w:t>
      </w:r>
      <w:r w:rsidR="00373D82">
        <w:rPr>
          <w:rStyle w:val="checkbox"/>
          <w:rFonts w:ascii="Arial" w:hAnsi="Arial" w:cs="Arial"/>
        </w:rPr>
        <w:t xml:space="preserve"> Ni). However,</w:t>
      </w:r>
      <w:r w:rsidR="00E80A07">
        <w:rPr>
          <w:rStyle w:val="checkbox"/>
          <w:rFonts w:ascii="Arial" w:hAnsi="Arial" w:cs="Arial"/>
        </w:rPr>
        <w:t xml:space="preserve"> no evidence of </w:t>
      </w:r>
      <w:r w:rsidR="00373D82">
        <w:rPr>
          <w:rStyle w:val="checkbox"/>
          <w:rFonts w:ascii="Arial" w:hAnsi="Arial" w:cs="Arial"/>
        </w:rPr>
        <w:t xml:space="preserve">carcinogenicity </w:t>
      </w:r>
      <w:r w:rsidR="008B016B">
        <w:rPr>
          <w:rStyle w:val="checkbox"/>
          <w:rFonts w:ascii="Arial" w:hAnsi="Arial" w:cs="Arial"/>
        </w:rPr>
        <w:t xml:space="preserve">is </w:t>
      </w:r>
      <w:r w:rsidR="00373D82">
        <w:rPr>
          <w:rStyle w:val="checkbox"/>
          <w:rFonts w:ascii="Arial" w:hAnsi="Arial" w:cs="Arial"/>
        </w:rPr>
        <w:t xml:space="preserve">identified in </w:t>
      </w:r>
      <w:r w:rsidR="00E80A07">
        <w:rPr>
          <w:rStyle w:val="checkbox"/>
          <w:rFonts w:ascii="Arial" w:hAnsi="Arial" w:cs="Arial"/>
        </w:rPr>
        <w:t>mice at 0.8 mg/m</w:t>
      </w:r>
      <w:r w:rsidR="00E80A07">
        <w:rPr>
          <w:rStyle w:val="checkbox"/>
          <w:rFonts w:ascii="Arial" w:hAnsi="Arial" w:cs="Arial"/>
          <w:vertAlign w:val="superscript"/>
        </w:rPr>
        <w:t>3</w:t>
      </w:r>
      <w:r w:rsidR="00E80A07">
        <w:rPr>
          <w:rStyle w:val="checkbox"/>
          <w:rFonts w:ascii="Arial" w:hAnsi="Arial" w:cs="Arial"/>
        </w:rPr>
        <w:t xml:space="preserve"> </w:t>
      </w:r>
      <w:r w:rsidR="003B5A0D">
        <w:rPr>
          <w:rStyle w:val="checkbox"/>
          <w:rFonts w:ascii="Arial" w:hAnsi="Arial" w:cs="Arial"/>
        </w:rPr>
        <w:t xml:space="preserve">as </w:t>
      </w:r>
      <w:r w:rsidR="00E80A07">
        <w:rPr>
          <w:rStyle w:val="checkbox"/>
          <w:rFonts w:ascii="Arial" w:hAnsi="Arial" w:cs="Arial"/>
        </w:rPr>
        <w:t>Ni</w:t>
      </w:r>
      <w:r w:rsidR="00EC311A">
        <w:rPr>
          <w:rStyle w:val="checkbox"/>
          <w:rFonts w:ascii="Arial" w:hAnsi="Arial" w:cs="Arial"/>
        </w:rPr>
        <w:t xml:space="preserve"> </w:t>
      </w:r>
      <w:r w:rsidR="00373D82">
        <w:rPr>
          <w:rStyle w:val="checkbox"/>
          <w:rFonts w:ascii="Arial" w:hAnsi="Arial" w:cs="Arial"/>
        </w:rPr>
        <w:t>(</w:t>
      </w:r>
      <w:r w:rsidR="00A50A11">
        <w:rPr>
          <w:rStyle w:val="checkbox"/>
          <w:rFonts w:ascii="Arial" w:hAnsi="Arial" w:cs="Arial"/>
        </w:rPr>
        <w:t xml:space="preserve">ACGIH, 2018; </w:t>
      </w:r>
      <w:r w:rsidR="00373D82">
        <w:rPr>
          <w:rStyle w:val="checkbox"/>
          <w:rFonts w:ascii="Arial" w:hAnsi="Arial" w:cs="Arial"/>
        </w:rPr>
        <w:t>AIOH, 20</w:t>
      </w:r>
      <w:r w:rsidR="003227B9">
        <w:rPr>
          <w:rStyle w:val="checkbox"/>
          <w:rFonts w:ascii="Arial" w:hAnsi="Arial" w:cs="Arial"/>
        </w:rPr>
        <w:t>16</w:t>
      </w:r>
      <w:r w:rsidR="00527892">
        <w:rPr>
          <w:rStyle w:val="checkbox"/>
          <w:rFonts w:ascii="Arial" w:hAnsi="Arial" w:cs="Arial"/>
        </w:rPr>
        <w:t xml:space="preserve">). </w:t>
      </w:r>
      <w:r w:rsidR="00527892" w:rsidRPr="00527892">
        <w:rPr>
          <w:rStyle w:val="checkbox"/>
          <w:rFonts w:ascii="Arial" w:hAnsi="Arial" w:cs="Arial"/>
        </w:rPr>
        <w:t xml:space="preserve">Pronounced inflammatory reactions including fibrosis </w:t>
      </w:r>
      <w:r w:rsidR="00EE19A3">
        <w:rPr>
          <w:rStyle w:val="checkbox"/>
          <w:rFonts w:ascii="Arial" w:hAnsi="Arial" w:cs="Arial"/>
        </w:rPr>
        <w:t>a</w:t>
      </w:r>
      <w:r w:rsidR="00527892" w:rsidRPr="00527892">
        <w:rPr>
          <w:rStyle w:val="checkbox"/>
          <w:rFonts w:ascii="Arial" w:hAnsi="Arial" w:cs="Arial"/>
        </w:rPr>
        <w:t>re seen</w:t>
      </w:r>
      <w:r w:rsidR="00527892">
        <w:rPr>
          <w:rStyle w:val="checkbox"/>
          <w:rFonts w:ascii="Arial" w:hAnsi="Arial" w:cs="Arial"/>
        </w:rPr>
        <w:t xml:space="preserve"> in rats exposed for </w:t>
      </w:r>
      <w:r w:rsidR="00EE19A3">
        <w:rPr>
          <w:rStyle w:val="checkbox"/>
          <w:rFonts w:ascii="Arial" w:hAnsi="Arial" w:cs="Arial"/>
        </w:rPr>
        <w:t>two</w:t>
      </w:r>
      <w:r w:rsidR="00527892">
        <w:rPr>
          <w:rStyle w:val="checkbox"/>
          <w:rFonts w:ascii="Arial" w:hAnsi="Arial" w:cs="Arial"/>
        </w:rPr>
        <w:t xml:space="preserve"> years</w:t>
      </w:r>
      <w:r w:rsidR="00527892" w:rsidRPr="00527892">
        <w:rPr>
          <w:rStyle w:val="checkbox"/>
          <w:rFonts w:ascii="Arial" w:hAnsi="Arial" w:cs="Arial"/>
        </w:rPr>
        <w:t xml:space="preserve"> at 0.11 mg/m</w:t>
      </w:r>
      <w:r w:rsidR="00527892">
        <w:rPr>
          <w:rStyle w:val="checkbox"/>
          <w:rFonts w:ascii="Arial" w:hAnsi="Arial" w:cs="Arial"/>
          <w:vertAlign w:val="superscript"/>
        </w:rPr>
        <w:t>3</w:t>
      </w:r>
      <w:r w:rsidR="00527892" w:rsidRPr="00527892">
        <w:rPr>
          <w:rStyle w:val="checkbox"/>
          <w:rFonts w:ascii="Arial" w:hAnsi="Arial" w:cs="Arial"/>
        </w:rPr>
        <w:t xml:space="preserve"> </w:t>
      </w:r>
      <w:r w:rsidR="004F5504">
        <w:rPr>
          <w:rStyle w:val="checkbox"/>
          <w:rFonts w:ascii="Arial" w:hAnsi="Arial" w:cs="Arial"/>
        </w:rPr>
        <w:t>(</w:t>
      </w:r>
      <w:r w:rsidR="000B1B8D">
        <w:rPr>
          <w:rStyle w:val="checkbox"/>
          <w:rFonts w:ascii="Arial" w:hAnsi="Arial" w:cs="Arial"/>
        </w:rPr>
        <w:t>Ni</w:t>
      </w:r>
      <w:r w:rsidR="000B1B8D" w:rsidRPr="00B02C5D">
        <w:rPr>
          <w:rStyle w:val="checkbox"/>
          <w:rFonts w:ascii="Arial" w:hAnsi="Arial" w:cs="Arial"/>
          <w:vertAlign w:val="subscript"/>
        </w:rPr>
        <w:t>3</w:t>
      </w:r>
      <w:r w:rsidR="000B1B8D">
        <w:rPr>
          <w:rStyle w:val="checkbox"/>
          <w:rFonts w:ascii="Arial" w:hAnsi="Arial" w:cs="Arial"/>
        </w:rPr>
        <w:t>S</w:t>
      </w:r>
      <w:r w:rsidR="000B1B8D" w:rsidRPr="00B02C5D">
        <w:rPr>
          <w:rStyle w:val="checkbox"/>
          <w:rFonts w:ascii="Arial" w:hAnsi="Arial" w:cs="Arial"/>
          <w:vertAlign w:val="subscript"/>
        </w:rPr>
        <w:t>2</w:t>
      </w:r>
      <w:r w:rsidR="004F5504">
        <w:rPr>
          <w:rStyle w:val="checkbox"/>
          <w:rFonts w:ascii="Arial" w:hAnsi="Arial" w:cs="Arial"/>
        </w:rPr>
        <w:t xml:space="preserve">) </w:t>
      </w:r>
      <w:r w:rsidR="00527892" w:rsidRPr="00527892">
        <w:rPr>
          <w:rStyle w:val="checkbox"/>
          <w:rFonts w:ascii="Arial" w:hAnsi="Arial" w:cs="Arial"/>
        </w:rPr>
        <w:t>and 0.</w:t>
      </w:r>
      <w:r w:rsidR="000B1B8D" w:rsidRPr="00527892">
        <w:rPr>
          <w:rStyle w:val="checkbox"/>
          <w:rFonts w:ascii="Arial" w:hAnsi="Arial" w:cs="Arial"/>
        </w:rPr>
        <w:t>5</w:t>
      </w:r>
      <w:r w:rsidR="000B1B8D">
        <w:rPr>
          <w:rStyle w:val="checkbox"/>
          <w:rFonts w:ascii="Arial" w:hAnsi="Arial" w:cs="Arial"/>
        </w:rPr>
        <w:t> </w:t>
      </w:r>
      <w:r w:rsidR="00527892" w:rsidRPr="00527892">
        <w:rPr>
          <w:rStyle w:val="checkbox"/>
          <w:rFonts w:ascii="Arial" w:hAnsi="Arial" w:cs="Arial"/>
        </w:rPr>
        <w:t>mg/m</w:t>
      </w:r>
      <w:r w:rsidR="00527892" w:rsidRPr="003227B9">
        <w:rPr>
          <w:rStyle w:val="checkbox"/>
          <w:rFonts w:ascii="Arial" w:hAnsi="Arial" w:cs="Arial"/>
          <w:vertAlign w:val="superscript"/>
        </w:rPr>
        <w:t>3</w:t>
      </w:r>
      <w:r w:rsidR="00527892" w:rsidRPr="00527892">
        <w:rPr>
          <w:rStyle w:val="checkbox"/>
          <w:rFonts w:ascii="Arial" w:hAnsi="Arial" w:cs="Arial"/>
        </w:rPr>
        <w:t xml:space="preserve"> (</w:t>
      </w:r>
      <w:r w:rsidR="004F5504">
        <w:rPr>
          <w:rStyle w:val="checkbox"/>
          <w:rFonts w:ascii="Arial" w:hAnsi="Arial" w:cs="Arial"/>
        </w:rPr>
        <w:t>Nickel Oxide (</w:t>
      </w:r>
      <w:r w:rsidR="000B1B8D">
        <w:rPr>
          <w:rStyle w:val="checkbox"/>
          <w:rFonts w:ascii="Arial" w:hAnsi="Arial" w:cs="Arial"/>
        </w:rPr>
        <w:t>NiO</w:t>
      </w:r>
      <w:r w:rsidR="004F5504">
        <w:rPr>
          <w:rStyle w:val="checkbox"/>
          <w:rFonts w:ascii="Arial" w:hAnsi="Arial" w:cs="Arial"/>
        </w:rPr>
        <w:t>))</w:t>
      </w:r>
      <w:r w:rsidR="00DC113B">
        <w:rPr>
          <w:rStyle w:val="checkbox"/>
          <w:rFonts w:ascii="Arial" w:hAnsi="Arial" w:cs="Arial"/>
        </w:rPr>
        <w:t xml:space="preserve"> (</w:t>
      </w:r>
      <w:r w:rsidR="00527892">
        <w:rPr>
          <w:rStyle w:val="checkbox"/>
          <w:rFonts w:ascii="Arial" w:hAnsi="Arial" w:cs="Arial"/>
        </w:rPr>
        <w:t>SCOEL, 2011).</w:t>
      </w:r>
      <w:r w:rsidR="005718C7">
        <w:rPr>
          <w:rStyle w:val="checkbox"/>
          <w:rFonts w:ascii="Arial" w:hAnsi="Arial" w:cs="Arial"/>
        </w:rPr>
        <w:t xml:space="preserve"> </w:t>
      </w:r>
    </w:p>
    <w:p w14:paraId="65DFA250" w14:textId="2B920371" w:rsidR="005718C7" w:rsidRDefault="00B54DAB" w:rsidP="005718C7">
      <w:r>
        <w:t>N</w:t>
      </w:r>
      <w:r w:rsidR="00DC113B">
        <w:t>egligible risk of cancer</w:t>
      </w:r>
      <w:r>
        <w:t xml:space="preserve"> </w:t>
      </w:r>
      <w:r w:rsidR="00EB29D0">
        <w:t>is reported</w:t>
      </w:r>
      <w:r w:rsidR="00DC113B">
        <w:t xml:space="preserve"> in workers at concentrations less than 0.2 mg/m</w:t>
      </w:r>
      <w:r w:rsidR="00DC113B">
        <w:rPr>
          <w:vertAlign w:val="superscript"/>
        </w:rPr>
        <w:t>3</w:t>
      </w:r>
      <w:r w:rsidR="00373D82">
        <w:t xml:space="preserve"> (Ni)</w:t>
      </w:r>
      <w:r w:rsidR="00EB29D0">
        <w:t xml:space="preserve">, </w:t>
      </w:r>
      <w:r w:rsidR="004334D3">
        <w:t>an</w:t>
      </w:r>
      <w:r w:rsidR="00DC113B">
        <w:t xml:space="preserve"> increase of</w:t>
      </w:r>
      <w:r w:rsidR="004334D3">
        <w:t xml:space="preserve"> lung carcinomas </w:t>
      </w:r>
      <w:r w:rsidR="00EB29D0">
        <w:t xml:space="preserve">is observed </w:t>
      </w:r>
      <w:r w:rsidR="004334D3">
        <w:t>in rats at 0.1</w:t>
      </w:r>
      <w:r w:rsidR="00373D82">
        <w:t>1</w:t>
      </w:r>
      <w:r w:rsidR="004334D3">
        <w:t xml:space="preserve"> mg/m</w:t>
      </w:r>
      <w:r w:rsidR="004334D3">
        <w:rPr>
          <w:vertAlign w:val="superscript"/>
        </w:rPr>
        <w:t>3</w:t>
      </w:r>
      <w:r w:rsidR="00373D82">
        <w:t xml:space="preserve"> </w:t>
      </w:r>
      <w:r w:rsidR="003B5A0D">
        <w:t>(</w:t>
      </w:r>
      <w:r w:rsidR="00373D82">
        <w:t>Ni</w:t>
      </w:r>
      <w:r w:rsidR="003B5A0D">
        <w:t>)</w:t>
      </w:r>
      <w:r w:rsidR="004334D3">
        <w:t xml:space="preserve"> and</w:t>
      </w:r>
      <w:r w:rsidR="00DC113B">
        <w:t xml:space="preserve"> </w:t>
      </w:r>
      <w:r w:rsidR="00EB29D0">
        <w:t>there is</w:t>
      </w:r>
      <w:r w:rsidR="005718C7">
        <w:t xml:space="preserve"> evidence</w:t>
      </w:r>
      <w:r w:rsidR="00373D82">
        <w:t xml:space="preserve"> of a threshold for carcinogenicity</w:t>
      </w:r>
      <w:r w:rsidR="00EB29D0">
        <w:t>.</w:t>
      </w:r>
      <w:r w:rsidR="005718C7">
        <w:t xml:space="preserve"> </w:t>
      </w:r>
      <w:r>
        <w:t xml:space="preserve">Based on </w:t>
      </w:r>
      <w:r w:rsidR="00EB29D0">
        <w:t xml:space="preserve">this, </w:t>
      </w:r>
      <w:r w:rsidR="003A161C">
        <w:t xml:space="preserve">the </w:t>
      </w:r>
      <w:r w:rsidR="005718C7">
        <w:t>TWA of 0.1 mg/m</w:t>
      </w:r>
      <w:r w:rsidR="005718C7">
        <w:rPr>
          <w:vertAlign w:val="superscript"/>
        </w:rPr>
        <w:t>3</w:t>
      </w:r>
      <w:r w:rsidR="003B5A0D">
        <w:t xml:space="preserve"> </w:t>
      </w:r>
      <w:r w:rsidR="003A161C">
        <w:t xml:space="preserve">derived by AIOH (2016) </w:t>
      </w:r>
      <w:r w:rsidR="005718C7" w:rsidRPr="005718C7">
        <w:t xml:space="preserve">is recommended </w:t>
      </w:r>
      <w:r w:rsidR="005718C7">
        <w:t>to minimise the potential for cancer in the lungs and naval cavity and to protect for inflammatory responses</w:t>
      </w:r>
      <w:r w:rsidR="00E72583">
        <w:t>.</w:t>
      </w:r>
    </w:p>
    <w:p w14:paraId="3B9AC331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3B3EFAEE" w14:textId="61340B40" w:rsidR="00AE4D06" w:rsidRPr="005718C7" w:rsidRDefault="005718C7" w:rsidP="00AE4D06">
      <w:pPr>
        <w:rPr>
          <w:rFonts w:cs="Arial"/>
        </w:rPr>
      </w:pPr>
      <w:r w:rsidRPr="005718C7">
        <w:rPr>
          <w:rFonts w:cs="Arial"/>
        </w:rPr>
        <w:t>C</w:t>
      </w:r>
      <w:r w:rsidR="00AE4D06" w:rsidRPr="005718C7">
        <w:rPr>
          <w:rFonts w:cs="Arial"/>
        </w:rPr>
        <w:t xml:space="preserve">lassified as a </w:t>
      </w:r>
      <w:r w:rsidR="00E72583" w:rsidRPr="005718C7">
        <w:rPr>
          <w:rFonts w:cs="Arial"/>
        </w:rPr>
        <w:t>category 2</w:t>
      </w:r>
      <w:r w:rsidR="00E72583">
        <w:rPr>
          <w:rFonts w:cs="Arial"/>
        </w:rPr>
        <w:t xml:space="preserve"> </w:t>
      </w:r>
      <w:r w:rsidR="00AE4D06" w:rsidRPr="005718C7">
        <w:rPr>
          <w:rFonts w:cs="Arial"/>
        </w:rPr>
        <w:t>carcinogen</w:t>
      </w:r>
      <w:r w:rsidRPr="005718C7">
        <w:rPr>
          <w:rFonts w:cs="Arial"/>
        </w:rPr>
        <w:t xml:space="preserve"> </w:t>
      </w:r>
      <w:r w:rsidR="00AE4D06" w:rsidRPr="005718C7">
        <w:rPr>
          <w:rFonts w:cs="Arial"/>
        </w:rPr>
        <w:t>according to the Globally Harmonized System of</w:t>
      </w:r>
      <w:r w:rsidR="00E72583">
        <w:rPr>
          <w:rFonts w:cs="Arial"/>
        </w:rPr>
        <w:t xml:space="preserve"> Classification and Labelling of</w:t>
      </w:r>
      <w:r w:rsidR="00AE4D06" w:rsidRPr="005718C7">
        <w:rPr>
          <w:rFonts w:cs="Arial"/>
        </w:rPr>
        <w:t xml:space="preserve"> Chemicals (GHS). </w:t>
      </w:r>
    </w:p>
    <w:p w14:paraId="7A2D44EA" w14:textId="012D0F2B" w:rsidR="00AE4D06" w:rsidRPr="005718C7" w:rsidRDefault="00E72583" w:rsidP="00AE4D06">
      <w:pPr>
        <w:rPr>
          <w:rFonts w:cs="Arial"/>
        </w:rPr>
      </w:pPr>
      <w:r>
        <w:rPr>
          <w:rFonts w:cs="Arial"/>
        </w:rPr>
        <w:t>C</w:t>
      </w:r>
      <w:r w:rsidR="00AE4D06" w:rsidRPr="005718C7">
        <w:rPr>
          <w:rFonts w:cs="Arial"/>
        </w:rPr>
        <w:t>lassified as a skin</w:t>
      </w:r>
      <w:r w:rsidR="005718C7" w:rsidRPr="005718C7">
        <w:rPr>
          <w:rFonts w:cs="Arial"/>
        </w:rPr>
        <w:t xml:space="preserve"> sensitiser </w:t>
      </w:r>
      <w:r w:rsidR="00602895">
        <w:rPr>
          <w:rFonts w:cs="Arial"/>
        </w:rPr>
        <w:t>and</w:t>
      </w:r>
      <w:r w:rsidR="00602895" w:rsidRPr="005718C7">
        <w:rPr>
          <w:rFonts w:cs="Arial"/>
        </w:rPr>
        <w:t xml:space="preserve"> </w:t>
      </w:r>
      <w:r w:rsidR="005718C7" w:rsidRPr="005718C7">
        <w:rPr>
          <w:rFonts w:cs="Arial"/>
        </w:rPr>
        <w:t>not a</w:t>
      </w:r>
      <w:r w:rsidR="00AE4D06" w:rsidRPr="005718C7">
        <w:rPr>
          <w:rFonts w:cs="Arial"/>
        </w:rPr>
        <w:t xml:space="preserve"> respiratory sensitiser according to the GHS.</w:t>
      </w:r>
    </w:p>
    <w:p w14:paraId="35B9B7A6" w14:textId="16B90C9C" w:rsidR="004529F0" w:rsidRPr="004C23F4" w:rsidRDefault="00E72583" w:rsidP="00AE4D06">
      <w:pPr>
        <w:rPr>
          <w:rFonts w:cs="Arial"/>
        </w:rPr>
      </w:pPr>
      <w:r>
        <w:rPr>
          <w:rFonts w:cs="Arial"/>
        </w:rPr>
        <w:t xml:space="preserve">There </w:t>
      </w:r>
      <w:r w:rsidR="00602895">
        <w:rPr>
          <w:rFonts w:cs="Arial"/>
        </w:rPr>
        <w:t xml:space="preserve">are </w:t>
      </w:r>
      <w:r>
        <w:rPr>
          <w:rFonts w:cs="Arial"/>
        </w:rPr>
        <w:t>in</w:t>
      </w:r>
      <w:r w:rsidRPr="005718C7">
        <w:rPr>
          <w:rFonts w:cs="Arial"/>
        </w:rPr>
        <w:t>sufficient</w:t>
      </w:r>
      <w:r w:rsidR="00AE4D06" w:rsidRPr="005718C7">
        <w:rPr>
          <w:rFonts w:cs="Arial"/>
        </w:rPr>
        <w:t xml:space="preserve"> </w:t>
      </w:r>
      <w:r>
        <w:rPr>
          <w:rFonts w:cs="Arial"/>
        </w:rPr>
        <w:t>data</w:t>
      </w:r>
      <w:r w:rsidR="00AE4D06" w:rsidRPr="005718C7">
        <w:rPr>
          <w:rFonts w:cs="Arial"/>
        </w:rPr>
        <w:t xml:space="preserve"> to recommend a skin notation.</w:t>
      </w:r>
    </w:p>
    <w:p w14:paraId="30C731D9" w14:textId="77777777" w:rsidR="0025734A" w:rsidRPr="004C23F4" w:rsidRDefault="0025734A">
      <w:pPr>
        <w:rPr>
          <w:rFonts w:cs="Arial"/>
        </w:rPr>
      </w:pPr>
    </w:p>
    <w:p w14:paraId="64D023CD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1FFA64BD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63F76466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4B08D2" w14:paraId="6361D460" w14:textId="77777777" w:rsidTr="004B08D2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4D390AC" w14:textId="77777777" w:rsidR="00C978F0" w:rsidRPr="004B08D2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  <w:rPr>
                <w:b/>
              </w:rPr>
            </w:pPr>
            <w:r w:rsidRPr="004B08D2">
              <w:rPr>
                <w:b/>
              </w:rPr>
              <w:t>Source</w:t>
            </w:r>
            <w:r w:rsidR="00DA352E" w:rsidRPr="004B08D2">
              <w:rPr>
                <w:b/>
              </w:rPr>
              <w:tab/>
              <w:t>Year set</w:t>
            </w:r>
            <w:r w:rsidR="00DA352E" w:rsidRPr="004B08D2">
              <w:rPr>
                <w:b/>
              </w:rPr>
              <w:tab/>
              <w:t>Standard</w:t>
            </w:r>
            <w:r w:rsidR="00974F2D" w:rsidRPr="004B08D2">
              <w:rPr>
                <w:b/>
              </w:rPr>
              <w:tab/>
            </w:r>
          </w:p>
        </w:tc>
      </w:tr>
      <w:tr w:rsidR="00DE26E8" w:rsidRPr="003365A5" w14:paraId="6C7C3BD2" w14:textId="77777777" w:rsidTr="004B08D2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B1D4210" w14:textId="7338A264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AE4D06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AE4D06" w:rsidRPr="00E72583">
                  <w:t>TWA: 1 mg/m</w:t>
                </w:r>
                <w:r w:rsidR="00AE4D06" w:rsidRPr="00E72583">
                  <w:rPr>
                    <w:vertAlign w:val="superscript"/>
                  </w:rPr>
                  <w:t>3</w:t>
                </w:r>
                <w:r w:rsidR="00EE19A3">
                  <w:t xml:space="preserve"> </w:t>
                </w:r>
                <w:r w:rsidR="00147AE7" w:rsidRPr="00E72583">
                  <w:t>(as Ni)</w:t>
                </w:r>
              </w:sdtContent>
            </w:sdt>
          </w:p>
        </w:tc>
      </w:tr>
      <w:tr w:rsidR="00C978F0" w:rsidRPr="00DA352E" w14:paraId="7E811AE5" w14:textId="77777777" w:rsidTr="004B08D2">
        <w:trPr>
          <w:gridAfter w:val="1"/>
          <w:wAfter w:w="8" w:type="pct"/>
        </w:trPr>
        <w:tc>
          <w:tcPr>
            <w:tcW w:w="4992" w:type="pct"/>
          </w:tcPr>
          <w:p w14:paraId="750FE996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0BD34094" w14:textId="77777777" w:rsidTr="004B08D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9F1C9B0" w14:textId="594A64B3" w:rsidR="00C978F0" w:rsidRPr="00DA352E" w:rsidRDefault="00DA352E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ind w:left="2857" w:hanging="2857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FE308D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FE308D">
                  <w:t>TLV-TWA</w:t>
                </w:r>
                <w:r w:rsidR="0080009E">
                  <w:t xml:space="preserve"> (inhalable nickel particulate mass)</w:t>
                </w:r>
                <w:r w:rsidR="00FE308D">
                  <w:t>: 1.5 mg/m</w:t>
                </w:r>
                <w:r w:rsidR="00FE308D" w:rsidRPr="00FE308D">
                  <w:rPr>
                    <w:vertAlign w:val="superscript"/>
                  </w:rPr>
                  <w:t>3</w:t>
                </w:r>
                <w:r w:rsidR="00FD24B7">
                  <w:rPr>
                    <w:vertAlign w:val="superscript"/>
                  </w:rPr>
                  <w:t xml:space="preserve"> </w:t>
                </w:r>
                <w:r w:rsidR="00FE308D">
                  <w:t>(Elemental/Metal), 0.2 mg/m</w:t>
                </w:r>
                <w:r w:rsidR="00FE308D" w:rsidRPr="0018246A">
                  <w:rPr>
                    <w:vertAlign w:val="superscript"/>
                  </w:rPr>
                  <w:t>3</w:t>
                </w:r>
                <w:r w:rsidR="00FE308D">
                  <w:t xml:space="preserve"> (Insoluble compounds)</w:t>
                </w:r>
                <w:r w:rsidR="0080009E">
                  <w:t xml:space="preserve"> 0.1</w:t>
                </w:r>
                <w:r w:rsidR="00CC09EE">
                  <w:t> </w:t>
                </w:r>
                <w:r w:rsidR="0080009E">
                  <w:t>mg/m</w:t>
                </w:r>
                <w:r w:rsidR="0080009E">
                  <w:rPr>
                    <w:vertAlign w:val="superscript"/>
                  </w:rPr>
                  <w:t>3</w:t>
                </w:r>
                <w:r w:rsidR="0080009E">
                  <w:t xml:space="preserve"> (Nickel subsul</w:t>
                </w:r>
                <w:r w:rsidR="009C7D8B">
                  <w:t>f</w:t>
                </w:r>
                <w:r w:rsidR="0080009E">
                  <w:t>ide)</w:t>
                </w:r>
              </w:sdtContent>
            </w:sdt>
          </w:p>
        </w:tc>
      </w:tr>
      <w:tr w:rsidR="00C978F0" w:rsidRPr="00DA352E" w14:paraId="241CAF7F" w14:textId="77777777" w:rsidTr="004B08D2">
        <w:trPr>
          <w:gridAfter w:val="1"/>
          <w:wAfter w:w="8" w:type="pct"/>
        </w:trPr>
        <w:tc>
          <w:tcPr>
            <w:tcW w:w="4992" w:type="pct"/>
          </w:tcPr>
          <w:p w14:paraId="4C419B60" w14:textId="086BA2E2" w:rsidR="00DA6121" w:rsidRDefault="00DA6121" w:rsidP="00DA6121">
            <w:pPr>
              <w:pStyle w:val="Tabletextprimarysource"/>
            </w:pPr>
            <w:r>
              <w:t xml:space="preserve">TLV-TWA recommended for </w:t>
            </w:r>
            <w:r w:rsidR="00EE19A3">
              <w:t>e</w:t>
            </w:r>
            <w:r>
              <w:t xml:space="preserve">lemental and </w:t>
            </w:r>
            <w:r w:rsidR="00EE19A3">
              <w:t>m</w:t>
            </w:r>
            <w:r>
              <w:t xml:space="preserve">etal </w:t>
            </w:r>
            <w:r w:rsidR="00EE19A3">
              <w:t xml:space="preserve">Ni </w:t>
            </w:r>
            <w:r>
              <w:t>to minimise the potential for dermatitis and pneumoconiosis.</w:t>
            </w:r>
          </w:p>
          <w:p w14:paraId="411495D8" w14:textId="245468A8" w:rsidR="00DA6121" w:rsidRDefault="00DA6121" w:rsidP="00DA6121">
            <w:pPr>
              <w:pStyle w:val="Tabletextprimarysource"/>
            </w:pPr>
            <w:r>
              <w:t xml:space="preserve">TLV-TWA recommended for </w:t>
            </w:r>
            <w:r w:rsidR="00EE19A3">
              <w:t>i</w:t>
            </w:r>
            <w:r>
              <w:t>nsoluble Ni compounds to minimise the potential for nasal and lung cancer.</w:t>
            </w:r>
          </w:p>
          <w:p w14:paraId="634EB703" w14:textId="1A3ABD96" w:rsidR="00C978F0" w:rsidRDefault="00DA6121" w:rsidP="00DA6121">
            <w:pPr>
              <w:pStyle w:val="Tabletextprimarysource"/>
            </w:pPr>
            <w:r>
              <w:t xml:space="preserve">TLV-TWA recommended for </w:t>
            </w:r>
            <w:r w:rsidR="00EC311A">
              <w:t>Ni</w:t>
            </w:r>
            <w:r w:rsidR="00EC311A" w:rsidRPr="004F5504">
              <w:rPr>
                <w:vertAlign w:val="subscript"/>
              </w:rPr>
              <w:t>3</w:t>
            </w:r>
            <w:r w:rsidR="00EC311A">
              <w:t>S</w:t>
            </w:r>
            <w:r w:rsidR="00EC311A" w:rsidRPr="004F5504">
              <w:rPr>
                <w:vertAlign w:val="subscript"/>
              </w:rPr>
              <w:t>2</w:t>
            </w:r>
            <w:r>
              <w:t xml:space="preserve"> to minimise the potential for nasal and lung cancer.</w:t>
            </w:r>
          </w:p>
          <w:p w14:paraId="7A389009" w14:textId="38A4E6A8" w:rsidR="00DA6121" w:rsidRDefault="00DA6121" w:rsidP="00DA6121">
            <w:pPr>
              <w:pStyle w:val="Tabletextprimarysource"/>
            </w:pPr>
            <w:r>
              <w:t>Summary of data:</w:t>
            </w:r>
          </w:p>
          <w:p w14:paraId="7809ADAD" w14:textId="2E68D2B1" w:rsidR="00DA6121" w:rsidRDefault="00D85902" w:rsidP="004F5504">
            <w:pPr>
              <w:pStyle w:val="ListBullet"/>
              <w:spacing w:before="60" w:after="60"/>
              <w:ind w:left="1080" w:hanging="357"/>
              <w:contextualSpacing w:val="0"/>
            </w:pPr>
            <w:r>
              <w:t xml:space="preserve">Insoluble </w:t>
            </w:r>
            <w:r w:rsidR="00DA6121">
              <w:t>Ni compounds identified in review:</w:t>
            </w:r>
          </w:p>
          <w:p w14:paraId="2658BAAA" w14:textId="35CC8757" w:rsidR="00DA6121" w:rsidRDefault="00EE19A3" w:rsidP="004F5504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>metallic alloys 7440-02-0</w:t>
            </w:r>
          </w:p>
          <w:p w14:paraId="34FDC621" w14:textId="40058DC5" w:rsidR="00DA6121" w:rsidRDefault="00EE19A3" w:rsidP="004F5504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>nickel oxide 1213-99-1</w:t>
            </w:r>
          </w:p>
          <w:p w14:paraId="06A6A693" w14:textId="532CA0AC" w:rsidR="00DA6121" w:rsidRDefault="00EE19A3" w:rsidP="004F5504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>nickel carbonate hydroxide 12607-70-4</w:t>
            </w:r>
          </w:p>
          <w:p w14:paraId="42510CED" w14:textId="5569B20C" w:rsidR="00DA6121" w:rsidRDefault="00EE19A3" w:rsidP="004F5504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>nickel hydroxide 12054-48-7</w:t>
            </w:r>
          </w:p>
          <w:p w14:paraId="3A69AA6D" w14:textId="7200DF8B" w:rsidR="00DA6121" w:rsidRDefault="00EE19A3" w:rsidP="004F5504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>nickel sulfide 1314-04-1</w:t>
            </w:r>
          </w:p>
          <w:p w14:paraId="02BBF8A2" w14:textId="00CC6033" w:rsidR="00DA6121" w:rsidRDefault="00EE19A3" w:rsidP="004F5504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>nickel subsul</w:t>
            </w:r>
            <w:r w:rsidR="004A02CC">
              <w:t>f</w:t>
            </w:r>
            <w:r>
              <w:t xml:space="preserve">ide </w:t>
            </w:r>
            <w:r w:rsidRPr="00D85902">
              <w:t>12035-72-2</w:t>
            </w:r>
          </w:p>
          <w:p w14:paraId="1CDBFF1E" w14:textId="6C6E80F6" w:rsidR="00EB7F3E" w:rsidRDefault="00EB7F3E" w:rsidP="004F5504">
            <w:pPr>
              <w:pStyle w:val="ListBullet"/>
              <w:spacing w:before="60" w:after="60"/>
              <w:ind w:left="1080" w:hanging="357"/>
              <w:contextualSpacing w:val="0"/>
            </w:pPr>
            <w:r>
              <w:t xml:space="preserve">Monitoring data based primarily on “total” </w:t>
            </w:r>
            <w:r w:rsidR="00EC311A">
              <w:t>Ni</w:t>
            </w:r>
            <w:r>
              <w:t xml:space="preserve"> particulate; recommends concentrations should expressed in terms of inhalable </w:t>
            </w:r>
            <w:r w:rsidR="00EC311A">
              <w:t>Ni</w:t>
            </w:r>
            <w:r>
              <w:t xml:space="preserve"> particulate not total</w:t>
            </w:r>
          </w:p>
          <w:p w14:paraId="474444C0" w14:textId="22EB7722" w:rsidR="00EB7F3E" w:rsidRDefault="00EB7F3E" w:rsidP="004F5504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TLV-TWA based</w:t>
            </w:r>
            <w:r w:rsidR="004334D3">
              <w:t xml:space="preserve"> on</w:t>
            </w:r>
            <w:r>
              <w:t xml:space="preserve"> </w:t>
            </w:r>
            <w:r w:rsidR="004334D3">
              <w:t>increased risk of lung and nasal sinus cancer among nickel refinery workers was associated with airborne exposures &gt;10 mg/m</w:t>
            </w:r>
            <w:r w:rsidR="004334D3" w:rsidRPr="004F5504">
              <w:rPr>
                <w:vertAlign w:val="superscript"/>
              </w:rPr>
              <w:t>3</w:t>
            </w:r>
            <w:r w:rsidR="004334D3">
              <w:t xml:space="preserve"> for “total” aerosol of insoluble forms of nickel</w:t>
            </w:r>
            <w:r>
              <w:t xml:space="preserve"> supported by evidence of pulmonary damage in anima</w:t>
            </w:r>
            <w:r w:rsidR="003435A5">
              <w:t>ls exposed at 0.1</w:t>
            </w:r>
            <w:r w:rsidR="0053721C">
              <w:t>–</w:t>
            </w:r>
            <w:r w:rsidR="003435A5">
              <w:t>1.0 mg/m</w:t>
            </w:r>
            <w:r w:rsidR="003435A5" w:rsidRPr="003435A5">
              <w:rPr>
                <w:vertAlign w:val="superscript"/>
              </w:rPr>
              <w:t>3</w:t>
            </w:r>
            <w:r w:rsidR="003435A5">
              <w:t xml:space="preserve"> total</w:t>
            </w:r>
            <w:r>
              <w:t xml:space="preserve"> aerosol (soluble and insoluble)</w:t>
            </w:r>
            <w:r w:rsidR="00D720C6">
              <w:t>.</w:t>
            </w:r>
          </w:p>
          <w:p w14:paraId="0F31C69C" w14:textId="77777777" w:rsidR="00DA6121" w:rsidRDefault="00D85902" w:rsidP="00DA6121">
            <w:pPr>
              <w:pStyle w:val="Tabletextprimarysource"/>
            </w:pPr>
            <w:r>
              <w:t>Human data:</w:t>
            </w:r>
          </w:p>
          <w:p w14:paraId="53F6DDA5" w14:textId="6EE6019D" w:rsidR="00B54413" w:rsidRDefault="00B54413" w:rsidP="004F5504">
            <w:pPr>
              <w:pStyle w:val="ListBullet"/>
              <w:spacing w:before="60" w:after="60" w:line="276" w:lineRule="auto"/>
              <w:ind w:left="1083" w:hanging="357"/>
              <w:contextualSpacing w:val="0"/>
            </w:pPr>
            <w:r>
              <w:t xml:space="preserve">Ni and its inorganic compounds cause contact dermatitis in sensitised individuals; </w:t>
            </w:r>
            <w:r w:rsidR="00EC311A">
              <w:br/>
            </w:r>
            <w:r>
              <w:t>2.5</w:t>
            </w:r>
            <w:r w:rsidR="0053721C">
              <w:t>–</w:t>
            </w:r>
            <w:r>
              <w:t xml:space="preserve">5% prevalence of </w:t>
            </w:r>
            <w:r w:rsidR="00EE19A3">
              <w:t>Ni</w:t>
            </w:r>
            <w:r>
              <w:t xml:space="preserve"> sensitisation in the general public; no further information</w:t>
            </w:r>
          </w:p>
          <w:p w14:paraId="187CC60B" w14:textId="08D8C958" w:rsidR="00D85902" w:rsidRDefault="00D85902" w:rsidP="004F5504">
            <w:pPr>
              <w:pStyle w:val="ListBullet"/>
              <w:spacing w:before="60" w:after="60" w:line="276" w:lineRule="auto"/>
              <w:ind w:left="1083" w:hanging="357"/>
              <w:contextualSpacing w:val="0"/>
            </w:pPr>
            <w:r>
              <w:t>Refers to ‘</w:t>
            </w:r>
            <w:r w:rsidRPr="006F2CE1">
              <w:rPr>
                <w:i/>
              </w:rPr>
              <w:t>International Committee on Nickel Carcinogenicity in</w:t>
            </w:r>
            <w:r>
              <w:t xml:space="preserve"> </w:t>
            </w:r>
            <w:r w:rsidRPr="006F2CE1">
              <w:rPr>
                <w:i/>
              </w:rPr>
              <w:t>Man’</w:t>
            </w:r>
            <w:r>
              <w:t xml:space="preserve"> reporting the following:</w:t>
            </w:r>
          </w:p>
          <w:p w14:paraId="69A1ED3C" w14:textId="4EFBE026" w:rsidR="00B468C0" w:rsidRDefault="00B468C0" w:rsidP="004F5504">
            <w:pPr>
              <w:pStyle w:val="ListBullet"/>
              <w:numPr>
                <w:ilvl w:val="0"/>
                <w:numId w:val="3"/>
              </w:numPr>
              <w:spacing w:before="60" w:after="60"/>
              <w:ind w:hanging="357"/>
              <w:contextualSpacing w:val="0"/>
            </w:pPr>
            <w:r>
              <w:t xml:space="preserve">the available evidence suggests respiratory cancer risks in </w:t>
            </w:r>
            <w:r w:rsidR="00EE19A3">
              <w:t>Ni</w:t>
            </w:r>
            <w:r>
              <w:t xml:space="preserve"> refinery workers is primarily related to exposures &gt;10 mg/m</w:t>
            </w:r>
            <w:r w:rsidRPr="00710342">
              <w:rPr>
                <w:vertAlign w:val="superscript"/>
              </w:rPr>
              <w:t>3</w:t>
            </w:r>
            <w:r>
              <w:t xml:space="preserve"> (insoluble </w:t>
            </w:r>
            <w:r w:rsidR="00EE19A3">
              <w:t>Ni</w:t>
            </w:r>
            <w:r>
              <w:t xml:space="preserve"> compounds)</w:t>
            </w:r>
          </w:p>
          <w:p w14:paraId="181D9628" w14:textId="2FD2E9C6" w:rsidR="00D85902" w:rsidRDefault="00D85902" w:rsidP="004F5504">
            <w:pPr>
              <w:pStyle w:val="ListBullet"/>
              <w:numPr>
                <w:ilvl w:val="0"/>
                <w:numId w:val="3"/>
              </w:numPr>
              <w:spacing w:before="60" w:after="60"/>
              <w:ind w:hanging="357"/>
              <w:contextualSpacing w:val="0"/>
            </w:pPr>
            <w:r>
              <w:t xml:space="preserve">more than one form of </w:t>
            </w:r>
            <w:r w:rsidR="00EE19A3">
              <w:t>Ni</w:t>
            </w:r>
            <w:r>
              <w:t xml:space="preserve"> gave rise to lung and sinus cancer</w:t>
            </w:r>
          </w:p>
          <w:p w14:paraId="31F615F5" w14:textId="495F0DD9" w:rsidR="00D85902" w:rsidRDefault="00D85902" w:rsidP="004F5504">
            <w:pPr>
              <w:pStyle w:val="ListBullet"/>
              <w:numPr>
                <w:ilvl w:val="0"/>
                <w:numId w:val="3"/>
              </w:numPr>
              <w:spacing w:before="60" w:after="60"/>
              <w:ind w:hanging="357"/>
              <w:contextualSpacing w:val="0"/>
            </w:pPr>
            <w:r>
              <w:t xml:space="preserve">much of the respiratory cancer in </w:t>
            </w:r>
            <w:r w:rsidR="00EE19A3">
              <w:t>Ni</w:t>
            </w:r>
            <w:r>
              <w:t xml:space="preserve"> refinery workers could be attributed to exposure to a mixture of oxidic and sulfidic nickel at very high concentrations</w:t>
            </w:r>
          </w:p>
          <w:p w14:paraId="434CB83C" w14:textId="3444DEF3" w:rsidR="00710342" w:rsidRDefault="00710342" w:rsidP="004F5504">
            <w:pPr>
              <w:pStyle w:val="ListBullet"/>
              <w:numPr>
                <w:ilvl w:val="0"/>
                <w:numId w:val="3"/>
              </w:numPr>
              <w:spacing w:before="60" w:after="60"/>
              <w:ind w:hanging="357"/>
              <w:contextualSpacing w:val="0"/>
            </w:pPr>
            <w:r>
              <w:t>no evidence that exposure to metallic nickel was associated with increased lung and nasal cancer risks</w:t>
            </w:r>
          </w:p>
          <w:p w14:paraId="5B8A2D36" w14:textId="77777777" w:rsidR="00D85902" w:rsidRDefault="00D85902" w:rsidP="004F5504">
            <w:pPr>
              <w:pStyle w:val="ListBullet"/>
              <w:numPr>
                <w:ilvl w:val="0"/>
                <w:numId w:val="3"/>
              </w:numPr>
              <w:spacing w:before="60" w:after="60"/>
              <w:ind w:hanging="357"/>
              <w:contextualSpacing w:val="0"/>
            </w:pPr>
            <w:r>
              <w:t>no evidence of increased risk of other forms of cancer</w:t>
            </w:r>
          </w:p>
          <w:p w14:paraId="581FA74D" w14:textId="5EA30B28" w:rsidR="00D85902" w:rsidRDefault="00307DF1" w:rsidP="004F5504">
            <w:pPr>
              <w:pStyle w:val="ListBullet"/>
              <w:spacing w:before="60" w:after="60"/>
              <w:ind w:left="1080" w:hanging="357"/>
              <w:contextualSpacing w:val="0"/>
            </w:pPr>
            <w:r>
              <w:t xml:space="preserve">Large excess of cancer of the sinus and lung in </w:t>
            </w:r>
            <w:r w:rsidR="007033DA">
              <w:t xml:space="preserve">745 sinter plant workers exposed to sulfidic and oxidic </w:t>
            </w:r>
            <w:r w:rsidR="00EC311A">
              <w:t>Ni</w:t>
            </w:r>
            <w:r w:rsidR="007033DA">
              <w:t xml:space="preserve"> as high as 100 mg/m</w:t>
            </w:r>
            <w:r w:rsidR="007033DA" w:rsidRPr="00307DF1">
              <w:rPr>
                <w:vertAlign w:val="superscript"/>
              </w:rPr>
              <w:t>3</w:t>
            </w:r>
            <w:r>
              <w:t>; no evidence of inflammatory or fibrogenic response; no further information</w:t>
            </w:r>
            <w:r w:rsidR="00D720C6">
              <w:t>.</w:t>
            </w:r>
          </w:p>
          <w:p w14:paraId="4A68264F" w14:textId="77777777" w:rsidR="00307DF1" w:rsidRDefault="00DC48B0" w:rsidP="00DC48B0">
            <w:pPr>
              <w:pStyle w:val="Tabletextprimarysource"/>
            </w:pPr>
            <w:r>
              <w:t>Animal data:</w:t>
            </w:r>
          </w:p>
          <w:p w14:paraId="2F21B102" w14:textId="05D6C01A" w:rsidR="00E80A07" w:rsidRDefault="00EB7F3E" w:rsidP="004F5504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2</w:t>
            </w:r>
            <w:r w:rsidR="00EC311A">
              <w:t xml:space="preserve"> </w:t>
            </w:r>
            <w:r>
              <w:t>yr</w:t>
            </w:r>
            <w:r w:rsidR="00E80A07">
              <w:t xml:space="preserve"> </w:t>
            </w:r>
            <w:r w:rsidR="00EC311A">
              <w:rPr>
                <w:rStyle w:val="checkbox"/>
                <w:rFonts w:ascii="Arial" w:hAnsi="Arial" w:cs="Arial"/>
              </w:rPr>
              <w:t>Ni</w:t>
            </w:r>
            <w:r w:rsidR="00EC311A" w:rsidRPr="00B02C5D">
              <w:rPr>
                <w:rStyle w:val="checkbox"/>
                <w:rFonts w:ascii="Arial" w:hAnsi="Arial" w:cs="Arial"/>
                <w:vertAlign w:val="subscript"/>
              </w:rPr>
              <w:t>3</w:t>
            </w:r>
            <w:r w:rsidR="00EC311A">
              <w:rPr>
                <w:rStyle w:val="checkbox"/>
                <w:rFonts w:ascii="Arial" w:hAnsi="Arial" w:cs="Arial"/>
              </w:rPr>
              <w:t>S</w:t>
            </w:r>
            <w:r w:rsidR="00EC311A" w:rsidRPr="00B02C5D">
              <w:rPr>
                <w:rStyle w:val="checkbox"/>
                <w:rFonts w:ascii="Arial" w:hAnsi="Arial" w:cs="Arial"/>
                <w:vertAlign w:val="subscript"/>
              </w:rPr>
              <w:t>2</w:t>
            </w:r>
            <w:r w:rsidR="00E80A07">
              <w:t xml:space="preserve"> inhalation study:</w:t>
            </w:r>
          </w:p>
          <w:p w14:paraId="287D73D5" w14:textId="2383C565" w:rsidR="00E80A07" w:rsidRDefault="00E80A07" w:rsidP="004F5504">
            <w:pPr>
              <w:pStyle w:val="ListBullet"/>
              <w:numPr>
                <w:ilvl w:val="0"/>
                <w:numId w:val="19"/>
              </w:numPr>
              <w:spacing w:before="60" w:after="60"/>
              <w:contextualSpacing w:val="0"/>
            </w:pPr>
            <w:r>
              <w:lastRenderedPageBreak/>
              <w:t>rats exposed</w:t>
            </w:r>
            <w:r w:rsidR="00EB7F3E">
              <w:t xml:space="preserve"> at 0, 0.15 or 1 mg/m</w:t>
            </w:r>
            <w:r w:rsidR="00EB7F3E" w:rsidRPr="00EB7F3E">
              <w:rPr>
                <w:vertAlign w:val="superscript"/>
              </w:rPr>
              <w:t>3</w:t>
            </w:r>
            <w:r w:rsidR="00EB7F3E">
              <w:t xml:space="preserve"> (</w:t>
            </w:r>
            <w:r>
              <w:t xml:space="preserve">equivalent to </w:t>
            </w:r>
            <w:r w:rsidR="00DA24DD">
              <w:t xml:space="preserve">0, </w:t>
            </w:r>
            <w:r w:rsidR="00EB7F3E">
              <w:t>0.11 or 0.73 mg/m</w:t>
            </w:r>
            <w:r w:rsidR="00EB7F3E" w:rsidRPr="00EB7F3E">
              <w:rPr>
                <w:vertAlign w:val="superscript"/>
              </w:rPr>
              <w:t>3</w:t>
            </w:r>
            <w:r w:rsidR="00EB7F3E">
              <w:t xml:space="preserve"> (Ni)) </w:t>
            </w:r>
          </w:p>
          <w:p w14:paraId="1F6DE213" w14:textId="5A2AB151" w:rsidR="00E80A07" w:rsidRDefault="00E80A07" w:rsidP="004F5504">
            <w:pPr>
              <w:pStyle w:val="ListBullet"/>
              <w:numPr>
                <w:ilvl w:val="0"/>
                <w:numId w:val="19"/>
              </w:numPr>
              <w:spacing w:before="60" w:after="60"/>
              <w:contextualSpacing w:val="0"/>
            </w:pPr>
            <w:r>
              <w:t>m</w:t>
            </w:r>
            <w:r w:rsidR="00EB7F3E">
              <w:t>ice</w:t>
            </w:r>
            <w:r>
              <w:t xml:space="preserve"> exposed</w:t>
            </w:r>
            <w:r w:rsidR="00EB7F3E">
              <w:t xml:space="preserve"> at 0, 0.6 and 1.2 mg/m</w:t>
            </w:r>
            <w:r w:rsidR="00EB7F3E" w:rsidRPr="00EB7F3E">
              <w:rPr>
                <w:vertAlign w:val="superscript"/>
              </w:rPr>
              <w:t>3</w:t>
            </w:r>
            <w:r w:rsidR="00EB7F3E">
              <w:t xml:space="preserve"> (</w:t>
            </w:r>
            <w:r>
              <w:t xml:space="preserve">equivalent to 0, </w:t>
            </w:r>
            <w:r w:rsidR="00EB7F3E">
              <w:t>0.44 or 0.88 mg/m</w:t>
            </w:r>
            <w:r w:rsidR="00EB7F3E" w:rsidRPr="00EB7F3E">
              <w:rPr>
                <w:vertAlign w:val="superscript"/>
              </w:rPr>
              <w:t>3</w:t>
            </w:r>
            <w:r w:rsidR="00EB7F3E">
              <w:t xml:space="preserve"> (Ni)) </w:t>
            </w:r>
          </w:p>
          <w:p w14:paraId="37B93E21" w14:textId="32E15DE6" w:rsidR="00E80A07" w:rsidRDefault="00EB7F3E" w:rsidP="004F5504">
            <w:pPr>
              <w:pStyle w:val="ListBullet"/>
              <w:numPr>
                <w:ilvl w:val="0"/>
                <w:numId w:val="19"/>
              </w:numPr>
              <w:spacing w:before="60" w:after="60"/>
              <w:contextualSpacing w:val="0"/>
            </w:pPr>
            <w:r>
              <w:t>significant increases in lung carcinomas and adenomas in rats</w:t>
            </w:r>
            <w:r w:rsidR="00E80A07">
              <w:t>; no exposure provided</w:t>
            </w:r>
            <w:r>
              <w:t xml:space="preserve"> </w:t>
            </w:r>
          </w:p>
          <w:p w14:paraId="57F9F36B" w14:textId="34D68C33" w:rsidR="00EB7F3E" w:rsidRDefault="00EB7F3E" w:rsidP="004F5504">
            <w:pPr>
              <w:pStyle w:val="ListBullet"/>
              <w:numPr>
                <w:ilvl w:val="0"/>
                <w:numId w:val="19"/>
              </w:numPr>
              <w:spacing w:before="60" w:after="60"/>
              <w:contextualSpacing w:val="0"/>
            </w:pPr>
            <w:r>
              <w:t>no evidence of carcinogenicity in mice at MTD</w:t>
            </w:r>
            <w:r w:rsidR="00E80A07">
              <w:t xml:space="preserve"> of 0.88 mg/m</w:t>
            </w:r>
            <w:r w:rsidR="00E80A07">
              <w:rPr>
                <w:vertAlign w:val="superscript"/>
              </w:rPr>
              <w:t>3</w:t>
            </w:r>
            <w:r w:rsidR="00E80A07">
              <w:t xml:space="preserve"> (Ni)</w:t>
            </w:r>
          </w:p>
          <w:p w14:paraId="2338F3CD" w14:textId="40D9D4BE" w:rsidR="00FA20C0" w:rsidRDefault="00373D82" w:rsidP="004F5504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A comparison inhalation s</w:t>
            </w:r>
            <w:r w:rsidR="00DC48B0">
              <w:t>tudy of rats and mice</w:t>
            </w:r>
            <w:r>
              <w:t xml:space="preserve"> both</w:t>
            </w:r>
            <w:r w:rsidR="00DC48B0">
              <w:t xml:space="preserve"> exposed</w:t>
            </w:r>
            <w:r w:rsidR="00D618E9">
              <w:t xml:space="preserve"> to </w:t>
            </w:r>
            <w:r w:rsidR="00EC311A">
              <w:rPr>
                <w:rStyle w:val="checkbox"/>
                <w:rFonts w:ascii="Arial" w:hAnsi="Arial" w:cs="Arial"/>
              </w:rPr>
              <w:t>Ni</w:t>
            </w:r>
            <w:r w:rsidR="00EC311A" w:rsidRPr="00B02C5D">
              <w:rPr>
                <w:rStyle w:val="checkbox"/>
                <w:rFonts w:ascii="Arial" w:hAnsi="Arial" w:cs="Arial"/>
                <w:vertAlign w:val="subscript"/>
              </w:rPr>
              <w:t>3</w:t>
            </w:r>
            <w:r w:rsidR="00EC311A">
              <w:rPr>
                <w:rStyle w:val="checkbox"/>
                <w:rFonts w:ascii="Arial" w:hAnsi="Arial" w:cs="Arial"/>
              </w:rPr>
              <w:t>S</w:t>
            </w:r>
            <w:r w:rsidR="00EC311A" w:rsidRPr="00B02C5D">
              <w:rPr>
                <w:rStyle w:val="checkbox"/>
                <w:rFonts w:ascii="Arial" w:hAnsi="Arial" w:cs="Arial"/>
                <w:vertAlign w:val="subscript"/>
              </w:rPr>
              <w:t>2</w:t>
            </w:r>
            <w:r w:rsidR="00DC48B0">
              <w:t xml:space="preserve"> </w:t>
            </w:r>
            <w:r>
              <w:t xml:space="preserve">reported </w:t>
            </w:r>
            <w:r w:rsidR="00DC48B0">
              <w:t>degeneration of the respiratory epithelium at 0.9 mg/m</w:t>
            </w:r>
            <w:r w:rsidR="00DC48B0" w:rsidRPr="00DC48B0">
              <w:rPr>
                <w:vertAlign w:val="superscript"/>
              </w:rPr>
              <w:t>3</w:t>
            </w:r>
            <w:r w:rsidR="00DC48B0">
              <w:t xml:space="preserve"> (Ni)</w:t>
            </w:r>
            <w:r>
              <w:t xml:space="preserve"> </w:t>
            </w:r>
            <w:r w:rsidR="004F5504">
              <w:t>in</w:t>
            </w:r>
            <w:r>
              <w:t xml:space="preserve"> both species</w:t>
            </w:r>
            <w:r w:rsidR="00A619D8">
              <w:t>:</w:t>
            </w:r>
            <w:r w:rsidR="00DC48B0">
              <w:t xml:space="preserve"> </w:t>
            </w:r>
          </w:p>
          <w:p w14:paraId="34157FA1" w14:textId="16ED288A" w:rsidR="00DC48B0" w:rsidRDefault="00DC48B0" w:rsidP="00FA20C0">
            <w:pPr>
              <w:pStyle w:val="ListBullet"/>
              <w:numPr>
                <w:ilvl w:val="0"/>
                <w:numId w:val="21"/>
              </w:numPr>
              <w:spacing w:before="60" w:after="60"/>
              <w:contextualSpacing w:val="0"/>
            </w:pPr>
            <w:r>
              <w:t>rats showed pulmonary inflammation at 0.4 mg/m</w:t>
            </w:r>
            <w:r w:rsidRPr="00DC48B0">
              <w:rPr>
                <w:vertAlign w:val="superscript"/>
              </w:rPr>
              <w:t>3</w:t>
            </w:r>
            <w:r>
              <w:t xml:space="preserve"> (Ni)</w:t>
            </w:r>
          </w:p>
          <w:p w14:paraId="2348ED63" w14:textId="04F941AD" w:rsidR="00FA20C0" w:rsidRDefault="0086305F" w:rsidP="004F5504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In an inhalation</w:t>
            </w:r>
            <w:r w:rsidR="007E0130">
              <w:t xml:space="preserve"> study </w:t>
            </w:r>
            <w:r>
              <w:t>in</w:t>
            </w:r>
            <w:r w:rsidR="007E0130">
              <w:t xml:space="preserve"> rat</w:t>
            </w:r>
            <w:r>
              <w:t>s, exposure at 0.13 mg/m</w:t>
            </w:r>
            <w:r>
              <w:rPr>
                <w:vertAlign w:val="superscript"/>
              </w:rPr>
              <w:t xml:space="preserve">3 </w:t>
            </w:r>
            <w:r>
              <w:t xml:space="preserve">Ni metal dust for </w:t>
            </w:r>
            <w:r w:rsidR="007E0130">
              <w:t>4 and 8 mo resulted in no structural changes but did produce increased phospholipids and phosphatidylcholines</w:t>
            </w:r>
            <w:r w:rsidR="00A619D8">
              <w:t>:</w:t>
            </w:r>
            <w:r w:rsidR="007E0130">
              <w:t xml:space="preserve"> </w:t>
            </w:r>
          </w:p>
          <w:p w14:paraId="75329626" w14:textId="16BE72DB" w:rsidR="00DC48B0" w:rsidRDefault="0086305F" w:rsidP="00FA20C0">
            <w:pPr>
              <w:pStyle w:val="ListBullet"/>
              <w:numPr>
                <w:ilvl w:val="0"/>
                <w:numId w:val="21"/>
              </w:numPr>
              <w:ind w:left="1434" w:hanging="357"/>
              <w:contextualSpacing w:val="0"/>
            </w:pPr>
            <w:r>
              <w:t>0.13 mg/m</w:t>
            </w:r>
            <w:r>
              <w:rPr>
                <w:vertAlign w:val="superscript"/>
              </w:rPr>
              <w:t>3</w:t>
            </w:r>
            <w:r>
              <w:t xml:space="preserve"> considered a NOAEC </w:t>
            </w:r>
            <w:r w:rsidR="004A02CC">
              <w:t>(</w:t>
            </w:r>
            <w:r w:rsidR="007E0130">
              <w:t>no further information</w:t>
            </w:r>
            <w:r w:rsidR="004A02CC">
              <w:t>)</w:t>
            </w:r>
          </w:p>
          <w:p w14:paraId="60A30AF3" w14:textId="35D8007B" w:rsidR="00F01CDB" w:rsidRDefault="00EC311A" w:rsidP="004F5504">
            <w:pPr>
              <w:pStyle w:val="ListBullet"/>
              <w:spacing w:before="60" w:after="60"/>
              <w:ind w:left="1077" w:hanging="357"/>
              <w:contextualSpacing w:val="0"/>
            </w:pPr>
            <w:r>
              <w:rPr>
                <w:rStyle w:val="checkbox"/>
                <w:rFonts w:ascii="Arial" w:hAnsi="Arial" w:cs="Arial"/>
              </w:rPr>
              <w:t>Ni</w:t>
            </w:r>
            <w:r w:rsidRPr="00B02C5D">
              <w:rPr>
                <w:rStyle w:val="checkbox"/>
                <w:rFonts w:ascii="Arial" w:hAnsi="Arial" w:cs="Arial"/>
                <w:vertAlign w:val="subscript"/>
              </w:rPr>
              <w:t>3</w:t>
            </w:r>
            <w:r>
              <w:rPr>
                <w:rStyle w:val="checkbox"/>
                <w:rFonts w:ascii="Arial" w:hAnsi="Arial" w:cs="Arial"/>
              </w:rPr>
              <w:t>S</w:t>
            </w:r>
            <w:r w:rsidRPr="00B02C5D">
              <w:rPr>
                <w:rStyle w:val="checkbox"/>
                <w:rFonts w:ascii="Arial" w:hAnsi="Arial" w:cs="Arial"/>
                <w:vertAlign w:val="subscript"/>
              </w:rPr>
              <w:t>2</w:t>
            </w:r>
            <w:r w:rsidR="00F01CDB">
              <w:t xml:space="preserve"> produced pulmonary carcinogenesis in 14</w:t>
            </w:r>
            <w:r w:rsidR="0053721C">
              <w:t>/</w:t>
            </w:r>
            <w:r w:rsidR="00F01CDB">
              <w:t>208 rats exposed at 0.97</w:t>
            </w:r>
            <w:r w:rsidR="0053721C">
              <w:t> </w:t>
            </w:r>
            <w:r w:rsidR="00F01CDB">
              <w:t>mg/m</w:t>
            </w:r>
            <w:r w:rsidR="00F01CDB" w:rsidRPr="00F01CDB">
              <w:rPr>
                <w:vertAlign w:val="superscript"/>
              </w:rPr>
              <w:t>3</w:t>
            </w:r>
            <w:r w:rsidR="00F01CDB">
              <w:t xml:space="preserve"> for </w:t>
            </w:r>
            <w:r>
              <w:t>78 </w:t>
            </w:r>
            <w:r w:rsidR="00F01CDB">
              <w:t>wk</w:t>
            </w:r>
            <w:r w:rsidR="00EB7F3E">
              <w:t>, followed by a 30</w:t>
            </w:r>
            <w:r>
              <w:t xml:space="preserve"> </w:t>
            </w:r>
            <w:r w:rsidR="00F01CDB">
              <w:t>wk observation period; no further details</w:t>
            </w:r>
          </w:p>
          <w:p w14:paraId="4B8D2F9F" w14:textId="1DAE3FDE" w:rsidR="00A93B0D" w:rsidRDefault="00A93B0D" w:rsidP="004F5504">
            <w:pPr>
              <w:pStyle w:val="ListBullet"/>
              <w:spacing w:before="60" w:after="60"/>
              <w:ind w:left="1077" w:hanging="357"/>
              <w:contextualSpacing w:val="0"/>
            </w:pPr>
            <w:r>
              <w:t xml:space="preserve">Rats exposed for 2 yr to </w:t>
            </w:r>
            <w:r w:rsidR="00EC311A">
              <w:t>NiO</w:t>
            </w:r>
            <w:r>
              <w:t>, at 0.62 mg/m</w:t>
            </w:r>
            <w:r w:rsidRPr="00A93B0D">
              <w:rPr>
                <w:vertAlign w:val="superscript"/>
              </w:rPr>
              <w:t>3</w:t>
            </w:r>
            <w:r>
              <w:t xml:space="preserve"> and mice at 1.0 mg/m</w:t>
            </w:r>
            <w:r>
              <w:rPr>
                <w:vertAlign w:val="superscript"/>
              </w:rPr>
              <w:t>3</w:t>
            </w:r>
            <w:r>
              <w:t xml:space="preserve"> showed inflammation and pigmentation in the lung; no further information</w:t>
            </w:r>
            <w:r w:rsidR="00D720C6">
              <w:t>.</w:t>
            </w:r>
          </w:p>
          <w:p w14:paraId="426126DC" w14:textId="2CAEDE26" w:rsidR="0053721C" w:rsidRPr="00DA352E" w:rsidRDefault="0053721C" w:rsidP="004F5504">
            <w:pPr>
              <w:pStyle w:val="ListBullet"/>
              <w:numPr>
                <w:ilvl w:val="0"/>
                <w:numId w:val="0"/>
              </w:numPr>
              <w:ind w:left="1080"/>
            </w:pPr>
          </w:p>
        </w:tc>
      </w:tr>
      <w:tr w:rsidR="00C978F0" w:rsidRPr="00DA352E" w14:paraId="4980D105" w14:textId="77777777" w:rsidTr="004B08D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B85725A" w14:textId="2297EED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D05642">
                  <w:t>2010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A06712">
                  <w:t>Not assigned</w:t>
                </w:r>
              </w:sdtContent>
            </w:sdt>
          </w:p>
        </w:tc>
      </w:tr>
      <w:tr w:rsidR="00C978F0" w:rsidRPr="00DA352E" w14:paraId="31CDBD42" w14:textId="77777777" w:rsidTr="004B08D2">
        <w:trPr>
          <w:gridAfter w:val="1"/>
          <w:wAfter w:w="8" w:type="pct"/>
        </w:trPr>
        <w:tc>
          <w:tcPr>
            <w:tcW w:w="4992" w:type="pct"/>
          </w:tcPr>
          <w:p w14:paraId="12A6DA86" w14:textId="77777777" w:rsidR="00B54413" w:rsidRDefault="00B54413" w:rsidP="00B54413">
            <w:pPr>
              <w:pStyle w:val="Tabletextprimarysource"/>
            </w:pPr>
            <w:r>
              <w:t>Reviewed undertaken as a group ‘</w:t>
            </w:r>
            <w:r w:rsidRPr="00D05642">
              <w:rPr>
                <w:i/>
              </w:rPr>
              <w:t>Nickel and its compounds (in the form of inhalable dusts/aerosols</w:t>
            </w:r>
            <w:r w:rsidRPr="007F40B8">
              <w:t>)</w:t>
            </w:r>
            <w:r>
              <w:t>’.</w:t>
            </w:r>
          </w:p>
          <w:p w14:paraId="2C2E94D0" w14:textId="77777777" w:rsidR="00C978F0" w:rsidRDefault="00B54413" w:rsidP="003365A5">
            <w:pPr>
              <w:pStyle w:val="Tabletextprimarysource"/>
            </w:pPr>
            <w:r>
              <w:t>Summary of data:</w:t>
            </w:r>
          </w:p>
          <w:p w14:paraId="1C0D93CC" w14:textId="023E662F" w:rsidR="00AD0D95" w:rsidRDefault="00AD0D95" w:rsidP="004F5504">
            <w:pPr>
              <w:pStyle w:val="ListBullet"/>
              <w:spacing w:before="60" w:after="60"/>
              <w:ind w:left="1077" w:hanging="357"/>
              <w:contextualSpacing w:val="0"/>
            </w:pPr>
            <w:r w:rsidRPr="00AD0D95">
              <w:t>No NOAEL for carcinogenicity can be derived from the epidemiological and animal studies</w:t>
            </w:r>
            <w:r>
              <w:t xml:space="preserve"> and therefore no MAK can be recommended</w:t>
            </w:r>
          </w:p>
          <w:p w14:paraId="0F473B94" w14:textId="69593514" w:rsidR="00EC311A" w:rsidRDefault="003F2019" w:rsidP="004F5504">
            <w:pPr>
              <w:pStyle w:val="ListBullet"/>
              <w:spacing w:before="60" w:after="60"/>
              <w:ind w:left="1077" w:hanging="357"/>
              <w:contextualSpacing w:val="0"/>
            </w:pPr>
            <w:r>
              <w:t xml:space="preserve">Carcinogenicity of </w:t>
            </w:r>
            <w:r w:rsidR="00EC311A">
              <w:t>Ni</w:t>
            </w:r>
            <w:r>
              <w:t xml:space="preserve"> compounds is probably due to mechanisms that are not directly genotoxic</w:t>
            </w:r>
            <w:r w:rsidR="00DD5227">
              <w:t xml:space="preserve">: </w:t>
            </w:r>
          </w:p>
          <w:p w14:paraId="5737DCDF" w14:textId="2696A181" w:rsidR="003F2019" w:rsidRDefault="003F2019" w:rsidP="004F5504">
            <w:pPr>
              <w:pStyle w:val="ListBullet"/>
              <w:numPr>
                <w:ilvl w:val="0"/>
                <w:numId w:val="15"/>
              </w:numPr>
              <w:spacing w:before="60" w:after="60"/>
              <w:contextualSpacing w:val="0"/>
            </w:pPr>
            <w:r>
              <w:t>mutagenicity is only weak and mechanistic studies have shown an inhibition of DNA repair and a stimulation of cell proliferation</w:t>
            </w:r>
          </w:p>
          <w:p w14:paraId="6A6751C0" w14:textId="66967ED4" w:rsidR="00AD0D95" w:rsidRDefault="00AD0D95" w:rsidP="00AD0D95">
            <w:pPr>
              <w:pStyle w:val="Tabletextprimarysource"/>
            </w:pPr>
            <w:r>
              <w:t>Human data:</w:t>
            </w:r>
          </w:p>
          <w:p w14:paraId="2EA3566B" w14:textId="7BBE8782" w:rsidR="00881CF9" w:rsidRPr="00881CF9" w:rsidRDefault="00881CF9" w:rsidP="004F5504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Ni allergies are predominantly non-occupational in origin caused by fashion jewellery</w:t>
            </w:r>
            <w:r w:rsidR="00154DDA">
              <w:t>; individuals</w:t>
            </w:r>
            <w:r>
              <w:t xml:space="preserve"> </w:t>
            </w:r>
            <w:r w:rsidR="00154DDA">
              <w:t>already sensitised may experience contact eczema from occupational exposures</w:t>
            </w:r>
          </w:p>
          <w:p w14:paraId="2048ABFB" w14:textId="1E56390D" w:rsidR="00154DDA" w:rsidRDefault="00154DDA" w:rsidP="004F5504">
            <w:pPr>
              <w:pStyle w:val="ListBullet"/>
              <w:spacing w:before="60" w:after="60"/>
              <w:ind w:left="1080" w:hanging="357"/>
              <w:contextualSpacing w:val="0"/>
            </w:pPr>
            <w:r>
              <w:t xml:space="preserve">Cancer mortality studied in a cohort of 31,165 </w:t>
            </w:r>
            <w:r w:rsidR="00EC311A">
              <w:t>Ni</w:t>
            </w:r>
            <w:r>
              <w:t xml:space="preserve"> alloy workers from 13 plants</w:t>
            </w:r>
            <w:r w:rsidR="00DD5227">
              <w:t>:</w:t>
            </w:r>
            <w:r>
              <w:t xml:space="preserve"> </w:t>
            </w:r>
          </w:p>
          <w:p w14:paraId="782E0FF0" w14:textId="77777777" w:rsidR="00EC311A" w:rsidRPr="004F5504" w:rsidRDefault="00154DDA" w:rsidP="004F5504">
            <w:pPr>
              <w:pStyle w:val="ListBullet"/>
              <w:numPr>
                <w:ilvl w:val="0"/>
                <w:numId w:val="4"/>
              </w:numPr>
              <w:spacing w:before="60" w:after="60"/>
              <w:ind w:hanging="357"/>
              <w:contextualSpacing w:val="0"/>
            </w:pPr>
            <w:r>
              <w:t>approximate mean exposure concentrations for specific work areas: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</w:t>
            </w:r>
          </w:p>
          <w:p w14:paraId="3B1760C4" w14:textId="736EC40C" w:rsidR="00EC311A" w:rsidRPr="00591070" w:rsidRDefault="00154DDA" w:rsidP="00591070">
            <w:pPr>
              <w:pStyle w:val="ListNumber"/>
              <w:numPr>
                <w:ilvl w:val="0"/>
                <w:numId w:val="20"/>
              </w:numPr>
              <w:ind w:left="1865"/>
              <w:rPr>
                <w:szCs w:val="20"/>
              </w:rPr>
            </w:pPr>
            <w:r>
              <w:rPr>
                <w:shd w:val="clear" w:color="auto" w:fill="FFFFFF"/>
              </w:rPr>
              <w:t>powder metallurgy 1</w:t>
            </w:r>
            <w:r w:rsidRPr="00591070">
              <w:rPr>
                <w:szCs w:val="20"/>
                <w:shd w:val="clear" w:color="auto" w:fill="FFFFFF"/>
              </w:rPr>
              <w:t xml:space="preserve">.5 </w:t>
            </w:r>
            <w:r w:rsidR="00EC311A" w:rsidRPr="00591070">
              <w:rPr>
                <w:szCs w:val="20"/>
                <w:shd w:val="clear" w:color="auto" w:fill="FFFFFF"/>
              </w:rPr>
              <w:t>mg/m</w:t>
            </w:r>
            <w:r w:rsidR="00EC311A" w:rsidRPr="00591070">
              <w:rPr>
                <w:szCs w:val="20"/>
                <w:shd w:val="clear" w:color="auto" w:fill="FFFFFF"/>
                <w:vertAlign w:val="superscript"/>
              </w:rPr>
              <w:t>3</w:t>
            </w:r>
          </w:p>
          <w:p w14:paraId="3D85E268" w14:textId="7B63FB50" w:rsidR="00EC311A" w:rsidRPr="004F5504" w:rsidRDefault="00154DDA" w:rsidP="00591070">
            <w:pPr>
              <w:pStyle w:val="ListNumber"/>
              <w:numPr>
                <w:ilvl w:val="0"/>
                <w:numId w:val="20"/>
              </w:numPr>
              <w:ind w:left="1865"/>
            </w:pPr>
            <w:r>
              <w:rPr>
                <w:shd w:val="clear" w:color="auto" w:fill="FFFFFF"/>
              </w:rPr>
              <w:t xml:space="preserve">grinding operations </w:t>
            </w:r>
            <w:r w:rsidRPr="00591070">
              <w:rPr>
                <w:szCs w:val="20"/>
                <w:shd w:val="clear" w:color="auto" w:fill="FFFFFF"/>
              </w:rPr>
              <w:t>0.3 mg/m</w:t>
            </w:r>
            <w:r w:rsidRPr="00591070">
              <w:rPr>
                <w:szCs w:val="20"/>
                <w:shd w:val="clear" w:color="auto" w:fill="FFFFFF"/>
                <w:vertAlign w:val="superscript"/>
              </w:rPr>
              <w:t>3</w:t>
            </w:r>
          </w:p>
          <w:p w14:paraId="74CA85C3" w14:textId="45AD2F1D" w:rsidR="00154DDA" w:rsidRDefault="00154DDA" w:rsidP="00591070">
            <w:pPr>
              <w:pStyle w:val="ListNumber"/>
              <w:numPr>
                <w:ilvl w:val="0"/>
                <w:numId w:val="20"/>
              </w:numPr>
              <w:ind w:left="1865"/>
            </w:pPr>
            <w:r>
              <w:rPr>
                <w:shd w:val="clear" w:color="auto" w:fill="FFFFFF"/>
              </w:rPr>
              <w:t>hot working areas wit</w:t>
            </w:r>
            <w:r w:rsidR="00D720C6">
              <w:rPr>
                <w:shd w:val="clear" w:color="auto" w:fill="FFFFFF"/>
              </w:rPr>
              <w:t xml:space="preserve">h </w:t>
            </w:r>
            <w:r w:rsidR="00D720C6" w:rsidRPr="00591070">
              <w:rPr>
                <w:szCs w:val="20"/>
                <w:shd w:val="clear" w:color="auto" w:fill="FFFFFF"/>
              </w:rPr>
              <w:t>0.1 </w:t>
            </w:r>
            <w:r w:rsidRPr="00591070">
              <w:rPr>
                <w:szCs w:val="20"/>
                <w:shd w:val="clear" w:color="auto" w:fill="FFFFFF"/>
              </w:rPr>
              <w:t>mg/m</w:t>
            </w:r>
            <w:r w:rsidRPr="00591070">
              <w:rPr>
                <w:szCs w:val="20"/>
                <w:shd w:val="clear" w:color="auto" w:fill="FFFFFF"/>
                <w:vertAlign w:val="superscript"/>
              </w:rPr>
              <w:t>3</w:t>
            </w:r>
          </w:p>
          <w:p w14:paraId="3E4DE32C" w14:textId="586531FD" w:rsidR="008B1F15" w:rsidRPr="00154DDA" w:rsidRDefault="00154DDA" w:rsidP="004F5504">
            <w:pPr>
              <w:pStyle w:val="ListBullet"/>
              <w:numPr>
                <w:ilvl w:val="0"/>
                <w:numId w:val="4"/>
              </w:numPr>
              <w:spacing w:before="60" w:after="60"/>
              <w:ind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>compared with the cancer mortality data of the total US population</w:t>
            </w:r>
            <w:r w:rsidR="008B1F15">
              <w:rPr>
                <w:rFonts w:cs="Arial"/>
                <w:color w:val="1C1D1E"/>
                <w:shd w:val="clear" w:color="auto" w:fill="FFFFFF"/>
              </w:rPr>
              <w:t xml:space="preserve"> and found increased risk of lung cancer mortality was found among workers</w:t>
            </w:r>
          </w:p>
          <w:p w14:paraId="1C839DCA" w14:textId="1FF5398A" w:rsidR="00154DDA" w:rsidRPr="008B1F15" w:rsidRDefault="008B1F15" w:rsidP="004F5504">
            <w:pPr>
              <w:pStyle w:val="ListBullet"/>
              <w:numPr>
                <w:ilvl w:val="0"/>
                <w:numId w:val="4"/>
              </w:numPr>
              <w:spacing w:before="60" w:after="60"/>
              <w:ind w:hanging="357"/>
              <w:contextualSpacing w:val="0"/>
            </w:pPr>
            <w:r w:rsidRPr="008B1F15">
              <w:rPr>
                <w:rFonts w:cs="Arial"/>
                <w:color w:val="1C1D1E"/>
                <w:shd w:val="clear" w:color="auto" w:fill="FFFFFF"/>
              </w:rPr>
              <w:t xml:space="preserve">compared also with two other reference populations, a population in the proximity of the </w:t>
            </w:r>
            <w:r w:rsidR="00EC311A">
              <w:rPr>
                <w:rFonts w:cs="Arial"/>
                <w:color w:val="1C1D1E"/>
                <w:shd w:val="clear" w:color="auto" w:fill="FFFFFF"/>
              </w:rPr>
              <w:t>Ni</w:t>
            </w:r>
            <w:r w:rsidRPr="008B1F15">
              <w:rPr>
                <w:rFonts w:cs="Arial"/>
                <w:color w:val="1C1D1E"/>
                <w:shd w:val="clear" w:color="auto" w:fill="FFFFFF"/>
              </w:rPr>
              <w:t xml:space="preserve"> plants and a steel worker cohort from a different study and found pattern of risk </w:t>
            </w:r>
            <w:r>
              <w:rPr>
                <w:rFonts w:cs="Arial"/>
                <w:color w:val="1C1D1E"/>
                <w:shd w:val="clear" w:color="auto" w:fill="FFFFFF"/>
              </w:rPr>
              <w:t>for the various work areas and subgroups of sex or race are similar across all three comparison groups</w:t>
            </w:r>
          </w:p>
          <w:p w14:paraId="20D0C1E8" w14:textId="03F346F7" w:rsidR="008B1F15" w:rsidRPr="008B1F15" w:rsidRDefault="008B1F15" w:rsidP="004F5504">
            <w:pPr>
              <w:pStyle w:val="ListBullet"/>
              <w:numPr>
                <w:ilvl w:val="0"/>
                <w:numId w:val="4"/>
              </w:numPr>
              <w:spacing w:before="60" w:after="60"/>
              <w:ind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>no increased risk for lung cancer is noted compared with that of local populations</w:t>
            </w:r>
          </w:p>
          <w:p w14:paraId="44E776A4" w14:textId="1DAD19FC" w:rsidR="008B1F15" w:rsidRPr="008B1F15" w:rsidRDefault="00C429DD" w:rsidP="004F5504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DFG c</w:t>
            </w:r>
            <w:r w:rsidR="008B1F15">
              <w:t xml:space="preserve">oncludes </w:t>
            </w:r>
            <w:r w:rsidR="008B1F15">
              <w:rPr>
                <w:rFonts w:cs="Arial"/>
                <w:color w:val="1C1D1E"/>
                <w:shd w:val="clear" w:color="auto" w:fill="FFFFFF"/>
              </w:rPr>
              <w:t xml:space="preserve">indications of carcinogenic effects of metallic </w:t>
            </w:r>
            <w:r w:rsidR="00EC311A">
              <w:rPr>
                <w:rFonts w:cs="Arial"/>
                <w:color w:val="1C1D1E"/>
                <w:shd w:val="clear" w:color="auto" w:fill="FFFFFF"/>
              </w:rPr>
              <w:t>Ni</w:t>
            </w:r>
            <w:r w:rsidR="008B1F15">
              <w:rPr>
                <w:rFonts w:cs="Arial"/>
                <w:color w:val="1C1D1E"/>
                <w:shd w:val="clear" w:color="auto" w:fill="FFFFFF"/>
              </w:rPr>
              <w:t xml:space="preserve"> from epidemiology but not conclusive</w:t>
            </w:r>
          </w:p>
          <w:p w14:paraId="3E17EEB1" w14:textId="2172CFEB" w:rsidR="00082BC8" w:rsidRDefault="00082BC8" w:rsidP="004F5504">
            <w:pPr>
              <w:pStyle w:val="ListBullet"/>
              <w:spacing w:before="60" w:after="60"/>
              <w:ind w:left="1080" w:hanging="357"/>
              <w:contextualSpacing w:val="0"/>
            </w:pPr>
            <w:r>
              <w:rPr>
                <w:shd w:val="clear" w:color="auto" w:fill="FFFFFF"/>
              </w:rPr>
              <w:t>Ni</w:t>
            </w:r>
            <w:r w:rsidR="00EC311A">
              <w:rPr>
                <w:shd w:val="clear" w:color="auto" w:fill="FFFFFF"/>
              </w:rPr>
              <w:t>O</w:t>
            </w:r>
            <w:r>
              <w:rPr>
                <w:shd w:val="clear" w:color="auto" w:fill="FFFFFF"/>
              </w:rPr>
              <w:t xml:space="preserve">, </w:t>
            </w:r>
            <w:r w:rsidR="009A4A6B">
              <w:rPr>
                <w:shd w:val="clear" w:color="auto" w:fill="FFFFFF"/>
              </w:rPr>
              <w:t>NiO</w:t>
            </w:r>
            <w:r w:rsidR="009A4A6B" w:rsidRPr="004F5504">
              <w:rPr>
                <w:shd w:val="clear" w:color="auto" w:fill="FFFFFF"/>
                <w:vertAlign w:val="subscript"/>
              </w:rPr>
              <w:t>2</w:t>
            </w:r>
            <w:r>
              <w:rPr>
                <w:shd w:val="clear" w:color="auto" w:fill="FFFFFF"/>
              </w:rPr>
              <w:t xml:space="preserve">, </w:t>
            </w:r>
            <w:r w:rsidR="009A4A6B">
              <w:rPr>
                <w:shd w:val="clear" w:color="auto" w:fill="FFFFFF"/>
              </w:rPr>
              <w:t>Ni</w:t>
            </w:r>
            <w:r w:rsidR="009A4A6B" w:rsidRPr="004F5504">
              <w:rPr>
                <w:shd w:val="clear" w:color="auto" w:fill="FFFFFF"/>
                <w:vertAlign w:val="subscript"/>
              </w:rPr>
              <w:t>2</w:t>
            </w:r>
            <w:r w:rsidR="009A4A6B">
              <w:rPr>
                <w:shd w:val="clear" w:color="auto" w:fill="FFFFFF"/>
              </w:rPr>
              <w:t>O</w:t>
            </w:r>
            <w:r w:rsidR="009A4A6B" w:rsidRPr="004F5504">
              <w:rPr>
                <w:shd w:val="clear" w:color="auto" w:fill="FFFFFF"/>
                <w:vertAlign w:val="subscript"/>
              </w:rPr>
              <w:t>3</w:t>
            </w:r>
            <w:r>
              <w:rPr>
                <w:shd w:val="clear" w:color="auto" w:fill="FFFFFF"/>
              </w:rPr>
              <w:t xml:space="preserve">, </w:t>
            </w:r>
            <w:r w:rsidR="009A4A6B">
              <w:rPr>
                <w:shd w:val="clear" w:color="auto" w:fill="FFFFFF"/>
              </w:rPr>
              <w:t>NiS</w:t>
            </w:r>
            <w:r>
              <w:rPr>
                <w:shd w:val="clear" w:color="auto" w:fill="FFFFFF"/>
              </w:rPr>
              <w:t xml:space="preserve"> and </w:t>
            </w:r>
            <w:r w:rsidR="009A4A6B">
              <w:rPr>
                <w:rStyle w:val="checkbox"/>
                <w:rFonts w:ascii="Arial" w:hAnsi="Arial" w:cs="Arial"/>
              </w:rPr>
              <w:t>Ni</w:t>
            </w:r>
            <w:r w:rsidR="009A4A6B" w:rsidRPr="00B02C5D">
              <w:rPr>
                <w:rStyle w:val="checkbox"/>
                <w:rFonts w:ascii="Arial" w:hAnsi="Arial" w:cs="Arial"/>
                <w:vertAlign w:val="subscript"/>
              </w:rPr>
              <w:t>3</w:t>
            </w:r>
            <w:r w:rsidR="009A4A6B">
              <w:rPr>
                <w:rStyle w:val="checkbox"/>
                <w:rFonts w:ascii="Arial" w:hAnsi="Arial" w:cs="Arial"/>
              </w:rPr>
              <w:t>S</w:t>
            </w:r>
            <w:r w:rsidR="009A4A6B" w:rsidRPr="00B02C5D">
              <w:rPr>
                <w:rStyle w:val="checkbox"/>
                <w:rFonts w:ascii="Arial" w:hAnsi="Arial" w:cs="Arial"/>
                <w:vertAlign w:val="subscript"/>
              </w:rPr>
              <w:t>2</w:t>
            </w:r>
            <w:r>
              <w:rPr>
                <w:shd w:val="clear" w:color="auto" w:fill="FFFFFF"/>
              </w:rPr>
              <w:t xml:space="preserve"> classified as carcinogenic based on evidence of carcinogenicity in humans</w:t>
            </w:r>
            <w:r w:rsidR="00DD5227">
              <w:rPr>
                <w:shd w:val="clear" w:color="auto" w:fill="FFFFFF"/>
              </w:rPr>
              <w:t>.</w:t>
            </w:r>
            <w:r w:rsidR="002C4DB4">
              <w:rPr>
                <w:shd w:val="clear" w:color="auto" w:fill="FFFFFF"/>
              </w:rPr>
              <w:t xml:space="preserve"> </w:t>
            </w:r>
            <w:r w:rsidR="00DD5227">
              <w:rPr>
                <w:shd w:val="clear" w:color="auto" w:fill="FFFFFF"/>
              </w:rPr>
              <w:t xml:space="preserve">No </w:t>
            </w:r>
            <w:r w:rsidR="002C4DB4">
              <w:rPr>
                <w:shd w:val="clear" w:color="auto" w:fill="FFFFFF"/>
              </w:rPr>
              <w:t>further information</w:t>
            </w:r>
          </w:p>
          <w:p w14:paraId="3544D395" w14:textId="1381AEE1" w:rsidR="009A4A6B" w:rsidRDefault="00082BC8" w:rsidP="004F5504">
            <w:pPr>
              <w:pStyle w:val="ListBullet"/>
              <w:spacing w:before="60" w:after="60"/>
              <w:ind w:left="1080" w:hanging="357"/>
              <w:contextualSpacing w:val="0"/>
            </w:pPr>
            <w:r>
              <w:lastRenderedPageBreak/>
              <w:t>I</w:t>
            </w:r>
            <w:r w:rsidRPr="00082BC8">
              <w:t xml:space="preserve">ncreased risks of lung and nasal cancers among persons exposed to sulfidic and oxidic </w:t>
            </w:r>
            <w:r w:rsidR="009A4A6B">
              <w:t>Ni</w:t>
            </w:r>
            <w:r w:rsidR="00A619D8">
              <w:t>:</w:t>
            </w:r>
          </w:p>
          <w:p w14:paraId="4CEBD4BC" w14:textId="2BDD4689" w:rsidR="00B54413" w:rsidRPr="00154DDA" w:rsidRDefault="00082BC8" w:rsidP="004F5504">
            <w:pPr>
              <w:pStyle w:val="ListBullet"/>
              <w:numPr>
                <w:ilvl w:val="0"/>
                <w:numId w:val="4"/>
              </w:numPr>
              <w:spacing w:before="60" w:after="60"/>
              <w:ind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 xml:space="preserve">workers with relatively low exposure to oxidic and soluble </w:t>
            </w:r>
            <w:r w:rsidR="009A4A6B">
              <w:rPr>
                <w:rFonts w:cs="Arial"/>
                <w:color w:val="1C1D1E"/>
                <w:shd w:val="clear" w:color="auto" w:fill="FFFFFF"/>
              </w:rPr>
              <w:t>Ni and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high exposure to sulfidic </w:t>
            </w:r>
            <w:r w:rsidR="009A4A6B">
              <w:rPr>
                <w:rFonts w:cs="Arial"/>
                <w:color w:val="1C1D1E"/>
                <w:shd w:val="clear" w:color="auto" w:fill="FFFFFF"/>
              </w:rPr>
              <w:t>Ni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, the lung cancer risk was clearly higher than among those with lower exposure to sulfidic </w:t>
            </w:r>
            <w:r w:rsidR="009A4A6B">
              <w:rPr>
                <w:rFonts w:cs="Arial"/>
                <w:color w:val="1C1D1E"/>
                <w:shd w:val="clear" w:color="auto" w:fill="FFFFFF"/>
              </w:rPr>
              <w:t>Ni</w:t>
            </w:r>
            <w:r w:rsidR="00D720C6">
              <w:rPr>
                <w:rFonts w:cs="Arial"/>
                <w:color w:val="1C1D1E"/>
                <w:shd w:val="clear" w:color="auto" w:fill="FFFFFF"/>
              </w:rPr>
              <w:t>.</w:t>
            </w:r>
          </w:p>
          <w:p w14:paraId="09001E24" w14:textId="7282F5B6" w:rsidR="00154DDA" w:rsidRDefault="00C429DD" w:rsidP="00C429DD">
            <w:pPr>
              <w:pStyle w:val="Tabletextprimarysource"/>
            </w:pPr>
            <w:r>
              <w:t>Animal data</w:t>
            </w:r>
            <w:r w:rsidR="00D05642">
              <w:t>:</w:t>
            </w:r>
          </w:p>
          <w:p w14:paraId="7841A4E0" w14:textId="70065D02" w:rsidR="009A4A6B" w:rsidRPr="004F5504" w:rsidRDefault="00C429DD" w:rsidP="004F5504">
            <w:pPr>
              <w:pStyle w:val="ListBullet"/>
              <w:spacing w:before="60" w:after="60"/>
              <w:ind w:left="1077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 xml:space="preserve">Intratracheal instillation of </w:t>
            </w:r>
            <w:r w:rsidR="009A4A6B">
              <w:rPr>
                <w:rFonts w:cs="Arial"/>
                <w:color w:val="1C1D1E"/>
                <w:shd w:val="clear" w:color="auto" w:fill="FFFFFF"/>
              </w:rPr>
              <w:t>Ni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powder (99.9% </w:t>
            </w:r>
            <w:r w:rsidR="009A4A6B">
              <w:rPr>
                <w:rFonts w:cs="Arial"/>
                <w:color w:val="1C1D1E"/>
                <w:shd w:val="clear" w:color="auto" w:fill="FFFFFF"/>
              </w:rPr>
              <w:t>Ni</w:t>
            </w:r>
            <w:r>
              <w:rPr>
                <w:rFonts w:cs="Arial"/>
                <w:color w:val="1C1D1E"/>
                <w:shd w:val="clear" w:color="auto" w:fill="FFFFFF"/>
              </w:rPr>
              <w:t>) induced malignant lung tumours in</w:t>
            </w:r>
            <w:r w:rsidR="009A4A6B">
              <w:rPr>
                <w:rFonts w:cs="Arial"/>
                <w:color w:val="1C1D1E"/>
                <w:shd w:val="clear" w:color="auto" w:fill="FFFFFF"/>
              </w:rPr>
              <w:t>:</w:t>
            </w:r>
          </w:p>
          <w:p w14:paraId="18A3835C" w14:textId="48A85C46" w:rsidR="009A4A6B" w:rsidRPr="004F5504" w:rsidRDefault="00C429DD" w:rsidP="004F5504">
            <w:pPr>
              <w:pStyle w:val="ListBullet"/>
              <w:numPr>
                <w:ilvl w:val="0"/>
                <w:numId w:val="4"/>
              </w:numPr>
              <w:spacing w:before="60" w:after="60"/>
              <w:ind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>10</w:t>
            </w:r>
            <w:r w:rsidR="009A4A6B">
              <w:rPr>
                <w:rFonts w:cs="Arial"/>
                <w:color w:val="1C1D1E"/>
                <w:shd w:val="clear" w:color="auto" w:fill="FFFFFF"/>
              </w:rPr>
              <w:t>/</w:t>
            </w:r>
            <w:r>
              <w:rPr>
                <w:rFonts w:cs="Arial"/>
                <w:color w:val="1C1D1E"/>
                <w:shd w:val="clear" w:color="auto" w:fill="FFFFFF"/>
              </w:rPr>
              <w:t>39 rats over 20 administrations of 6 mg</w:t>
            </w:r>
          </w:p>
          <w:p w14:paraId="5F5BDD94" w14:textId="7DE8B87A" w:rsidR="009A4A6B" w:rsidRPr="004F5504" w:rsidRDefault="00C429DD" w:rsidP="004F5504">
            <w:pPr>
              <w:pStyle w:val="ListBullet"/>
              <w:numPr>
                <w:ilvl w:val="0"/>
                <w:numId w:val="4"/>
              </w:numPr>
              <w:spacing w:before="60" w:after="60"/>
              <w:ind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>8</w:t>
            </w:r>
            <w:r w:rsidR="0053721C">
              <w:rPr>
                <w:rFonts w:cs="Arial"/>
                <w:color w:val="1C1D1E"/>
                <w:shd w:val="clear" w:color="auto" w:fill="FFFFFF"/>
              </w:rPr>
              <w:t>/</w:t>
            </w:r>
            <w:r>
              <w:rPr>
                <w:rFonts w:cs="Arial"/>
                <w:color w:val="1C1D1E"/>
                <w:shd w:val="clear" w:color="auto" w:fill="FFFFFF"/>
              </w:rPr>
              <w:t>32 rats over 10 administrations of 9 mg</w:t>
            </w:r>
          </w:p>
          <w:p w14:paraId="16638289" w14:textId="0B9F3EF3" w:rsidR="00C429DD" w:rsidRPr="00C429DD" w:rsidRDefault="00C429DD" w:rsidP="004F5504">
            <w:pPr>
              <w:pStyle w:val="ListBullet"/>
              <w:numPr>
                <w:ilvl w:val="0"/>
                <w:numId w:val="4"/>
              </w:numPr>
              <w:spacing w:before="60" w:after="60"/>
              <w:ind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>0</w:t>
            </w:r>
            <w:r w:rsidR="0053721C">
              <w:rPr>
                <w:rFonts w:cs="Arial"/>
                <w:color w:val="1C1D1E"/>
                <w:shd w:val="clear" w:color="auto" w:fill="FFFFFF"/>
              </w:rPr>
              <w:t>/</w:t>
            </w:r>
            <w:r>
              <w:rPr>
                <w:rFonts w:cs="Arial"/>
                <w:color w:val="1C1D1E"/>
                <w:shd w:val="clear" w:color="auto" w:fill="FFFFFF"/>
              </w:rPr>
              <w:t>40 control animals</w:t>
            </w:r>
          </w:p>
          <w:p w14:paraId="27E1141D" w14:textId="37202BAD" w:rsidR="00C429DD" w:rsidRDefault="002C4DB4" w:rsidP="004F5504">
            <w:pPr>
              <w:pStyle w:val="ListBullet"/>
              <w:spacing w:before="60" w:after="60"/>
              <w:ind w:left="1077" w:hanging="357"/>
              <w:contextualSpacing w:val="0"/>
            </w:pPr>
            <w:r w:rsidRPr="002C4DB4">
              <w:t>I</w:t>
            </w:r>
            <w:r w:rsidR="00D720C6">
              <w:t>P</w:t>
            </w:r>
            <w:r w:rsidRPr="002C4DB4">
              <w:t xml:space="preserve"> injection of </w:t>
            </w:r>
            <w:r w:rsidR="009A4A6B">
              <w:t>Ni</w:t>
            </w:r>
            <w:r w:rsidRPr="002C4DB4">
              <w:t xml:space="preserve"> powder (100% </w:t>
            </w:r>
            <w:r w:rsidR="009A4A6B">
              <w:t>Ni</w:t>
            </w:r>
            <w:r w:rsidRPr="002C4DB4">
              <w:t>) induced local, m</w:t>
            </w:r>
            <w:r>
              <w:t xml:space="preserve">alignant lung tumours in </w:t>
            </w:r>
            <w:r w:rsidRPr="002C4DB4">
              <w:t>rats in relation to the dose</w:t>
            </w:r>
          </w:p>
          <w:p w14:paraId="354AA3F0" w14:textId="428B2514" w:rsidR="003F2019" w:rsidRPr="004F5504" w:rsidRDefault="002C4DB4" w:rsidP="004F5504">
            <w:pPr>
              <w:pStyle w:val="ListBullet"/>
              <w:spacing w:before="60" w:after="60"/>
              <w:ind w:left="1077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>Ni</w:t>
            </w:r>
            <w:r w:rsidR="009A4A6B">
              <w:rPr>
                <w:rFonts w:cs="Arial"/>
                <w:color w:val="1C1D1E"/>
                <w:shd w:val="clear" w:color="auto" w:fill="FFFFFF"/>
              </w:rPr>
              <w:t>O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and </w:t>
            </w:r>
            <w:r w:rsidR="009A4A6B">
              <w:rPr>
                <w:rStyle w:val="checkbox"/>
                <w:rFonts w:ascii="Arial" w:hAnsi="Arial" w:cs="Arial"/>
              </w:rPr>
              <w:t>Ni</w:t>
            </w:r>
            <w:r w:rsidR="009A4A6B" w:rsidRPr="00B02C5D">
              <w:rPr>
                <w:rStyle w:val="checkbox"/>
                <w:rFonts w:ascii="Arial" w:hAnsi="Arial" w:cs="Arial"/>
                <w:vertAlign w:val="subscript"/>
              </w:rPr>
              <w:t>3</w:t>
            </w:r>
            <w:r w:rsidR="009A4A6B">
              <w:rPr>
                <w:rStyle w:val="checkbox"/>
                <w:rFonts w:ascii="Arial" w:hAnsi="Arial" w:cs="Arial"/>
              </w:rPr>
              <w:t>S</w:t>
            </w:r>
            <w:r w:rsidR="009A4A6B" w:rsidRPr="00B02C5D">
              <w:rPr>
                <w:rStyle w:val="checkbox"/>
                <w:rFonts w:ascii="Arial" w:hAnsi="Arial" w:cs="Arial"/>
                <w:vertAlign w:val="subscript"/>
              </w:rPr>
              <w:t>2</w:t>
            </w:r>
            <w:r w:rsidR="009A4A6B" w:rsidDel="009A4A6B"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r>
              <w:rPr>
                <w:rFonts w:cs="Arial"/>
                <w:color w:val="1C1D1E"/>
                <w:shd w:val="clear" w:color="auto" w:fill="FFFFFF"/>
              </w:rPr>
              <w:t>(cited by DFG) found to be carcinogenic by inhalation in animal studies</w:t>
            </w:r>
            <w:r w:rsidR="003A161C">
              <w:rPr>
                <w:rFonts w:cs="Arial"/>
                <w:color w:val="1C1D1E"/>
                <w:shd w:val="clear" w:color="auto" w:fill="FFFFFF"/>
              </w:rPr>
              <w:t xml:space="preserve">. No </w:t>
            </w:r>
            <w:r>
              <w:rPr>
                <w:rFonts w:cs="Arial"/>
                <w:color w:val="1C1D1E"/>
                <w:shd w:val="clear" w:color="auto" w:fill="FFFFFF"/>
              </w:rPr>
              <w:t>further information</w:t>
            </w:r>
            <w:r w:rsidR="000A2F76">
              <w:rPr>
                <w:rFonts w:cs="Arial"/>
                <w:color w:val="1C1D1E"/>
                <w:shd w:val="clear" w:color="auto" w:fill="FFFFFF"/>
              </w:rPr>
              <w:t>.</w:t>
            </w:r>
          </w:p>
          <w:p w14:paraId="6DDF7D10" w14:textId="624968E9" w:rsidR="009A4A6B" w:rsidRPr="00DA352E" w:rsidRDefault="009A4A6B" w:rsidP="004F5504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5313C2AB" w14:textId="77777777" w:rsidTr="004B08D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CE25CED" w14:textId="04B11B3D" w:rsidR="00C978F0" w:rsidRPr="00DA352E" w:rsidRDefault="00DA352E" w:rsidP="00E936BA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ind w:left="2857" w:hanging="2857"/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18246A">
                  <w:t>2011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18246A" w:rsidRPr="0018246A">
                  <w:t>TWA</w:t>
                </w:r>
                <w:r w:rsidR="0018246A">
                  <w:t>: 0.005 mg/m</w:t>
                </w:r>
                <w:r w:rsidR="0018246A" w:rsidRPr="0018246A">
                  <w:rPr>
                    <w:vertAlign w:val="superscript"/>
                  </w:rPr>
                  <w:t>3</w:t>
                </w:r>
                <w:r w:rsidR="00FD24B7">
                  <w:rPr>
                    <w:vertAlign w:val="superscript"/>
                  </w:rPr>
                  <w:t xml:space="preserve"> </w:t>
                </w:r>
                <w:r w:rsidR="0018246A">
                  <w:t>(respirable fraction), 0.01 mg/m</w:t>
                </w:r>
                <w:r w:rsidR="0018246A" w:rsidRPr="00D05642">
                  <w:rPr>
                    <w:vertAlign w:val="superscript"/>
                  </w:rPr>
                  <w:t>3</w:t>
                </w:r>
                <w:r w:rsidR="0018246A">
                  <w:t xml:space="preserve"> (inhalable </w:t>
                </w:r>
                <w:r w:rsidR="000E2933">
                  <w:t>fraction</w:t>
                </w:r>
                <w:r w:rsidR="00227201">
                  <w:t xml:space="preserve"> of water soluble as well as poorly water soluble nickel compounds</w:t>
                </w:r>
                <w:r w:rsidR="000E2933">
                  <w:t>, excluding metallic nickel)</w:t>
                </w:r>
              </w:sdtContent>
            </w:sdt>
          </w:p>
        </w:tc>
      </w:tr>
      <w:tr w:rsidR="00C978F0" w:rsidRPr="00DA352E" w14:paraId="3DD62AEB" w14:textId="77777777" w:rsidTr="004B08D2">
        <w:trPr>
          <w:gridAfter w:val="1"/>
          <w:wAfter w:w="8" w:type="pct"/>
        </w:trPr>
        <w:tc>
          <w:tcPr>
            <w:tcW w:w="4992" w:type="pct"/>
          </w:tcPr>
          <w:p w14:paraId="59A2C0C3" w14:textId="12F1551F" w:rsidR="009C65B4" w:rsidRDefault="009C65B4" w:rsidP="009C65B4">
            <w:pPr>
              <w:pStyle w:val="Tabletextprimarysource"/>
            </w:pPr>
            <w:r>
              <w:t xml:space="preserve">TWA </w:t>
            </w:r>
            <w:r w:rsidR="007B72D1">
              <w:t>based on protection from inflammatory effects in the lung</w:t>
            </w:r>
            <w:r w:rsidR="009A4A6B">
              <w:t>.</w:t>
            </w:r>
            <w:r w:rsidR="007B72D1">
              <w:t xml:space="preserve"> </w:t>
            </w:r>
            <w:r w:rsidR="009A4A6B">
              <w:t>A</w:t>
            </w:r>
            <w:r w:rsidR="007B72D1">
              <w:t xml:space="preserve">vailable evidence indicates </w:t>
            </w:r>
            <w:r>
              <w:t>protect</w:t>
            </w:r>
            <w:r w:rsidR="007B72D1">
              <w:t>ion</w:t>
            </w:r>
            <w:r>
              <w:t xml:space="preserve"> for</w:t>
            </w:r>
            <w:r w:rsidRPr="0099208D">
              <w:t xml:space="preserve"> </w:t>
            </w:r>
            <w:r w:rsidR="009A4A6B">
              <w:t>Ni</w:t>
            </w:r>
            <w:r w:rsidRPr="0099208D">
              <w:t>-induced carcinogenicity</w:t>
            </w:r>
            <w:r>
              <w:t xml:space="preserve">; review of </w:t>
            </w:r>
            <w:r w:rsidR="009A4A6B">
              <w:t>Ni</w:t>
            </w:r>
            <w:r>
              <w:t xml:space="preserve"> and </w:t>
            </w:r>
            <w:r w:rsidR="00D05642">
              <w:t xml:space="preserve">inorganic </w:t>
            </w:r>
            <w:r w:rsidR="009A4A6B">
              <w:t>Ni</w:t>
            </w:r>
            <w:r>
              <w:t xml:space="preserve"> compounds</w:t>
            </w:r>
            <w:r w:rsidR="008B016B">
              <w:t>.</w:t>
            </w:r>
          </w:p>
          <w:p w14:paraId="0BCFD6B2" w14:textId="685E3C23" w:rsidR="00C978F0" w:rsidRDefault="009C65B4" w:rsidP="003365A5">
            <w:pPr>
              <w:pStyle w:val="Tabletextprimarysource"/>
            </w:pPr>
            <w:r>
              <w:t>Summary of additional</w:t>
            </w:r>
            <w:r w:rsidR="00D05642">
              <w:t xml:space="preserve"> data</w:t>
            </w:r>
            <w:r>
              <w:t>:</w:t>
            </w:r>
          </w:p>
          <w:p w14:paraId="502F719E" w14:textId="1ED0DB4B" w:rsidR="009C65B4" w:rsidRDefault="00D05642" w:rsidP="00D05642">
            <w:pPr>
              <w:pStyle w:val="ListBullet"/>
              <w:ind w:left="1080"/>
            </w:pPr>
            <w:r>
              <w:t>Review based primarily on documentations from IARC (1990), ICPS (1991) and the DFG (2006)</w:t>
            </w:r>
          </w:p>
          <w:p w14:paraId="26BE7242" w14:textId="2FA8F5DE" w:rsidR="00D05642" w:rsidRDefault="008608BC" w:rsidP="008608BC">
            <w:pPr>
              <w:pStyle w:val="ListBullet"/>
              <w:ind w:left="1080"/>
            </w:pPr>
            <w:r>
              <w:t xml:space="preserve">Exposure to </w:t>
            </w:r>
            <w:r w:rsidR="009A4A6B">
              <w:t>Ni</w:t>
            </w:r>
            <w:r>
              <w:t xml:space="preserve"> compounds associated with an increased cancer risk in the lung and nasal cavity, as well as with inflammatory responses/fibrosis in the lung</w:t>
            </w:r>
          </w:p>
          <w:p w14:paraId="6A646C30" w14:textId="617AFD0C" w:rsidR="008608BC" w:rsidRDefault="00A47A1C" w:rsidP="008608BC">
            <w:pPr>
              <w:pStyle w:val="ListBullet"/>
              <w:ind w:left="1080"/>
            </w:pPr>
            <w:r>
              <w:t xml:space="preserve">Mechanistic data indicate an indirect genotoxic mode of action; </w:t>
            </w:r>
            <w:r w:rsidR="003A161C">
              <w:t xml:space="preserve">hence, a </w:t>
            </w:r>
            <w:r>
              <w:t>carcinogen with a practical threshold</w:t>
            </w:r>
          </w:p>
          <w:p w14:paraId="2C937F33" w14:textId="40A02C5D" w:rsidR="000D7D5D" w:rsidRDefault="000D7D5D" w:rsidP="000D7D5D">
            <w:pPr>
              <w:pStyle w:val="ListBullet"/>
              <w:ind w:left="1080"/>
            </w:pPr>
            <w:r>
              <w:t xml:space="preserve">Explanation </w:t>
            </w:r>
            <w:r w:rsidR="00231843">
              <w:t>for the</w:t>
            </w:r>
            <w:r>
              <w:t xml:space="preserve"> derivation of </w:t>
            </w:r>
            <w:r w:rsidR="00231843">
              <w:t xml:space="preserve">respirable fraction </w:t>
            </w:r>
            <w:r>
              <w:t>OEL</w:t>
            </w:r>
            <w:r w:rsidR="00231843">
              <w:t xml:space="preserve"> (TWA 0.005 mg/m</w:t>
            </w:r>
            <w:r w:rsidR="00231843">
              <w:rPr>
                <w:vertAlign w:val="superscript"/>
              </w:rPr>
              <w:t>3</w:t>
            </w:r>
            <w:r w:rsidR="00231843">
              <w:t>)</w:t>
            </w:r>
            <w:r>
              <w:t xml:space="preserve">: </w:t>
            </w:r>
          </w:p>
          <w:p w14:paraId="68373EAD" w14:textId="7FED1418" w:rsidR="000D7D5D" w:rsidRDefault="000D7D5D" w:rsidP="001611DC">
            <w:pPr>
              <w:pStyle w:val="Tabletextprimarysource"/>
              <w:numPr>
                <w:ilvl w:val="0"/>
                <w:numId w:val="11"/>
              </w:numPr>
            </w:pPr>
            <w:r>
              <w:t>NOAEL 0.03 mg/m</w:t>
            </w:r>
            <w:r>
              <w:rPr>
                <w:vertAlign w:val="superscript"/>
              </w:rPr>
              <w:t>3</w:t>
            </w:r>
            <w:r>
              <w:t xml:space="preserve"> (Ni) (water-soluble </w:t>
            </w:r>
            <w:r w:rsidR="009A4A6B">
              <w:t>NiSO</w:t>
            </w:r>
            <w:r w:rsidR="009A4A6B" w:rsidRPr="004F5504">
              <w:rPr>
                <w:vertAlign w:val="subscript"/>
              </w:rPr>
              <w:t>4</w:t>
            </w:r>
            <w:r>
              <w:t xml:space="preserve">) no consistent inflammatory effects in </w:t>
            </w:r>
            <w:r w:rsidR="00231843">
              <w:t>rats</w:t>
            </w:r>
          </w:p>
          <w:p w14:paraId="15157839" w14:textId="106F2DF1" w:rsidR="000D7D5D" w:rsidRDefault="000D7D5D" w:rsidP="001611DC">
            <w:pPr>
              <w:pStyle w:val="Tabletextprimarysource"/>
              <w:numPr>
                <w:ilvl w:val="0"/>
                <w:numId w:val="11"/>
              </w:numPr>
            </w:pPr>
            <w:r>
              <w:t>corresponds</w:t>
            </w:r>
            <w:r w:rsidRPr="000D7D5D">
              <w:t xml:space="preserve"> to an </w:t>
            </w:r>
            <w:r>
              <w:t xml:space="preserve">equivalent human concentration </w:t>
            </w:r>
            <w:r w:rsidRPr="000D7D5D">
              <w:t>of 0.016 mg/m</w:t>
            </w:r>
            <w:r w:rsidRPr="000D7D5D">
              <w:rPr>
                <w:vertAlign w:val="superscript"/>
              </w:rPr>
              <w:t>3</w:t>
            </w:r>
            <w:r w:rsidR="00231843">
              <w:t>; no further information</w:t>
            </w:r>
          </w:p>
          <w:p w14:paraId="51DCAB15" w14:textId="325664AC" w:rsidR="000D7D5D" w:rsidRDefault="000D7D5D" w:rsidP="001611DC">
            <w:pPr>
              <w:pStyle w:val="Tabletextprimarysource"/>
              <w:numPr>
                <w:ilvl w:val="0"/>
                <w:numId w:val="11"/>
              </w:numPr>
            </w:pPr>
            <w:r>
              <w:t>only considers deposited dose and not long-term chronic retained dose</w:t>
            </w:r>
          </w:p>
          <w:p w14:paraId="1F9C4487" w14:textId="4CB5AFC9" w:rsidR="000D7D5D" w:rsidRDefault="000D7D5D" w:rsidP="001611DC">
            <w:pPr>
              <w:pStyle w:val="Tabletextprimarysource"/>
              <w:numPr>
                <w:ilvl w:val="0"/>
                <w:numId w:val="11"/>
              </w:numPr>
            </w:pPr>
            <w:r>
              <w:t xml:space="preserve">particle size of </w:t>
            </w:r>
            <w:r w:rsidR="009A4A6B">
              <w:t>NiSO</w:t>
            </w:r>
            <w:r w:rsidR="009A4A6B" w:rsidRPr="004F5504">
              <w:rPr>
                <w:vertAlign w:val="subscript"/>
              </w:rPr>
              <w:t>4</w:t>
            </w:r>
            <w:r>
              <w:t xml:space="preserve"> of 2.5 µm </w:t>
            </w:r>
            <w:r w:rsidR="009A4A6B">
              <w:t>MMAD</w:t>
            </w:r>
            <w:r>
              <w:t>; proposed value corresponds to the respirable fraction</w:t>
            </w:r>
          </w:p>
          <w:p w14:paraId="160606C0" w14:textId="5F4637B8" w:rsidR="000D7D5D" w:rsidRDefault="003A161C" w:rsidP="001611DC">
            <w:pPr>
              <w:pStyle w:val="Tabletextprimarysource"/>
              <w:numPr>
                <w:ilvl w:val="0"/>
                <w:numId w:val="11"/>
              </w:numPr>
            </w:pPr>
            <w:r>
              <w:t>derives a</w:t>
            </w:r>
            <w:r w:rsidR="000D7D5D">
              <w:t xml:space="preserve"> </w:t>
            </w:r>
            <w:r w:rsidR="00231843">
              <w:t>TWA</w:t>
            </w:r>
            <w:r w:rsidR="000D7D5D">
              <w:t xml:space="preserve"> of 0.005 mg/</w:t>
            </w:r>
            <w:r w:rsidR="000D7D5D" w:rsidRPr="000D7D5D">
              <w:t>m</w:t>
            </w:r>
            <w:r w:rsidR="000D7D5D" w:rsidRPr="000D7D5D">
              <w:rPr>
                <w:vertAlign w:val="superscript"/>
              </w:rPr>
              <w:t>3</w:t>
            </w:r>
            <w:r w:rsidR="000D7D5D">
              <w:t>; no further details</w:t>
            </w:r>
          </w:p>
          <w:p w14:paraId="1A90D084" w14:textId="69DD4344" w:rsidR="00231843" w:rsidRDefault="00231843" w:rsidP="001611DC">
            <w:pPr>
              <w:pStyle w:val="ListBullet"/>
              <w:ind w:left="1080"/>
            </w:pPr>
            <w:r>
              <w:t>Supporting evidence for respirable fraction OEL:</w:t>
            </w:r>
          </w:p>
          <w:p w14:paraId="00B8334D" w14:textId="29BF5209" w:rsidR="00231843" w:rsidRDefault="00D720C6" w:rsidP="00231843">
            <w:pPr>
              <w:pStyle w:val="Tabletextprimarysource"/>
              <w:numPr>
                <w:ilvl w:val="0"/>
                <w:numId w:val="10"/>
              </w:numPr>
            </w:pPr>
            <w:r>
              <w:t>p</w:t>
            </w:r>
            <w:r w:rsidR="00231843">
              <w:t>ronounced inflammatory reactions including fibrosis seen at 0.11 mg/m</w:t>
            </w:r>
            <w:r w:rsidR="00231843" w:rsidRPr="00712AF3">
              <w:rPr>
                <w:vertAlign w:val="superscript"/>
              </w:rPr>
              <w:t>3</w:t>
            </w:r>
            <w:r w:rsidR="00231843">
              <w:t xml:space="preserve"> (Ni) for</w:t>
            </w:r>
            <w:r w:rsidR="009A4A6B">
              <w:rPr>
                <w:rFonts w:cs="Arial"/>
              </w:rPr>
              <w:t xml:space="preserve"> </w:t>
            </w:r>
            <w:r w:rsidR="009A4A6B">
              <w:rPr>
                <w:rStyle w:val="checkbox"/>
                <w:rFonts w:ascii="Arial" w:hAnsi="Arial" w:cs="Arial"/>
              </w:rPr>
              <w:t>Ni</w:t>
            </w:r>
            <w:r w:rsidR="009A4A6B" w:rsidRPr="00B02C5D">
              <w:rPr>
                <w:rStyle w:val="checkbox"/>
                <w:rFonts w:ascii="Arial" w:hAnsi="Arial" w:cs="Arial"/>
                <w:vertAlign w:val="subscript"/>
              </w:rPr>
              <w:t>3</w:t>
            </w:r>
            <w:r w:rsidR="009A4A6B">
              <w:rPr>
                <w:rStyle w:val="checkbox"/>
                <w:rFonts w:ascii="Arial" w:hAnsi="Arial" w:cs="Arial"/>
              </w:rPr>
              <w:t>S</w:t>
            </w:r>
            <w:r w:rsidR="009A4A6B" w:rsidRPr="00B02C5D">
              <w:rPr>
                <w:rStyle w:val="checkbox"/>
                <w:rFonts w:ascii="Arial" w:hAnsi="Arial" w:cs="Arial"/>
                <w:vertAlign w:val="subscript"/>
              </w:rPr>
              <w:t>2</w:t>
            </w:r>
            <w:r w:rsidR="00231843">
              <w:t xml:space="preserve"> and 0.5 mg/m</w:t>
            </w:r>
            <w:r w:rsidR="00231843" w:rsidRPr="00712AF3">
              <w:rPr>
                <w:vertAlign w:val="superscript"/>
              </w:rPr>
              <w:t>3</w:t>
            </w:r>
            <w:r w:rsidR="00231843">
              <w:t xml:space="preserve"> (Ni) for </w:t>
            </w:r>
            <w:r w:rsidR="009A4A6B">
              <w:t>NiO</w:t>
            </w:r>
            <w:r w:rsidR="00231843">
              <w:t>; details as follows:</w:t>
            </w:r>
          </w:p>
          <w:p w14:paraId="3594C68C" w14:textId="0C7F6948" w:rsidR="00231843" w:rsidRDefault="00487367" w:rsidP="00231843">
            <w:pPr>
              <w:pStyle w:val="Tabletextprimarysource"/>
              <w:numPr>
                <w:ilvl w:val="0"/>
                <w:numId w:val="10"/>
              </w:numPr>
            </w:pPr>
            <w:r>
              <w:t>r</w:t>
            </w:r>
            <w:r w:rsidR="00231843">
              <w:t xml:space="preserve">ats exposed to </w:t>
            </w:r>
            <w:r w:rsidR="009A4A6B">
              <w:t>NiO</w:t>
            </w:r>
            <w:r w:rsidR="00231843">
              <w:t xml:space="preserve"> for 2 yr at 0, 0.62, 1.25 or 2.5 mg/m</w:t>
            </w:r>
            <w:r w:rsidR="00231843" w:rsidRPr="00DA24DD">
              <w:rPr>
                <w:vertAlign w:val="superscript"/>
              </w:rPr>
              <w:t>3</w:t>
            </w:r>
            <w:r w:rsidR="00231843">
              <w:t xml:space="preserve"> (0, 0.5, 1.0, 2.0 mg/m</w:t>
            </w:r>
            <w:r w:rsidR="00231843" w:rsidRPr="00DA24DD">
              <w:rPr>
                <w:vertAlign w:val="superscript"/>
              </w:rPr>
              <w:t>3</w:t>
            </w:r>
            <w:r w:rsidR="00231843">
              <w:t>); chronic inflammation and alveolar pigmentation was observed at high incidence in all animals at all concentrations</w:t>
            </w:r>
          </w:p>
          <w:p w14:paraId="2791BDD5" w14:textId="394A8C45" w:rsidR="00231843" w:rsidRDefault="00487367" w:rsidP="00231843">
            <w:pPr>
              <w:pStyle w:val="Tabletextprimarysource"/>
              <w:numPr>
                <w:ilvl w:val="0"/>
                <w:numId w:val="10"/>
              </w:numPr>
            </w:pPr>
            <w:r>
              <w:t>r</w:t>
            </w:r>
            <w:r w:rsidR="00231843">
              <w:t xml:space="preserve">ats exposed 6 h/d, 5 d/wk for 2 yr to </w:t>
            </w:r>
            <w:r w:rsidR="009A4A6B">
              <w:rPr>
                <w:rStyle w:val="checkbox"/>
                <w:rFonts w:ascii="Arial" w:hAnsi="Arial" w:cs="Arial"/>
              </w:rPr>
              <w:t>Ni</w:t>
            </w:r>
            <w:r w:rsidR="009A4A6B" w:rsidRPr="00B02C5D">
              <w:rPr>
                <w:rStyle w:val="checkbox"/>
                <w:rFonts w:ascii="Arial" w:hAnsi="Arial" w:cs="Arial"/>
                <w:vertAlign w:val="subscript"/>
              </w:rPr>
              <w:t>3</w:t>
            </w:r>
            <w:r w:rsidR="009A4A6B">
              <w:rPr>
                <w:rStyle w:val="checkbox"/>
                <w:rFonts w:ascii="Arial" w:hAnsi="Arial" w:cs="Arial"/>
              </w:rPr>
              <w:t>S</w:t>
            </w:r>
            <w:r w:rsidR="009A4A6B" w:rsidRPr="00B02C5D">
              <w:rPr>
                <w:rStyle w:val="checkbox"/>
                <w:rFonts w:ascii="Arial" w:hAnsi="Arial" w:cs="Arial"/>
                <w:vertAlign w:val="subscript"/>
              </w:rPr>
              <w:t>2</w:t>
            </w:r>
            <w:r w:rsidR="009A4A6B">
              <w:t xml:space="preserve"> </w:t>
            </w:r>
            <w:r w:rsidR="00231843">
              <w:t>at 0, 0.15 or 1 mg/m</w:t>
            </w:r>
            <w:r w:rsidR="00231843" w:rsidRPr="00EB7F3E">
              <w:rPr>
                <w:vertAlign w:val="superscript"/>
              </w:rPr>
              <w:t>3</w:t>
            </w:r>
            <w:r w:rsidR="00231843">
              <w:t xml:space="preserve"> (0, 0.11 or 0.</w:t>
            </w:r>
            <w:r w:rsidR="009A4A6B">
              <w:t>73 </w:t>
            </w:r>
            <w:r w:rsidR="00231843">
              <w:t>mg/m</w:t>
            </w:r>
            <w:r w:rsidR="00231843" w:rsidRPr="00EB7F3E">
              <w:rPr>
                <w:vertAlign w:val="superscript"/>
              </w:rPr>
              <w:t>3</w:t>
            </w:r>
            <w:r w:rsidR="00231843">
              <w:t xml:space="preserve"> (Ni)) (cited by ACGIH, 2018), fibrosis, inflammation and alveolar hyperplasia in the lungs were observed with a high incidence in practically all animals</w:t>
            </w:r>
          </w:p>
          <w:p w14:paraId="2449C0F3" w14:textId="3F08B2CB" w:rsidR="00AB7C60" w:rsidRDefault="00487367" w:rsidP="00231843">
            <w:pPr>
              <w:pStyle w:val="Tabletextprimarysource"/>
              <w:numPr>
                <w:ilvl w:val="0"/>
                <w:numId w:val="10"/>
              </w:numPr>
            </w:pPr>
            <w:r>
              <w:t>l</w:t>
            </w:r>
            <w:r w:rsidR="00AB7C60">
              <w:t xml:space="preserve">onger retention half-times in humans as compared to rats for </w:t>
            </w:r>
            <w:r w:rsidR="009A4A6B">
              <w:rPr>
                <w:rStyle w:val="checkbox"/>
                <w:rFonts w:ascii="Arial" w:hAnsi="Arial" w:cs="Arial"/>
              </w:rPr>
              <w:t>Ni</w:t>
            </w:r>
            <w:r w:rsidR="009A4A6B" w:rsidRPr="00B02C5D">
              <w:rPr>
                <w:rStyle w:val="checkbox"/>
                <w:rFonts w:ascii="Arial" w:hAnsi="Arial" w:cs="Arial"/>
                <w:vertAlign w:val="subscript"/>
              </w:rPr>
              <w:t>3</w:t>
            </w:r>
            <w:r w:rsidR="009A4A6B">
              <w:rPr>
                <w:rStyle w:val="checkbox"/>
                <w:rFonts w:ascii="Arial" w:hAnsi="Arial" w:cs="Arial"/>
              </w:rPr>
              <w:t>S</w:t>
            </w:r>
            <w:r w:rsidR="009A4A6B" w:rsidRPr="00B02C5D">
              <w:rPr>
                <w:rStyle w:val="checkbox"/>
                <w:rFonts w:ascii="Arial" w:hAnsi="Arial" w:cs="Arial"/>
                <w:vertAlign w:val="subscript"/>
              </w:rPr>
              <w:t>2</w:t>
            </w:r>
            <w:r w:rsidR="009A4A6B">
              <w:t xml:space="preserve"> </w:t>
            </w:r>
            <w:r w:rsidR="00AB7C60">
              <w:t xml:space="preserve">and </w:t>
            </w:r>
            <w:r w:rsidR="009A4A6B">
              <w:t>NiO</w:t>
            </w:r>
            <w:r w:rsidR="00AB7C60">
              <w:t>; both poorly water</w:t>
            </w:r>
            <w:r w:rsidR="00A619D8">
              <w:t>-</w:t>
            </w:r>
            <w:r w:rsidR="00AB7C60">
              <w:t>soluble nickel compounds</w:t>
            </w:r>
          </w:p>
          <w:p w14:paraId="381FFA68" w14:textId="09A6CE9C" w:rsidR="00A47A1C" w:rsidRPr="00DA352E" w:rsidRDefault="0086305F">
            <w:pPr>
              <w:pStyle w:val="Tabletextprimarysource"/>
              <w:numPr>
                <w:ilvl w:val="0"/>
                <w:numId w:val="10"/>
              </w:numPr>
            </w:pPr>
            <w:r>
              <w:lastRenderedPageBreak/>
              <w:t xml:space="preserve">Estimated </w:t>
            </w:r>
            <w:r w:rsidR="000D7D5D">
              <w:t xml:space="preserve">2-3-fold higher deposition of </w:t>
            </w:r>
            <w:r w:rsidR="009A4A6B">
              <w:t>Ni</w:t>
            </w:r>
            <w:r>
              <w:t xml:space="preserve"> in the lungs</w:t>
            </w:r>
            <w:r w:rsidR="000D7D5D">
              <w:t xml:space="preserve"> after exposure to </w:t>
            </w:r>
            <w:r w:rsidR="009A4A6B">
              <w:t>NiO</w:t>
            </w:r>
            <w:r w:rsidR="000D7D5D">
              <w:t xml:space="preserve"> in humans as compared in rats</w:t>
            </w:r>
            <w:r w:rsidR="00D720C6">
              <w:t>.</w:t>
            </w:r>
          </w:p>
        </w:tc>
      </w:tr>
      <w:tr w:rsidR="00DA352E" w:rsidRPr="00DA352E" w14:paraId="1CCA20D8" w14:textId="77777777" w:rsidTr="004B08D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C39499E" w14:textId="7D19FD55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AA51B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AA51BB">
                  <w:t>NA</w:t>
                </w:r>
              </w:sdtContent>
            </w:sdt>
          </w:p>
        </w:tc>
      </w:tr>
      <w:tr w:rsidR="00DA352E" w:rsidRPr="00DA352E" w14:paraId="63A7F1B3" w14:textId="77777777" w:rsidTr="004B08D2">
        <w:trPr>
          <w:gridAfter w:val="1"/>
          <w:wAfter w:w="8" w:type="pct"/>
        </w:trPr>
        <w:tc>
          <w:tcPr>
            <w:tcW w:w="4992" w:type="pct"/>
          </w:tcPr>
          <w:p w14:paraId="115ACE45" w14:textId="3658E84E" w:rsidR="00DA352E" w:rsidRPr="00DA352E" w:rsidRDefault="00AA51BB" w:rsidP="003365A5">
            <w:pPr>
              <w:pStyle w:val="Tabletextprimarysource"/>
            </w:pPr>
            <w:r>
              <w:t>No report</w:t>
            </w:r>
            <w:r w:rsidR="00D720C6">
              <w:t>.</w:t>
            </w:r>
          </w:p>
        </w:tc>
      </w:tr>
      <w:tr w:rsidR="00DA352E" w:rsidRPr="00DA352E" w14:paraId="691C31F8" w14:textId="77777777" w:rsidTr="004B08D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CF0488E" w14:textId="123481F8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3A6115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3A6115">
                  <w:t>Not assigned</w:t>
                </w:r>
              </w:sdtContent>
            </w:sdt>
          </w:p>
        </w:tc>
      </w:tr>
      <w:tr w:rsidR="00DA352E" w:rsidRPr="00DA352E" w14:paraId="547B34AD" w14:textId="77777777" w:rsidTr="004B08D2">
        <w:trPr>
          <w:gridAfter w:val="1"/>
          <w:wAfter w:w="8" w:type="pct"/>
        </w:trPr>
        <w:tc>
          <w:tcPr>
            <w:tcW w:w="4992" w:type="pct"/>
          </w:tcPr>
          <w:p w14:paraId="79B5F4BF" w14:textId="0F23AEC7" w:rsidR="00DA352E" w:rsidRPr="00DA352E" w:rsidRDefault="001D39D5" w:rsidP="003365A5">
            <w:pPr>
              <w:pStyle w:val="Tabletextprimarysource"/>
            </w:pPr>
            <w:r>
              <w:t>Review of develop</w:t>
            </w:r>
            <w:r w:rsidR="00FD24B7">
              <w:t>mental and reproductive effects; no additional data</w:t>
            </w:r>
            <w:r w:rsidR="00D720C6">
              <w:t>.</w:t>
            </w:r>
          </w:p>
        </w:tc>
      </w:tr>
    </w:tbl>
    <w:p w14:paraId="15A0C344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013"/>
        <w:gridCol w:w="397"/>
        <w:gridCol w:w="661"/>
        <w:gridCol w:w="6955"/>
      </w:tblGrid>
      <w:tr w:rsidR="005664E2" w:rsidRPr="004B08D2" w14:paraId="57190A42" w14:textId="77777777" w:rsidTr="004B08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013" w:type="dxa"/>
            <w:shd w:val="clear" w:color="auto" w:fill="BFBFBF" w:themeFill="background1" w:themeFillShade="BF"/>
            <w:vAlign w:val="center"/>
          </w:tcPr>
          <w:p w14:paraId="536FC931" w14:textId="77777777" w:rsidR="004966BF" w:rsidRPr="004B08D2" w:rsidRDefault="004966BF" w:rsidP="00263255">
            <w:pPr>
              <w:pStyle w:val="Tableheader"/>
              <w:rPr>
                <w:b/>
              </w:rPr>
            </w:pPr>
            <w:r w:rsidRPr="004B08D2">
              <w:rPr>
                <w:b/>
              </w:rPr>
              <w:t>Source</w:t>
            </w:r>
          </w:p>
        </w:tc>
        <w:tc>
          <w:tcPr>
            <w:tcW w:w="397" w:type="dxa"/>
            <w:shd w:val="clear" w:color="auto" w:fill="BFBFBF" w:themeFill="background1" w:themeFillShade="BF"/>
            <w:vAlign w:val="center"/>
          </w:tcPr>
          <w:p w14:paraId="02862D34" w14:textId="77777777" w:rsidR="004966BF" w:rsidRPr="004B08D2" w:rsidRDefault="004966BF" w:rsidP="00263255">
            <w:pPr>
              <w:pStyle w:val="Tableheader"/>
              <w:rPr>
                <w:b/>
              </w:rPr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7080D38B" w14:textId="77777777" w:rsidR="004966BF" w:rsidRPr="004B08D2" w:rsidRDefault="004966BF" w:rsidP="00263255">
            <w:pPr>
              <w:pStyle w:val="Tableheader"/>
              <w:rPr>
                <w:b/>
              </w:rPr>
            </w:pPr>
            <w:r w:rsidRPr="004B08D2">
              <w:rPr>
                <w:b/>
              </w:rPr>
              <w:t>Year</w:t>
            </w:r>
          </w:p>
        </w:tc>
        <w:tc>
          <w:tcPr>
            <w:tcW w:w="6955" w:type="dxa"/>
            <w:shd w:val="clear" w:color="auto" w:fill="BFBFBF" w:themeFill="background1" w:themeFillShade="BF"/>
            <w:vAlign w:val="center"/>
          </w:tcPr>
          <w:p w14:paraId="1940696C" w14:textId="77777777" w:rsidR="004966BF" w:rsidRPr="004B08D2" w:rsidRDefault="004966BF" w:rsidP="00263255">
            <w:pPr>
              <w:pStyle w:val="Tableheader"/>
              <w:rPr>
                <w:b/>
              </w:rPr>
            </w:pPr>
            <w:r w:rsidRPr="004B08D2">
              <w:rPr>
                <w:b/>
              </w:rPr>
              <w:t>Additional information</w:t>
            </w:r>
          </w:p>
        </w:tc>
      </w:tr>
      <w:tr w:rsidR="005664E2" w:rsidRPr="004C23F4" w14:paraId="16F73B6F" w14:textId="77777777" w:rsidTr="004B08D2">
        <w:trPr>
          <w:cantSplit/>
        </w:trPr>
        <w:tc>
          <w:tcPr>
            <w:tcW w:w="1013" w:type="dxa"/>
          </w:tcPr>
          <w:p w14:paraId="692A3E36" w14:textId="77777777" w:rsidR="004966BF" w:rsidRPr="004C23F4" w:rsidRDefault="004966BF" w:rsidP="00224EE2">
            <w:pPr>
              <w:pStyle w:val="Tablefont"/>
            </w:pPr>
            <w:r>
              <w:t>AIOH</w:t>
            </w:r>
          </w:p>
        </w:tc>
        <w:tc>
          <w:tcPr>
            <w:tcW w:w="397" w:type="dxa"/>
          </w:tcPr>
          <w:p w14:paraId="14A19BE0" w14:textId="5930AFC7" w:rsidR="004966BF" w:rsidRPr="00CE617F" w:rsidRDefault="00C40034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8368101"/>
                <w:placeholder>
                  <w:docPart w:val="29D96B65566944F4988BAEB665EF7897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707D2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6E59654" w14:textId="118E3DF9" w:rsidR="004966BF" w:rsidRPr="004C23F4" w:rsidRDefault="005707D2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2016</w:t>
            </w:r>
          </w:p>
        </w:tc>
        <w:tc>
          <w:tcPr>
            <w:tcW w:w="6955" w:type="dxa"/>
          </w:tcPr>
          <w:p w14:paraId="686D8E63" w14:textId="30426BBD" w:rsidR="005707D2" w:rsidRPr="00D011F9" w:rsidRDefault="005707D2" w:rsidP="005707D2">
            <w:pPr>
              <w:pStyle w:val="ListBullet"/>
              <w:ind w:left="1080"/>
              <w:rPr>
                <w:rStyle w:val="checkbox"/>
                <w:rFonts w:ascii="Arial" w:hAnsi="Arial" w:cs="Arial"/>
              </w:rPr>
            </w:pPr>
            <w:r w:rsidRPr="00D011F9">
              <w:rPr>
                <w:rStyle w:val="checkbox"/>
                <w:rFonts w:ascii="Arial" w:hAnsi="Arial" w:cs="Arial"/>
              </w:rPr>
              <w:t xml:space="preserve">Recommends a TWA for </w:t>
            </w:r>
            <w:r w:rsidR="009A4A6B">
              <w:rPr>
                <w:rStyle w:val="checkbox"/>
                <w:rFonts w:ascii="Arial" w:hAnsi="Arial" w:cs="Arial"/>
              </w:rPr>
              <w:t>Ni</w:t>
            </w:r>
            <w:r w:rsidRPr="00D011F9">
              <w:rPr>
                <w:rStyle w:val="checkbox"/>
                <w:rFonts w:ascii="Arial" w:hAnsi="Arial" w:cs="Arial"/>
              </w:rPr>
              <w:t xml:space="preserve"> (including both readily soluble and sparingly soluble (insoluble) compounds) </w:t>
            </w:r>
            <w:r w:rsidR="009A4A6B">
              <w:rPr>
                <w:rStyle w:val="checkbox"/>
                <w:rFonts w:ascii="Arial" w:hAnsi="Arial" w:cs="Arial"/>
              </w:rPr>
              <w:t>of</w:t>
            </w:r>
            <w:r w:rsidRPr="00D011F9">
              <w:rPr>
                <w:rStyle w:val="checkbox"/>
                <w:rFonts w:ascii="Arial" w:hAnsi="Arial" w:cs="Arial"/>
              </w:rPr>
              <w:t xml:space="preserve"> 0.1 mg/m</w:t>
            </w:r>
            <w:r w:rsidRPr="00D011F9">
              <w:rPr>
                <w:rStyle w:val="checkbox"/>
                <w:rFonts w:ascii="Arial" w:hAnsi="Arial" w:cs="Arial"/>
                <w:vertAlign w:val="superscript"/>
              </w:rPr>
              <w:t xml:space="preserve">3 </w:t>
            </w:r>
            <w:r w:rsidRPr="00D011F9">
              <w:rPr>
                <w:rStyle w:val="checkbox"/>
                <w:rFonts w:ascii="Arial" w:hAnsi="Arial" w:cs="Arial"/>
              </w:rPr>
              <w:t>(inhalable aerosol fraction)</w:t>
            </w:r>
          </w:p>
          <w:p w14:paraId="75D9E479" w14:textId="77777777" w:rsidR="004966BF" w:rsidRDefault="005707D2" w:rsidP="005707D2">
            <w:pPr>
              <w:pStyle w:val="ListBullet"/>
              <w:ind w:left="1080"/>
              <w:rPr>
                <w:rStyle w:val="checkbox"/>
                <w:rFonts w:ascii="Arial" w:hAnsi="Arial" w:cs="Arial"/>
              </w:rPr>
            </w:pPr>
            <w:r w:rsidRPr="005707D2">
              <w:rPr>
                <w:rStyle w:val="checkbox"/>
                <w:rFonts w:ascii="Arial" w:hAnsi="Arial" w:cs="Arial"/>
              </w:rPr>
              <w:t>Regards respiratory cancer (lung and nasal) as the main health effect to derive an OEL recommendation</w:t>
            </w:r>
          </w:p>
          <w:p w14:paraId="3223A48C" w14:textId="32611540" w:rsidR="005707D2" w:rsidRPr="005664E2" w:rsidRDefault="005707D2" w:rsidP="003F464D">
            <w:pPr>
              <w:pStyle w:val="ListBullet"/>
              <w:ind w:left="1080"/>
              <w:rPr>
                <w:rFonts w:cs="Arial"/>
              </w:rPr>
            </w:pPr>
            <w:r>
              <w:rPr>
                <w:rStyle w:val="checkbox"/>
                <w:rFonts w:ascii="Arial" w:hAnsi="Arial" w:cs="Arial"/>
              </w:rPr>
              <w:t>Notes differences</w:t>
            </w:r>
            <w:r w:rsidRPr="005707D2">
              <w:rPr>
                <w:rStyle w:val="checkbox"/>
                <w:rFonts w:ascii="Arial" w:hAnsi="Arial" w:cs="Arial"/>
              </w:rPr>
              <w:t xml:space="preserve"> in the literature and between organisations on </w:t>
            </w:r>
            <w:r w:rsidR="003F464D">
              <w:t>critical effects to derive exposure limits</w:t>
            </w:r>
          </w:p>
          <w:p w14:paraId="770D2700" w14:textId="506150C8" w:rsidR="00DD0D91" w:rsidRPr="005664E2" w:rsidRDefault="005664E2" w:rsidP="005664E2">
            <w:pPr>
              <w:pStyle w:val="ListBullet"/>
              <w:ind w:left="1080"/>
              <w:rPr>
                <w:rFonts w:cs="Arial"/>
              </w:rPr>
            </w:pPr>
            <w:r>
              <w:t xml:space="preserve">Carcinogenic risk is greater when there is exposure to mixed species of </w:t>
            </w:r>
            <w:r w:rsidR="009A4A6B">
              <w:t>Ni</w:t>
            </w:r>
          </w:p>
          <w:p w14:paraId="760EAFE2" w14:textId="7AB28FC4" w:rsidR="00F50B4D" w:rsidRDefault="00CD6339" w:rsidP="00F50B4D">
            <w:pPr>
              <w:pStyle w:val="ListBullet"/>
              <w:ind w:left="108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Clear evidence of </w:t>
            </w:r>
            <w:r>
              <w:t>nasal and lung cancer</w:t>
            </w:r>
            <w:r>
              <w:rPr>
                <w:rStyle w:val="checkbox"/>
                <w:rFonts w:ascii="Arial" w:hAnsi="Arial" w:cs="Arial"/>
              </w:rPr>
              <w:t xml:space="preserve"> in a s</w:t>
            </w:r>
            <w:r w:rsidR="00F50B4D">
              <w:rPr>
                <w:rStyle w:val="checkbox"/>
                <w:rFonts w:ascii="Arial" w:hAnsi="Arial" w:cs="Arial"/>
              </w:rPr>
              <w:t xml:space="preserve">tudy of </w:t>
            </w:r>
            <w:r w:rsidR="00F50B4D" w:rsidRPr="00F50B4D">
              <w:rPr>
                <w:rStyle w:val="checkbox"/>
                <w:rFonts w:ascii="Arial" w:hAnsi="Arial" w:cs="Arial"/>
              </w:rPr>
              <w:t>2</w:t>
            </w:r>
            <w:r w:rsidR="00311FC7">
              <w:rPr>
                <w:rStyle w:val="checkbox"/>
                <w:rFonts w:ascii="Arial" w:hAnsi="Arial" w:cs="Arial"/>
              </w:rPr>
              <w:t>,</w:t>
            </w:r>
            <w:r w:rsidR="00F50B4D" w:rsidRPr="00F50B4D">
              <w:rPr>
                <w:rStyle w:val="checkbox"/>
                <w:rFonts w:ascii="Arial" w:hAnsi="Arial" w:cs="Arial"/>
              </w:rPr>
              <w:t xml:space="preserve">521 </w:t>
            </w:r>
            <w:r w:rsidR="00F50B4D">
              <w:rPr>
                <w:rStyle w:val="checkbox"/>
                <w:rFonts w:ascii="Arial" w:hAnsi="Arial" w:cs="Arial"/>
              </w:rPr>
              <w:t xml:space="preserve">refinery workers with </w:t>
            </w:r>
            <w:r w:rsidR="00F50B4D" w:rsidRPr="00F50B4D">
              <w:rPr>
                <w:rStyle w:val="checkbox"/>
                <w:rFonts w:ascii="Arial" w:hAnsi="Arial" w:cs="Arial"/>
              </w:rPr>
              <w:t>more than 5 y</w:t>
            </w:r>
            <w:r w:rsidR="00F50B4D">
              <w:rPr>
                <w:rStyle w:val="checkbox"/>
                <w:rFonts w:ascii="Arial" w:hAnsi="Arial" w:cs="Arial"/>
              </w:rPr>
              <w:t xml:space="preserve">r employment </w:t>
            </w:r>
            <w:r w:rsidR="00F50B4D" w:rsidRPr="00F50B4D">
              <w:rPr>
                <w:rStyle w:val="checkbox"/>
                <w:rFonts w:ascii="Arial" w:hAnsi="Arial" w:cs="Arial"/>
              </w:rPr>
              <w:t>between 1902 and 1969</w:t>
            </w:r>
            <w:r w:rsidR="00F50B4D">
              <w:rPr>
                <w:rStyle w:val="checkbox"/>
                <w:rFonts w:ascii="Arial" w:hAnsi="Arial" w:cs="Arial"/>
              </w:rPr>
              <w:t xml:space="preserve"> and relatively high exposures to airborne </w:t>
            </w:r>
            <w:r w:rsidR="009A4A6B">
              <w:rPr>
                <w:rStyle w:val="checkbox"/>
                <w:rFonts w:ascii="Arial" w:hAnsi="Arial" w:cs="Arial"/>
              </w:rPr>
              <w:t>Ni</w:t>
            </w:r>
            <w:r>
              <w:rPr>
                <w:rStyle w:val="checkbox"/>
                <w:rFonts w:ascii="Arial" w:hAnsi="Arial" w:cs="Arial"/>
              </w:rPr>
              <w:t>:</w:t>
            </w:r>
            <w:r w:rsidR="00F50B4D">
              <w:rPr>
                <w:rStyle w:val="checkbox"/>
                <w:rFonts w:ascii="Arial" w:hAnsi="Arial" w:cs="Arial"/>
              </w:rPr>
              <w:t xml:space="preserve"> </w:t>
            </w:r>
          </w:p>
          <w:p w14:paraId="731852DB" w14:textId="279D6A07" w:rsidR="00F50B4D" w:rsidRDefault="00D720C6" w:rsidP="00F50B4D">
            <w:pPr>
              <w:pStyle w:val="ListBullet"/>
              <w:numPr>
                <w:ilvl w:val="0"/>
                <w:numId w:val="13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f</w:t>
            </w:r>
            <w:r w:rsidR="00F50B4D">
              <w:rPr>
                <w:rStyle w:val="checkbox"/>
                <w:rFonts w:ascii="Arial" w:hAnsi="Arial" w:cs="Arial"/>
              </w:rPr>
              <w:t xml:space="preserve">ollow up studies with greatly reduced exposures provided little </w:t>
            </w:r>
            <w:r w:rsidR="00F50B4D" w:rsidRPr="00F50B4D">
              <w:rPr>
                <w:rStyle w:val="checkbox"/>
                <w:rFonts w:ascii="Arial" w:hAnsi="Arial" w:cs="Arial"/>
              </w:rPr>
              <w:t>evidence of elevated lung cancer risks a</w:t>
            </w:r>
            <w:r w:rsidR="00F50B4D">
              <w:rPr>
                <w:rStyle w:val="checkbox"/>
                <w:rFonts w:ascii="Arial" w:hAnsi="Arial" w:cs="Arial"/>
              </w:rPr>
              <w:t xml:space="preserve">ssociated with </w:t>
            </w:r>
            <w:r w:rsidR="00F50B4D" w:rsidRPr="00F50B4D">
              <w:rPr>
                <w:rStyle w:val="checkbox"/>
                <w:rFonts w:ascii="Arial" w:hAnsi="Arial" w:cs="Arial"/>
              </w:rPr>
              <w:t xml:space="preserve">exposures </w:t>
            </w:r>
            <w:r w:rsidR="00F50B4D">
              <w:rPr>
                <w:rStyle w:val="checkbox"/>
                <w:rFonts w:ascii="Arial" w:hAnsi="Arial" w:cs="Arial"/>
              </w:rPr>
              <w:t>at &lt;0.2</w:t>
            </w:r>
            <w:r w:rsidR="009A4A6B">
              <w:rPr>
                <w:rStyle w:val="checkbox"/>
                <w:rFonts w:ascii="Arial" w:hAnsi="Arial" w:cs="Arial"/>
              </w:rPr>
              <w:t xml:space="preserve"> </w:t>
            </w:r>
            <w:r w:rsidR="00F50B4D">
              <w:rPr>
                <w:rStyle w:val="checkbox"/>
                <w:rFonts w:ascii="Arial" w:hAnsi="Arial" w:cs="Arial"/>
              </w:rPr>
              <w:t>mg/m</w:t>
            </w:r>
            <w:r w:rsidR="00F50B4D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F50B4D">
              <w:rPr>
                <w:rStyle w:val="checkbox"/>
                <w:rFonts w:ascii="Arial" w:hAnsi="Arial" w:cs="Arial"/>
              </w:rPr>
              <w:t xml:space="preserve"> total </w:t>
            </w:r>
            <w:r w:rsidR="009A4A6B">
              <w:rPr>
                <w:rStyle w:val="checkbox"/>
                <w:rFonts w:ascii="Arial" w:hAnsi="Arial" w:cs="Arial"/>
              </w:rPr>
              <w:t>Ni</w:t>
            </w:r>
          </w:p>
          <w:p w14:paraId="0E44EF2B" w14:textId="4561437E" w:rsidR="00F50B4D" w:rsidRDefault="00311FC7" w:rsidP="00311FC7">
            <w:pPr>
              <w:pStyle w:val="ListBullet"/>
              <w:ind w:left="108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D</w:t>
            </w:r>
            <w:r w:rsidRPr="00311FC7">
              <w:rPr>
                <w:rStyle w:val="checkbox"/>
                <w:rFonts w:ascii="Arial" w:hAnsi="Arial" w:cs="Arial"/>
              </w:rPr>
              <w:t>ifficulties and uncertainties in using epidemiological</w:t>
            </w:r>
            <w:r>
              <w:rPr>
                <w:rStyle w:val="checkbox"/>
                <w:rFonts w:ascii="Arial" w:hAnsi="Arial" w:cs="Arial"/>
              </w:rPr>
              <w:t xml:space="preserve"> data to estimate levels and types</w:t>
            </w:r>
            <w:r w:rsidRPr="00311FC7">
              <w:rPr>
                <w:rStyle w:val="checkbox"/>
                <w:rFonts w:ascii="Arial" w:hAnsi="Arial" w:cs="Arial"/>
              </w:rPr>
              <w:t xml:space="preserve"> of </w:t>
            </w:r>
            <w:r w:rsidR="009A4A6B">
              <w:rPr>
                <w:rStyle w:val="checkbox"/>
                <w:rFonts w:ascii="Arial" w:hAnsi="Arial" w:cs="Arial"/>
              </w:rPr>
              <w:t>Ni</w:t>
            </w:r>
            <w:r w:rsidRPr="00311FC7">
              <w:rPr>
                <w:rStyle w:val="checkbox"/>
                <w:rFonts w:ascii="Arial" w:hAnsi="Arial" w:cs="Arial"/>
              </w:rPr>
              <w:t xml:space="preserve"> that correspond to increased respiratory cancer risk in refinery workers</w:t>
            </w:r>
          </w:p>
          <w:p w14:paraId="00C4BF9B" w14:textId="04CD0EF7" w:rsidR="00311FC7" w:rsidRPr="00311FC7" w:rsidRDefault="006932F9">
            <w:pPr>
              <w:pStyle w:val="ListBullet"/>
              <w:ind w:left="108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E</w:t>
            </w:r>
            <w:r w:rsidR="00311FC7" w:rsidRPr="00311FC7">
              <w:rPr>
                <w:rStyle w:val="checkbox"/>
                <w:rFonts w:ascii="Arial" w:hAnsi="Arial" w:cs="Arial"/>
              </w:rPr>
              <w:t>vidence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="00311FC7" w:rsidRPr="00311FC7">
              <w:rPr>
                <w:rStyle w:val="checkbox"/>
                <w:rFonts w:ascii="Arial" w:hAnsi="Arial" w:cs="Arial"/>
              </w:rPr>
              <w:t xml:space="preserve">of carcinogenicity </w:t>
            </w:r>
            <w:r w:rsidR="00527892">
              <w:rPr>
                <w:rStyle w:val="checkbox"/>
                <w:rFonts w:ascii="Arial" w:hAnsi="Arial" w:cs="Arial"/>
              </w:rPr>
              <w:t>in rats</w:t>
            </w:r>
            <w:r w:rsidR="00527892" w:rsidRPr="00311FC7">
              <w:rPr>
                <w:rStyle w:val="checkbox"/>
                <w:rFonts w:ascii="Arial" w:hAnsi="Arial" w:cs="Arial"/>
              </w:rPr>
              <w:t xml:space="preserve"> </w:t>
            </w:r>
            <w:r w:rsidR="00311FC7" w:rsidRPr="00311FC7">
              <w:rPr>
                <w:rStyle w:val="checkbox"/>
                <w:rFonts w:ascii="Arial" w:hAnsi="Arial" w:cs="Arial"/>
              </w:rPr>
              <w:t xml:space="preserve">at </w:t>
            </w:r>
            <w:r w:rsidR="009A4A6B">
              <w:rPr>
                <w:rStyle w:val="checkbox"/>
                <w:rFonts w:ascii="Arial" w:hAnsi="Arial" w:cs="Arial"/>
              </w:rPr>
              <w:t>≥</w:t>
            </w:r>
            <w:r w:rsidR="00311FC7" w:rsidRPr="00311FC7">
              <w:rPr>
                <w:rStyle w:val="checkbox"/>
                <w:rFonts w:ascii="Arial" w:hAnsi="Arial" w:cs="Arial"/>
              </w:rPr>
              <w:t>0.1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="00311FC7" w:rsidRPr="00311FC7">
              <w:rPr>
                <w:rStyle w:val="checkbox"/>
                <w:rFonts w:ascii="Arial" w:hAnsi="Arial" w:cs="Arial"/>
              </w:rPr>
              <w:t>mg/m</w:t>
            </w:r>
            <w:r w:rsidR="00311FC7" w:rsidRPr="006932F9">
              <w:rPr>
                <w:rStyle w:val="checkbox"/>
                <w:rFonts w:ascii="Arial" w:hAnsi="Arial" w:cs="Arial"/>
                <w:vertAlign w:val="superscript"/>
              </w:rPr>
              <w:t xml:space="preserve">3 </w:t>
            </w:r>
            <w:r w:rsidR="00831C1C" w:rsidRPr="00311FC7">
              <w:rPr>
                <w:rStyle w:val="checkbox"/>
                <w:rFonts w:ascii="Arial" w:hAnsi="Arial" w:cs="Arial"/>
              </w:rPr>
              <w:t>for</w:t>
            </w:r>
            <w:r w:rsidR="00311FC7" w:rsidRPr="00311FC7">
              <w:rPr>
                <w:rStyle w:val="checkbox"/>
                <w:rFonts w:ascii="Arial" w:hAnsi="Arial" w:cs="Arial"/>
              </w:rPr>
              <w:t xml:space="preserve"> </w:t>
            </w:r>
            <w:r w:rsidR="009A4A6B">
              <w:rPr>
                <w:rStyle w:val="checkbox"/>
                <w:rFonts w:ascii="Arial" w:hAnsi="Arial" w:cs="Arial"/>
              </w:rPr>
              <w:t>Ni</w:t>
            </w:r>
            <w:r w:rsidR="009A4A6B" w:rsidRPr="00B02C5D">
              <w:rPr>
                <w:rStyle w:val="checkbox"/>
                <w:rFonts w:ascii="Arial" w:hAnsi="Arial" w:cs="Arial"/>
                <w:vertAlign w:val="subscript"/>
              </w:rPr>
              <w:t>3</w:t>
            </w:r>
            <w:r w:rsidR="009A4A6B">
              <w:rPr>
                <w:rStyle w:val="checkbox"/>
                <w:rFonts w:ascii="Arial" w:hAnsi="Arial" w:cs="Arial"/>
              </w:rPr>
              <w:t>S</w:t>
            </w:r>
            <w:r w:rsidR="009A4A6B" w:rsidRPr="00B02C5D">
              <w:rPr>
                <w:rStyle w:val="checkbox"/>
                <w:rFonts w:ascii="Arial" w:hAnsi="Arial" w:cs="Arial"/>
                <w:vertAlign w:val="subscript"/>
              </w:rPr>
              <w:t>2</w:t>
            </w:r>
            <w:r w:rsidR="009A4A6B" w:rsidRPr="00311FC7" w:rsidDel="009A4A6B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(cited by ACGIH, 2018)</w:t>
            </w:r>
            <w:r w:rsidR="00D720C6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5664E2" w:rsidRPr="004C23F4" w14:paraId="51AE65CF" w14:textId="77777777" w:rsidTr="004B08D2">
        <w:trPr>
          <w:cantSplit/>
        </w:trPr>
        <w:tc>
          <w:tcPr>
            <w:tcW w:w="1013" w:type="dxa"/>
          </w:tcPr>
          <w:p w14:paraId="25AFC58D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397" w:type="dxa"/>
          </w:tcPr>
          <w:p w14:paraId="633A885A" w14:textId="2126D21D" w:rsidR="004966BF" w:rsidRPr="00CE617F" w:rsidRDefault="00C40034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831C1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78DC9E3" w14:textId="42AE267D" w:rsidR="004966BF" w:rsidRPr="004C23F4" w:rsidRDefault="00831C1C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2014</w:t>
            </w:r>
          </w:p>
        </w:tc>
        <w:tc>
          <w:tcPr>
            <w:tcW w:w="6955" w:type="dxa"/>
          </w:tcPr>
          <w:p w14:paraId="67CC753E" w14:textId="2D8C2A3F" w:rsidR="004966BF" w:rsidRDefault="00831C1C" w:rsidP="00831C1C">
            <w:pPr>
              <w:pStyle w:val="ListBullet"/>
              <w:ind w:left="1080"/>
              <w:rPr>
                <w:rStyle w:val="checkbox"/>
                <w:rFonts w:ascii="Arial" w:hAnsi="Arial" w:cs="Arial"/>
              </w:rPr>
            </w:pPr>
            <w:r w:rsidRPr="00831C1C">
              <w:rPr>
                <w:rStyle w:val="checkbox"/>
                <w:rFonts w:ascii="Arial" w:hAnsi="Arial" w:cs="Arial"/>
              </w:rPr>
              <w:t xml:space="preserve">A case report </w:t>
            </w:r>
            <w:r>
              <w:rPr>
                <w:rStyle w:val="checkbox"/>
                <w:rFonts w:ascii="Arial" w:hAnsi="Arial" w:cs="Arial"/>
              </w:rPr>
              <w:t>of</w:t>
            </w:r>
            <w:r w:rsidRPr="00831C1C">
              <w:rPr>
                <w:rStyle w:val="checkbox"/>
                <w:rFonts w:ascii="Arial" w:hAnsi="Arial" w:cs="Arial"/>
              </w:rPr>
              <w:t xml:space="preserve"> a fatal incident in a worker exposed by inhalation to an estimated concentration of 382 mg/m</w:t>
            </w:r>
            <w:r w:rsidRPr="00831C1C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Pr="00831C1C">
              <w:rPr>
                <w:rStyle w:val="checkbox"/>
                <w:rFonts w:ascii="Arial" w:hAnsi="Arial" w:cs="Arial"/>
              </w:rPr>
              <w:t xml:space="preserve"> </w:t>
            </w:r>
          </w:p>
          <w:p w14:paraId="00029563" w14:textId="4E58776F" w:rsidR="00831C1C" w:rsidRPr="00831C1C" w:rsidRDefault="00831C1C" w:rsidP="00831C1C">
            <w:pPr>
              <w:pStyle w:val="ListBullet"/>
              <w:ind w:left="1080"/>
              <w:rPr>
                <w:rFonts w:cs="Arial"/>
              </w:rPr>
            </w:pPr>
            <w:r>
              <w:rPr>
                <w:rStyle w:val="checkbox"/>
                <w:rFonts w:ascii="Arial" w:hAnsi="Arial" w:cs="Arial"/>
              </w:rPr>
              <w:t>No ep</w:t>
            </w:r>
            <w:r w:rsidRPr="00831C1C">
              <w:rPr>
                <w:rStyle w:val="checkbox"/>
                <w:rFonts w:ascii="Arial" w:hAnsi="Arial" w:cs="Arial"/>
              </w:rPr>
              <w:t>idemiological evidence for carcinogenicity in humans e</w:t>
            </w:r>
            <w:r>
              <w:rPr>
                <w:rStyle w:val="checkbox"/>
                <w:rFonts w:ascii="Arial" w:hAnsi="Arial" w:cs="Arial"/>
              </w:rPr>
              <w:t xml:space="preserve">xposed to metallic </w:t>
            </w:r>
            <w:r w:rsidR="009A4A6B">
              <w:rPr>
                <w:rStyle w:val="checkbox"/>
                <w:rFonts w:ascii="Arial" w:hAnsi="Arial" w:cs="Arial"/>
              </w:rPr>
              <w:t>Ni</w:t>
            </w:r>
            <w:r>
              <w:rPr>
                <w:rStyle w:val="checkbox"/>
                <w:rFonts w:ascii="Arial" w:hAnsi="Arial" w:cs="Arial"/>
              </w:rPr>
              <w:t xml:space="preserve"> alone; </w:t>
            </w:r>
            <w:r>
              <w:rPr>
                <w:rFonts w:cs="Arial"/>
                <w:color w:val="262626"/>
              </w:rPr>
              <w:t>insufficient evidence to support a recommendation to amend the current carcinogenicity classification</w:t>
            </w:r>
          </w:p>
          <w:p w14:paraId="7586DBE2" w14:textId="32EAC45A" w:rsidR="00831C1C" w:rsidRPr="004C23F4" w:rsidRDefault="00831C1C">
            <w:pPr>
              <w:pStyle w:val="ListBullet"/>
              <w:ind w:left="1080"/>
              <w:rPr>
                <w:rStyle w:val="checkbox"/>
                <w:rFonts w:ascii="Arial" w:hAnsi="Arial" w:cs="Arial"/>
              </w:rPr>
            </w:pPr>
            <w:r w:rsidRPr="00831C1C">
              <w:rPr>
                <w:rStyle w:val="checkbox"/>
                <w:rFonts w:ascii="Arial" w:hAnsi="Arial" w:cs="Arial"/>
              </w:rPr>
              <w:t>Based on available data from animal studies, there is a concern the current occupat</w:t>
            </w:r>
            <w:r w:rsidR="00D720C6">
              <w:rPr>
                <w:rStyle w:val="checkbox"/>
                <w:rFonts w:ascii="Arial" w:hAnsi="Arial" w:cs="Arial"/>
              </w:rPr>
              <w:t>ional exposure standard of 1 </w:t>
            </w:r>
            <w:r w:rsidR="00FE5AD0">
              <w:rPr>
                <w:rStyle w:val="checkbox"/>
                <w:rFonts w:ascii="Arial" w:hAnsi="Arial" w:cs="Arial"/>
              </w:rPr>
              <w:t>mg</w:t>
            </w:r>
            <w:r w:rsidRPr="00831C1C">
              <w:rPr>
                <w:rStyle w:val="checkbox"/>
                <w:rFonts w:ascii="Arial" w:hAnsi="Arial" w:cs="Arial"/>
              </w:rPr>
              <w:t>/m</w:t>
            </w:r>
            <w:r w:rsidRPr="00FE5AD0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FE5AD0">
              <w:rPr>
                <w:rStyle w:val="checkbox"/>
                <w:rFonts w:ascii="Arial" w:hAnsi="Arial" w:cs="Arial"/>
                <w:vertAlign w:val="superscript"/>
              </w:rPr>
              <w:t xml:space="preserve"> </w:t>
            </w:r>
            <w:r w:rsidR="00FE5AD0">
              <w:rPr>
                <w:rStyle w:val="checkbox"/>
                <w:rFonts w:ascii="Arial" w:hAnsi="Arial" w:cs="Arial"/>
              </w:rPr>
              <w:t>(</w:t>
            </w:r>
            <w:r w:rsidRPr="00831C1C">
              <w:rPr>
                <w:rStyle w:val="checkbox"/>
                <w:rFonts w:ascii="Arial" w:hAnsi="Arial" w:cs="Arial"/>
              </w:rPr>
              <w:t>inhalable fraction</w:t>
            </w:r>
            <w:r w:rsidR="00FE5AD0">
              <w:rPr>
                <w:rStyle w:val="checkbox"/>
                <w:rFonts w:ascii="Arial" w:hAnsi="Arial" w:cs="Arial"/>
              </w:rPr>
              <w:t>)</w:t>
            </w:r>
            <w:r w:rsidRPr="00831C1C">
              <w:rPr>
                <w:rStyle w:val="checkbox"/>
                <w:rFonts w:ascii="Arial" w:hAnsi="Arial" w:cs="Arial"/>
              </w:rPr>
              <w:t xml:space="preserve"> for 'Nickel, metal' may not sufficiently protect worker health</w:t>
            </w:r>
            <w:r w:rsidR="00D720C6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5664E2" w:rsidRPr="004C23F4" w14:paraId="71A4D218" w14:textId="77777777" w:rsidTr="004B08D2">
        <w:trPr>
          <w:cantSplit/>
        </w:trPr>
        <w:tc>
          <w:tcPr>
            <w:tcW w:w="1013" w:type="dxa"/>
          </w:tcPr>
          <w:p w14:paraId="047C4854" w14:textId="77777777" w:rsidR="004966BF" w:rsidRPr="004C23F4" w:rsidRDefault="004966BF" w:rsidP="00224EE2">
            <w:pPr>
              <w:pStyle w:val="Tablefont"/>
            </w:pPr>
            <w:r>
              <w:t>IARC</w:t>
            </w:r>
          </w:p>
        </w:tc>
        <w:tc>
          <w:tcPr>
            <w:tcW w:w="397" w:type="dxa"/>
          </w:tcPr>
          <w:p w14:paraId="2EEF6ACD" w14:textId="67C13BC2" w:rsidR="004966BF" w:rsidRPr="00CE617F" w:rsidRDefault="00C40034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FE5AD0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1E0FB5D" w14:textId="2367935A" w:rsidR="004966BF" w:rsidRPr="004C23F4" w:rsidRDefault="00FE5AD0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2012</w:t>
            </w:r>
          </w:p>
        </w:tc>
        <w:tc>
          <w:tcPr>
            <w:tcW w:w="6955" w:type="dxa"/>
          </w:tcPr>
          <w:p w14:paraId="581A393F" w14:textId="269599BE" w:rsidR="004966BF" w:rsidRDefault="00FE5AD0" w:rsidP="00FE5AD0">
            <w:pPr>
              <w:pStyle w:val="ListBullet"/>
              <w:ind w:left="108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S</w:t>
            </w:r>
            <w:r w:rsidRPr="00FE5AD0">
              <w:rPr>
                <w:rStyle w:val="checkbox"/>
                <w:rFonts w:ascii="Arial" w:hAnsi="Arial" w:cs="Arial"/>
              </w:rPr>
              <w:t>ufficient evidence in humans for the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FE5AD0">
              <w:rPr>
                <w:rStyle w:val="checkbox"/>
                <w:rFonts w:ascii="Arial" w:hAnsi="Arial" w:cs="Arial"/>
              </w:rPr>
              <w:t xml:space="preserve">carcinogenicity </w:t>
            </w:r>
            <w:r>
              <w:rPr>
                <w:rStyle w:val="checkbox"/>
                <w:rFonts w:ascii="Arial" w:hAnsi="Arial" w:cs="Arial"/>
              </w:rPr>
              <w:t xml:space="preserve">of mixtures that include </w:t>
            </w:r>
            <w:r w:rsidR="009A4A6B">
              <w:rPr>
                <w:rStyle w:val="checkbox"/>
                <w:rFonts w:ascii="Arial" w:hAnsi="Arial" w:cs="Arial"/>
              </w:rPr>
              <w:t>Ni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FE5AD0">
              <w:rPr>
                <w:rStyle w:val="checkbox"/>
                <w:rFonts w:ascii="Arial" w:hAnsi="Arial" w:cs="Arial"/>
              </w:rPr>
              <w:t xml:space="preserve">compounds and </w:t>
            </w:r>
            <w:r w:rsidR="009A4A6B">
              <w:rPr>
                <w:rStyle w:val="checkbox"/>
                <w:rFonts w:ascii="Arial" w:hAnsi="Arial" w:cs="Arial"/>
              </w:rPr>
              <w:t>Ni</w:t>
            </w:r>
            <w:r w:rsidRPr="00FE5AD0">
              <w:rPr>
                <w:rStyle w:val="checkbox"/>
                <w:rFonts w:ascii="Arial" w:hAnsi="Arial" w:cs="Arial"/>
              </w:rPr>
              <w:t xml:space="preserve"> metal</w:t>
            </w:r>
          </w:p>
          <w:p w14:paraId="440F88D5" w14:textId="188DACB5" w:rsidR="00FE5AD0" w:rsidRDefault="00FE5AD0" w:rsidP="00FE5AD0">
            <w:pPr>
              <w:pStyle w:val="ListBullet"/>
              <w:ind w:left="108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S</w:t>
            </w:r>
            <w:r w:rsidRPr="00FE5AD0">
              <w:rPr>
                <w:rStyle w:val="checkbox"/>
                <w:rFonts w:ascii="Arial" w:hAnsi="Arial" w:cs="Arial"/>
              </w:rPr>
              <w:t>ufficient evidence in experimental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FE5AD0">
              <w:rPr>
                <w:rStyle w:val="checkbox"/>
                <w:rFonts w:ascii="Arial" w:hAnsi="Arial" w:cs="Arial"/>
              </w:rPr>
              <w:t xml:space="preserve">animals for the carcinogenicity of </w:t>
            </w:r>
            <w:r w:rsidR="009A4A6B">
              <w:rPr>
                <w:rStyle w:val="checkbox"/>
                <w:rFonts w:ascii="Arial" w:hAnsi="Arial" w:cs="Arial"/>
              </w:rPr>
              <w:t>NiO</w:t>
            </w:r>
            <w:r w:rsidRPr="00FE5AD0">
              <w:rPr>
                <w:rStyle w:val="checkbox"/>
                <w:rFonts w:ascii="Arial" w:hAnsi="Arial" w:cs="Arial"/>
              </w:rPr>
              <w:t xml:space="preserve">, </w:t>
            </w:r>
            <w:r w:rsidR="000B1B8D">
              <w:rPr>
                <w:rStyle w:val="checkbox"/>
                <w:rFonts w:ascii="Arial" w:hAnsi="Arial" w:cs="Arial"/>
              </w:rPr>
              <w:t>Ni(OH)</w:t>
            </w:r>
            <w:r w:rsidR="000B1B8D" w:rsidRPr="004A02CC">
              <w:rPr>
                <w:rStyle w:val="checkbox"/>
                <w:rFonts w:ascii="Arial" w:hAnsi="Arial" w:cs="Arial"/>
                <w:vertAlign w:val="subscript"/>
              </w:rPr>
              <w:t>2</w:t>
            </w:r>
            <w:r w:rsidRPr="00FE5AD0">
              <w:rPr>
                <w:rStyle w:val="checkbox"/>
                <w:rFonts w:ascii="Arial" w:hAnsi="Arial" w:cs="Arial"/>
              </w:rPr>
              <w:t xml:space="preserve">, </w:t>
            </w:r>
            <w:r w:rsidR="000B1B8D">
              <w:rPr>
                <w:rStyle w:val="checkbox"/>
                <w:rFonts w:ascii="Arial" w:hAnsi="Arial" w:cs="Arial"/>
              </w:rPr>
              <w:t>NiS, Ni</w:t>
            </w:r>
            <w:r w:rsidR="000B1B8D" w:rsidRPr="00B02C5D">
              <w:rPr>
                <w:rStyle w:val="checkbox"/>
                <w:rFonts w:ascii="Arial" w:hAnsi="Arial" w:cs="Arial"/>
                <w:vertAlign w:val="subscript"/>
              </w:rPr>
              <w:t>3</w:t>
            </w:r>
            <w:r w:rsidR="000B1B8D">
              <w:rPr>
                <w:rStyle w:val="checkbox"/>
                <w:rFonts w:ascii="Arial" w:hAnsi="Arial" w:cs="Arial"/>
              </w:rPr>
              <w:t>S</w:t>
            </w:r>
            <w:r w:rsidR="000B1B8D" w:rsidRPr="00B02C5D">
              <w:rPr>
                <w:rStyle w:val="checkbox"/>
                <w:rFonts w:ascii="Arial" w:hAnsi="Arial" w:cs="Arial"/>
                <w:vertAlign w:val="subscript"/>
              </w:rPr>
              <w:t>2</w:t>
            </w:r>
          </w:p>
          <w:p w14:paraId="1F17DDCD" w14:textId="4947536E" w:rsidR="00FE5AD0" w:rsidRPr="00FE5AD0" w:rsidRDefault="00FE5AD0" w:rsidP="00FE5AD0">
            <w:pPr>
              <w:pStyle w:val="ListBullet"/>
              <w:ind w:left="1080"/>
              <w:rPr>
                <w:rStyle w:val="checkbox"/>
                <w:rFonts w:ascii="Arial" w:hAnsi="Arial" w:cs="Arial"/>
              </w:rPr>
            </w:pPr>
            <w:r>
              <w:t>Ni compounds are carcinogenic to humans (Group 1).</w:t>
            </w:r>
          </w:p>
        </w:tc>
      </w:tr>
    </w:tbl>
    <w:bookmarkEnd w:id="0"/>
    <w:p w14:paraId="1444FBD1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4EF226A3" w14:textId="77777777" w:rsidTr="005718C7">
        <w:trPr>
          <w:trHeight w:val="454"/>
          <w:tblHeader/>
        </w:trPr>
        <w:tc>
          <w:tcPr>
            <w:tcW w:w="6603" w:type="dxa"/>
            <w:vAlign w:val="center"/>
          </w:tcPr>
          <w:p w14:paraId="357D347A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1F5304F6" w14:textId="1252C816" w:rsidR="002E0D61" w:rsidRDefault="005718C7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7F2B86FF" w14:textId="77777777" w:rsidTr="005718C7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68389675" w14:textId="7FCBF984" w:rsidR="008A36CF" w:rsidRPr="006901A2" w:rsidRDefault="005718C7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5DF0EFC7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45C41D39" w14:textId="2967D99A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B08D2" w14:paraId="740300AD" w14:textId="77777777" w:rsidTr="004B08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FA20022" w14:textId="77777777" w:rsidR="00687890" w:rsidRPr="004B08D2" w:rsidRDefault="00687890" w:rsidP="00263255">
            <w:pPr>
              <w:pStyle w:val="Tableheader"/>
              <w:rPr>
                <w:b/>
              </w:rPr>
            </w:pPr>
            <w:bookmarkStart w:id="2" w:name="Notations"/>
            <w:r w:rsidRPr="004B08D2">
              <w:rPr>
                <w:b/>
              </w:rPr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4EBC575" w14:textId="77777777" w:rsidR="00687890" w:rsidRPr="004B08D2" w:rsidRDefault="00687890" w:rsidP="00F4402E">
            <w:pPr>
              <w:pStyle w:val="Tableheader"/>
              <w:tabs>
                <w:tab w:val="right" w:pos="5272"/>
              </w:tabs>
              <w:rPr>
                <w:b/>
              </w:rPr>
            </w:pPr>
            <w:r w:rsidRPr="004B08D2">
              <w:rPr>
                <w:b/>
              </w:rPr>
              <w:t>Notations</w:t>
            </w:r>
            <w:r w:rsidR="003A2B94" w:rsidRPr="004B08D2">
              <w:rPr>
                <w:b/>
              </w:rPr>
              <w:tab/>
            </w:r>
          </w:p>
        </w:tc>
      </w:tr>
      <w:tr w:rsidR="00687890" w:rsidRPr="004C23F4" w14:paraId="64F08069" w14:textId="77777777" w:rsidTr="004B08D2">
        <w:trPr>
          <w:cantSplit/>
        </w:trPr>
        <w:tc>
          <w:tcPr>
            <w:tcW w:w="3227" w:type="dxa"/>
          </w:tcPr>
          <w:p w14:paraId="323DF19F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0D6B3582" w14:textId="77777777" w:rsidR="00687890" w:rsidRPr="00D720C6" w:rsidRDefault="00AE4D06" w:rsidP="00DD2F9B">
            <w:pPr>
              <w:pStyle w:val="Tablefont"/>
            </w:pPr>
            <w:r w:rsidRPr="00D720C6">
              <w:t>—</w:t>
            </w:r>
          </w:p>
        </w:tc>
      </w:tr>
      <w:tr w:rsidR="007925F0" w:rsidRPr="004C23F4" w14:paraId="06F9E756" w14:textId="77777777" w:rsidTr="004B08D2">
        <w:trPr>
          <w:cantSplit/>
        </w:trPr>
        <w:tc>
          <w:tcPr>
            <w:tcW w:w="3227" w:type="dxa"/>
          </w:tcPr>
          <w:p w14:paraId="797B2138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03B662D3" w14:textId="0CC2AD7E" w:rsidR="007925F0" w:rsidRPr="00D720C6" w:rsidRDefault="00FE308D" w:rsidP="00DD2F9B">
            <w:pPr>
              <w:pStyle w:val="Tablefont"/>
            </w:pPr>
            <w:r w:rsidRPr="00D720C6">
              <w:t>Carcinogenicity – category 2, Skin sensitisation – category 1</w:t>
            </w:r>
          </w:p>
        </w:tc>
      </w:tr>
      <w:tr w:rsidR="00AF483F" w:rsidRPr="004C23F4" w14:paraId="11A79345" w14:textId="77777777" w:rsidTr="004B08D2">
        <w:trPr>
          <w:cantSplit/>
        </w:trPr>
        <w:tc>
          <w:tcPr>
            <w:tcW w:w="3227" w:type="dxa"/>
          </w:tcPr>
          <w:p w14:paraId="3C2C87F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1367D6C9" w14:textId="4C847B71" w:rsidR="00AF483F" w:rsidRPr="00D720C6" w:rsidRDefault="00A90440" w:rsidP="00DD2F9B">
            <w:pPr>
              <w:pStyle w:val="Tablefont"/>
            </w:pPr>
            <w:r w:rsidRPr="00D720C6">
              <w:t>Carc. Cat. 3 (as Ni)</w:t>
            </w:r>
          </w:p>
        </w:tc>
      </w:tr>
      <w:tr w:rsidR="00687890" w:rsidRPr="004C23F4" w14:paraId="1E0ADD96" w14:textId="77777777" w:rsidTr="004B08D2">
        <w:trPr>
          <w:cantSplit/>
        </w:trPr>
        <w:tc>
          <w:tcPr>
            <w:tcW w:w="3227" w:type="dxa"/>
          </w:tcPr>
          <w:p w14:paraId="64C98506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2201118C" w14:textId="1FE3997F" w:rsidR="00687890" w:rsidRPr="00D720C6" w:rsidRDefault="00A90440" w:rsidP="00DD2F9B">
            <w:pPr>
              <w:pStyle w:val="Tablefont"/>
            </w:pPr>
            <w:r w:rsidRPr="00D720C6">
              <w:t>Carcinogenicity – category 2</w:t>
            </w:r>
          </w:p>
        </w:tc>
      </w:tr>
      <w:tr w:rsidR="00E41A26" w:rsidRPr="004C23F4" w14:paraId="1A921A5E" w14:textId="77777777" w:rsidTr="004B08D2">
        <w:trPr>
          <w:cantSplit/>
        </w:trPr>
        <w:tc>
          <w:tcPr>
            <w:tcW w:w="3227" w:type="dxa"/>
          </w:tcPr>
          <w:p w14:paraId="21E38009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2FB3AA1E" w14:textId="3C4C4AB9" w:rsidR="00E41A26" w:rsidRPr="00D720C6" w:rsidRDefault="00BD5AAC" w:rsidP="00DD2F9B">
            <w:pPr>
              <w:pStyle w:val="Tablefont"/>
            </w:pPr>
            <w:r w:rsidRPr="00D720C6">
              <w:t>NA</w:t>
            </w:r>
          </w:p>
        </w:tc>
      </w:tr>
      <w:tr w:rsidR="002E0D61" w:rsidRPr="004C23F4" w14:paraId="5534D847" w14:textId="77777777" w:rsidTr="004B08D2">
        <w:trPr>
          <w:cantSplit/>
        </w:trPr>
        <w:tc>
          <w:tcPr>
            <w:tcW w:w="3227" w:type="dxa"/>
          </w:tcPr>
          <w:p w14:paraId="720A36FA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649C12BF" w14:textId="5BDC50E7" w:rsidR="002E0D61" w:rsidRDefault="008E634B" w:rsidP="00DD2F9B">
            <w:pPr>
              <w:pStyle w:val="Tablefont"/>
            </w:pPr>
            <w:r w:rsidRPr="008E634B">
              <w:t>Carcinogenicity – A5</w:t>
            </w:r>
            <w:r>
              <w:t xml:space="preserve"> </w:t>
            </w:r>
            <w:r w:rsidRPr="008E634B">
              <w:t xml:space="preserve">(inhalable </w:t>
            </w:r>
            <w:r w:rsidR="000B1B8D">
              <w:t>Ni</w:t>
            </w:r>
            <w:r w:rsidRPr="008E634B">
              <w:t xml:space="preserve"> particulate mass – Elemental/Metal)</w:t>
            </w:r>
          </w:p>
          <w:p w14:paraId="0CEC02D2" w14:textId="1F8F9206" w:rsidR="008E634B" w:rsidRPr="00DD2F9B" w:rsidRDefault="008E634B" w:rsidP="00DD2F9B">
            <w:pPr>
              <w:pStyle w:val="Tablefont"/>
            </w:pPr>
            <w:r w:rsidRPr="008E634B">
              <w:t>Carcinogenicity – A1</w:t>
            </w:r>
            <w:r>
              <w:t xml:space="preserve"> </w:t>
            </w:r>
            <w:r w:rsidRPr="008E634B">
              <w:t xml:space="preserve">(inhalable </w:t>
            </w:r>
            <w:r w:rsidR="000B1B8D">
              <w:t>Ni</w:t>
            </w:r>
            <w:r w:rsidRPr="008E634B">
              <w:t xml:space="preserve"> particulate mass – Insoluble compounds)</w:t>
            </w:r>
          </w:p>
        </w:tc>
      </w:tr>
      <w:tr w:rsidR="002E0D61" w:rsidRPr="004C23F4" w14:paraId="129A73EF" w14:textId="77777777" w:rsidTr="004B08D2">
        <w:trPr>
          <w:cantSplit/>
        </w:trPr>
        <w:tc>
          <w:tcPr>
            <w:tcW w:w="3227" w:type="dxa"/>
          </w:tcPr>
          <w:p w14:paraId="6759F927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01B83373" w14:textId="41A4802D" w:rsidR="002E0D61" w:rsidRPr="00DD2F9B" w:rsidRDefault="00A06712" w:rsidP="00D720C6">
            <w:pPr>
              <w:pStyle w:val="Tablefont"/>
            </w:pPr>
            <w:r w:rsidRPr="00A06712">
              <w:t>Carcinogenicity – 1</w:t>
            </w:r>
            <w:r>
              <w:t xml:space="preserve">, </w:t>
            </w:r>
            <w:r w:rsidR="00D720C6">
              <w:t>Sh (dermal sensitiser), Sa (respiratory sensitiser)</w:t>
            </w:r>
          </w:p>
        </w:tc>
      </w:tr>
      <w:tr w:rsidR="002E0D61" w:rsidRPr="004C23F4" w14:paraId="005C14E3" w14:textId="77777777" w:rsidTr="004B08D2">
        <w:trPr>
          <w:cantSplit/>
        </w:trPr>
        <w:tc>
          <w:tcPr>
            <w:tcW w:w="3227" w:type="dxa"/>
          </w:tcPr>
          <w:p w14:paraId="4A5E514C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1F61A74E" w14:textId="2FB7ED82" w:rsidR="002E0D61" w:rsidRPr="00DD2F9B" w:rsidRDefault="009B237D" w:rsidP="00DD2F9B">
            <w:pPr>
              <w:pStyle w:val="Tablefont"/>
            </w:pPr>
            <w:r w:rsidRPr="009B237D">
              <w:t>Carcinogenicity – C</w:t>
            </w:r>
          </w:p>
        </w:tc>
      </w:tr>
      <w:tr w:rsidR="002E0D61" w:rsidRPr="004C23F4" w14:paraId="44217479" w14:textId="77777777" w:rsidTr="004B08D2">
        <w:trPr>
          <w:cantSplit/>
        </w:trPr>
        <w:tc>
          <w:tcPr>
            <w:tcW w:w="3227" w:type="dxa"/>
          </w:tcPr>
          <w:p w14:paraId="6799E8C2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16833F56" w14:textId="2D5E3DAE" w:rsidR="002E0D61" w:rsidRPr="00DD2F9B" w:rsidRDefault="003A6115" w:rsidP="003A6115">
            <w:pPr>
              <w:pStyle w:val="Tablefont"/>
            </w:pPr>
            <w:r>
              <w:t>—</w:t>
            </w:r>
          </w:p>
        </w:tc>
      </w:tr>
      <w:tr w:rsidR="00386093" w:rsidRPr="004C23F4" w14:paraId="5DB66E00" w14:textId="77777777" w:rsidTr="004B08D2">
        <w:trPr>
          <w:cantSplit/>
        </w:trPr>
        <w:tc>
          <w:tcPr>
            <w:tcW w:w="3227" w:type="dxa"/>
          </w:tcPr>
          <w:p w14:paraId="527E2291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4C0101FF" w14:textId="693DF2C1" w:rsidR="00386093" w:rsidRPr="00DD2F9B" w:rsidRDefault="00BD5AAC" w:rsidP="00DD2F9B">
            <w:pPr>
              <w:pStyle w:val="Tablefont"/>
            </w:pPr>
            <w:r w:rsidRPr="00BD5AAC">
              <w:t>Carcinogenicity – Group 2B</w:t>
            </w:r>
          </w:p>
        </w:tc>
      </w:tr>
      <w:tr w:rsidR="00386093" w:rsidRPr="004C23F4" w14:paraId="3AE8E067" w14:textId="77777777" w:rsidTr="004B08D2">
        <w:trPr>
          <w:cantSplit/>
        </w:trPr>
        <w:tc>
          <w:tcPr>
            <w:tcW w:w="3227" w:type="dxa"/>
          </w:tcPr>
          <w:p w14:paraId="3AA6D216" w14:textId="03642DDB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2CD678E6" w14:textId="00CC636D" w:rsidR="00386093" w:rsidRPr="00DD2F9B" w:rsidRDefault="00D23598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12F5A8E3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55CBB4B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A1D88E1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018A1A3F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35F2DC14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4A18D6BD" w14:textId="70A48900" w:rsidR="00932DCE" w:rsidRPr="00782464" w:rsidRDefault="00782464" w:rsidP="004A02CC">
            <w:pPr>
              <w:rPr>
                <w:rFonts w:cs="Arial"/>
              </w:rPr>
            </w:pPr>
            <w:r>
              <w:rPr>
                <w:rFonts w:cs="Arial"/>
              </w:rPr>
              <w:t>There are in</w:t>
            </w:r>
            <w:r w:rsidRPr="005718C7">
              <w:rPr>
                <w:rFonts w:cs="Arial"/>
              </w:rPr>
              <w:t xml:space="preserve">sufficient </w:t>
            </w:r>
            <w:r>
              <w:rPr>
                <w:rFonts w:cs="Arial"/>
              </w:rPr>
              <w:t>data</w:t>
            </w:r>
            <w:r w:rsidRPr="005718C7">
              <w:rPr>
                <w:rFonts w:cs="Arial"/>
              </w:rPr>
              <w:t xml:space="preserve"> to recommend a skin notation.</w:t>
            </w:r>
          </w:p>
        </w:tc>
      </w:tr>
    </w:tbl>
    <w:bookmarkEnd w:id="3"/>
    <w:p w14:paraId="40F1AB1B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3DB376C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23DFB5C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6EE0B603" w14:textId="6B99987E" w:rsidR="00EB3D1B" w:rsidRDefault="00D35C11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28E029C7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6F259981" w14:textId="77777777" w:rsidTr="00FA20C0">
        <w:trPr>
          <w:cantSplit/>
        </w:trPr>
        <w:tc>
          <w:tcPr>
            <w:tcW w:w="4077" w:type="dxa"/>
            <w:vAlign w:val="center"/>
          </w:tcPr>
          <w:p w14:paraId="3AAF7256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7C22C2C" w14:textId="48E38C77" w:rsidR="001B79E5" w:rsidRDefault="00D23598" w:rsidP="001B79E5">
                <w:pPr>
                  <w:pStyle w:val="Tablefont"/>
                </w:pPr>
                <w:r>
                  <w:t xml:space="preserve">58.71 </w:t>
                </w:r>
                <w:r w:rsidRPr="00B000DC">
                  <w:t>(Metal)</w:t>
                </w:r>
              </w:p>
            </w:tc>
          </w:sdtContent>
        </w:sdt>
      </w:tr>
      <w:tr w:rsidR="00A31D99" w:rsidRPr="004C23F4" w14:paraId="07F89297" w14:textId="77777777" w:rsidTr="00FA20C0">
        <w:trPr>
          <w:cantSplit/>
        </w:trPr>
        <w:tc>
          <w:tcPr>
            <w:tcW w:w="4077" w:type="dxa"/>
            <w:vAlign w:val="center"/>
          </w:tcPr>
          <w:p w14:paraId="107EDE15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E1A749D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290FCDC" w14:textId="77777777" w:rsidTr="00FA20C0">
        <w:trPr>
          <w:cantSplit/>
        </w:trPr>
        <w:tc>
          <w:tcPr>
            <w:tcW w:w="4077" w:type="dxa"/>
            <w:vAlign w:val="center"/>
          </w:tcPr>
          <w:p w14:paraId="661C5F87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989B27B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40FE445" w14:textId="77777777" w:rsidTr="00FA20C0">
        <w:trPr>
          <w:cantSplit/>
        </w:trPr>
        <w:tc>
          <w:tcPr>
            <w:tcW w:w="4077" w:type="dxa"/>
            <w:vAlign w:val="center"/>
          </w:tcPr>
          <w:p w14:paraId="6F417E81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E9EFAFF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5273C97" w14:textId="77777777" w:rsidTr="00FA20C0">
        <w:trPr>
          <w:cantSplit/>
        </w:trPr>
        <w:tc>
          <w:tcPr>
            <w:tcW w:w="4077" w:type="dxa"/>
            <w:vAlign w:val="center"/>
          </w:tcPr>
          <w:p w14:paraId="20B530E4" w14:textId="77777777" w:rsidR="00687890" w:rsidRPr="00263255" w:rsidRDefault="00687890" w:rsidP="00263255">
            <w:pPr>
              <w:pStyle w:val="Tablefont"/>
            </w:pPr>
            <w:r w:rsidRPr="00263255">
              <w:lastRenderedPageBreak/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2215E30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61F8F89A" w14:textId="77777777" w:rsidTr="00FA20C0">
        <w:trPr>
          <w:cantSplit/>
        </w:trPr>
        <w:tc>
          <w:tcPr>
            <w:tcW w:w="4077" w:type="dxa"/>
            <w:vAlign w:val="center"/>
          </w:tcPr>
          <w:p w14:paraId="3D4C4EF0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337D1E1C" w14:textId="34DD4ABD" w:rsidR="00E06F40" w:rsidRPr="00A006A0" w:rsidRDefault="00C40034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D460C"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9B237D">
                  <w:sym w:font="Wingdings" w:char="F0FC"/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27662362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71B209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4682E9C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BD0DF80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E34CFC6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06BF35A1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70790800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B13CECB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41F1494B" w14:textId="2E67890F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5501D166" w14:textId="2FFE3245" w:rsidR="00B000DC" w:rsidRDefault="00B000DC" w:rsidP="00084859">
      <w:r>
        <w:t xml:space="preserve">Australian Institute of Occupational Hygienists (AIOH) Australian Institute of Occupational Hygienists (AIOH) (2016) Position paper Nickel and its compounds – potential for occupational health issues. </w:t>
      </w:r>
    </w:p>
    <w:p w14:paraId="35F07B2F" w14:textId="53BD7F7D" w:rsidR="004B79AC" w:rsidRPr="004B79AC" w:rsidRDefault="004B79AC" w:rsidP="00AA6774">
      <w:pPr>
        <w:rPr>
          <w:b/>
        </w:rPr>
      </w:pPr>
      <w:r w:rsidRPr="002022B6">
        <w:t>Deutsche Forschungsgemeinschaft (DFG)</w:t>
      </w:r>
      <w:r>
        <w:t xml:space="preserve"> (</w:t>
      </w:r>
      <w:r w:rsidR="00D05642">
        <w:t>2010</w:t>
      </w:r>
      <w:r>
        <w:t xml:space="preserve">) </w:t>
      </w:r>
      <w:r w:rsidR="00AA6774">
        <w:t>Nickel and its compounds (in the form of inhalable dusts/aerosols)</w:t>
      </w:r>
      <w:r>
        <w:t xml:space="preserve"> – MAK value documentation.</w:t>
      </w:r>
    </w:p>
    <w:p w14:paraId="3A829570" w14:textId="6A149CBB" w:rsidR="000905C0" w:rsidRDefault="000905C0" w:rsidP="0031347D">
      <w:r w:rsidRPr="002022B6">
        <w:t>EU Scientific Committee on Occupational Exposure Limits (SCOEL)</w:t>
      </w:r>
      <w:r>
        <w:t xml:space="preserve"> (</w:t>
      </w:r>
      <w:sdt>
        <w:sdtPr>
          <w:id w:val="550196045"/>
          <w:placeholder>
            <w:docPart w:val="A92C7C58C64F461A9DE693899EBD6687"/>
          </w:placeholder>
          <w:temporary/>
          <w:showingPlcHdr/>
        </w:sdtPr>
        <w:sdtEndPr/>
        <w:sdtContent>
          <w:r w:rsidRPr="0031347D">
            <w:rPr>
              <w:rStyle w:val="PlaceholderText"/>
              <w:color w:val="auto"/>
            </w:rPr>
            <w:t>2011</w:t>
          </w:r>
        </w:sdtContent>
      </w:sdt>
      <w:r>
        <w:t xml:space="preserve">) Recommendation from the Scientific Committee on Occupational Exposure Limits for </w:t>
      </w:r>
      <w:r w:rsidR="0031347D">
        <w:t>nickel and inorganic nickel compounds</w:t>
      </w:r>
      <w:r>
        <w:t>. SCOEL/</w:t>
      </w:r>
      <w:r w:rsidR="0031347D">
        <w:t>SUM/85</w:t>
      </w:r>
      <w:r>
        <w:t>.</w:t>
      </w:r>
    </w:p>
    <w:p w14:paraId="72D2A20F" w14:textId="31C709F4" w:rsidR="000905C0" w:rsidRDefault="000905C0" w:rsidP="000905C0">
      <w:r w:rsidRPr="002022B6">
        <w:t>Health Council of the Netherlands</w:t>
      </w:r>
      <w:r>
        <w:t xml:space="preserve"> (HCOTN) (</w:t>
      </w:r>
      <w:r w:rsidR="00AD46C8">
        <w:t>2003</w:t>
      </w:r>
      <w:r>
        <w:t xml:space="preserve">) </w:t>
      </w:r>
      <w:r w:rsidR="00AD46C8" w:rsidRPr="00AD46C8">
        <w:t>Nickel and its compounds</w:t>
      </w:r>
      <w:r w:rsidRPr="005F7416">
        <w:t xml:space="preserve">. </w:t>
      </w:r>
      <w:r w:rsidR="00AD46C8" w:rsidRPr="00AD46C8">
        <w:t>Evaluation of the effects on reproduction, recommendation for classification</w:t>
      </w:r>
      <w:r w:rsidRPr="005F7416">
        <w:t xml:space="preserve">. The Hague: Health Council of the Netherlands; publication no. </w:t>
      </w:r>
      <w:r w:rsidR="00AD46C8">
        <w:t>2003/05OSH</w:t>
      </w:r>
      <w:r>
        <w:t>.</w:t>
      </w:r>
    </w:p>
    <w:p w14:paraId="223DC5FD" w14:textId="7C5F1ABB" w:rsidR="00AA6774" w:rsidRDefault="00AA6774" w:rsidP="00F83054">
      <w:pPr>
        <w:rPr>
          <w:b/>
        </w:rPr>
      </w:pPr>
      <w:r w:rsidRPr="002022B6">
        <w:t>International Agency for Research on Cancer</w:t>
      </w:r>
      <w:r w:rsidR="00F83054">
        <w:t xml:space="preserve"> (IARC) (2012). Monographs on the Evaluation of Carcinogenic Risks to Humans, Volume 100C </w:t>
      </w:r>
      <w:r w:rsidR="00F83054">
        <w:rPr>
          <w:rFonts w:ascii="Cambria Math" w:hAnsi="Cambria Math" w:cs="Cambria Math"/>
        </w:rPr>
        <w:t>‐</w:t>
      </w:r>
      <w:r w:rsidR="00F83054">
        <w:rPr>
          <w:rFonts w:cs="Arial"/>
        </w:rPr>
        <w:t> </w:t>
      </w:r>
      <w:r w:rsidR="00F83054">
        <w:t>Arsenic,</w:t>
      </w:r>
      <w:r w:rsidR="00F83054">
        <w:rPr>
          <w:rFonts w:cs="Arial"/>
        </w:rPr>
        <w:t> </w:t>
      </w:r>
      <w:r w:rsidR="00F83054">
        <w:t>Metals,</w:t>
      </w:r>
      <w:r w:rsidR="00F83054">
        <w:rPr>
          <w:rFonts w:cs="Arial"/>
        </w:rPr>
        <w:t> </w:t>
      </w:r>
      <w:r w:rsidR="00F83054">
        <w:t>Fibres</w:t>
      </w:r>
      <w:r w:rsidR="00F83054">
        <w:rPr>
          <w:rFonts w:cs="Arial"/>
        </w:rPr>
        <w:t> </w:t>
      </w:r>
      <w:r w:rsidR="00F83054">
        <w:t>and</w:t>
      </w:r>
      <w:r w:rsidR="00F83054">
        <w:rPr>
          <w:rFonts w:cs="Arial"/>
        </w:rPr>
        <w:t> </w:t>
      </w:r>
      <w:r w:rsidR="00F83054">
        <w:t>Dusts</w:t>
      </w:r>
      <w:r w:rsidR="00F83054">
        <w:rPr>
          <w:rFonts w:cs="Arial"/>
        </w:rPr>
        <w:t> – </w:t>
      </w:r>
      <w:r w:rsidR="00F83054">
        <w:t>Nickel</w:t>
      </w:r>
      <w:r w:rsidR="00F83054">
        <w:rPr>
          <w:rFonts w:cs="Arial"/>
        </w:rPr>
        <w:t> </w:t>
      </w:r>
      <w:r w:rsidR="00F83054">
        <w:t>and</w:t>
      </w:r>
      <w:r w:rsidR="00F83054">
        <w:rPr>
          <w:rFonts w:cs="Arial"/>
        </w:rPr>
        <w:t> </w:t>
      </w:r>
      <w:r w:rsidR="00F83054">
        <w:t>Nickel Compound</w:t>
      </w:r>
    </w:p>
    <w:p w14:paraId="59693702" w14:textId="64588DC7" w:rsidR="000905C0" w:rsidRDefault="000905C0" w:rsidP="000905C0">
      <w:r w:rsidRPr="002022B6">
        <w:t>National Industrial Chemicals Notification and Assessment Scheme (NICNAS)</w:t>
      </w:r>
      <w:r>
        <w:t xml:space="preserve"> (</w:t>
      </w:r>
      <w:r w:rsidR="00000889">
        <w:t>2014</w:t>
      </w:r>
      <w:r>
        <w:t xml:space="preserve">) </w:t>
      </w:r>
      <w:r w:rsidR="00000889">
        <w:t>Nickel</w:t>
      </w:r>
      <w:r w:rsidRPr="0071660C">
        <w:t xml:space="preserve">: Human health </w:t>
      </w:r>
      <w:sdt>
        <w:sdtPr>
          <w:id w:val="-1295753243"/>
          <w:placeholder>
            <w:docPart w:val="750E0E3E597F485DA08D57022EBEF3DC"/>
          </w:placeholder>
          <w:temporary/>
          <w:showingPlcHdr/>
        </w:sdtPr>
        <w:sdtEndPr/>
        <w:sdtContent>
          <w:r w:rsidRPr="00F16B6C">
            <w:t>tier II</w:t>
          </w:r>
        </w:sdtContent>
      </w:sdt>
      <w:r>
        <w:t xml:space="preserve"> </w:t>
      </w:r>
      <w:r w:rsidRPr="0071660C">
        <w:t>assessment</w:t>
      </w:r>
      <w:r>
        <w:t xml:space="preserve"> – IMAP report.</w:t>
      </w:r>
    </w:p>
    <w:p w14:paraId="0A7CD108" w14:textId="77777777" w:rsidR="00ED460C" w:rsidRPr="004B79AC" w:rsidRDefault="00ED460C" w:rsidP="00ED460C">
      <w:r w:rsidRPr="000905C0"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329E2C20" w14:textId="2CE29F24" w:rsidR="00AA6774" w:rsidRDefault="00AA6774" w:rsidP="00AA6774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sdt>
        <w:sdtPr>
          <w:id w:val="-1194999823"/>
          <w:placeholder>
            <w:docPart w:val="3C286BEC0C7149E8ADBDEC92B62EAC43"/>
          </w:placeholder>
          <w:temporary/>
          <w:showingPlcHdr/>
        </w:sdtPr>
        <w:sdtEndPr/>
        <w:sdtContent>
          <w:r w:rsidRPr="009B06B4">
            <w:t>1994</w:t>
          </w:r>
        </w:sdtContent>
      </w:sdt>
      <w:r>
        <w:t xml:space="preserve">) Immediately dangerous to life or health concentrations – </w:t>
      </w:r>
      <w:r w:rsidR="009B06B4">
        <w:t>n</w:t>
      </w:r>
      <w:r w:rsidR="009B06B4" w:rsidRPr="009B06B4">
        <w:t>ickel metal and other compounds (as Ni)</w:t>
      </w:r>
      <w:r>
        <w:t>.</w:t>
      </w:r>
    </w:p>
    <w:p w14:paraId="3FBF7A19" w14:textId="77777777" w:rsidR="00AA6774" w:rsidRDefault="00AA6774" w:rsidP="000905C0">
      <w:pPr>
        <w:rPr>
          <w:b/>
        </w:rPr>
      </w:pPr>
    </w:p>
    <w:p w14:paraId="14847195" w14:textId="77777777" w:rsidR="000905C0" w:rsidRPr="00351FE0" w:rsidRDefault="000905C0" w:rsidP="00084859"/>
    <w:sectPr w:rsidR="000905C0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34F806" w14:textId="77777777" w:rsidR="00845F43" w:rsidRDefault="00845F43" w:rsidP="00F43AD5">
      <w:pPr>
        <w:spacing w:after="0" w:line="240" w:lineRule="auto"/>
      </w:pPr>
      <w:r>
        <w:separator/>
      </w:r>
    </w:p>
  </w:endnote>
  <w:endnote w:type="continuationSeparator" w:id="0">
    <w:p w14:paraId="4C528AFC" w14:textId="77777777" w:rsidR="00845F43" w:rsidRDefault="00845F43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648E2" w14:textId="77777777" w:rsidR="004B08D2" w:rsidRDefault="004B08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3B05C82" w14:textId="0A727C24" w:rsidR="004A02CC" w:rsidRDefault="004A02CC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N</w:t>
        </w:r>
        <w:r w:rsidRPr="00E54E89">
          <w:rPr>
            <w:b/>
            <w:sz w:val="18"/>
            <w:szCs w:val="18"/>
          </w:rPr>
          <w:t>ickel</w:t>
        </w:r>
        <w:r>
          <w:rPr>
            <w:b/>
            <w:sz w:val="18"/>
            <w:szCs w:val="18"/>
          </w:rPr>
          <w:t>,</w:t>
        </w:r>
        <w:r w:rsidRPr="00E54E89">
          <w:rPr>
            <w:b/>
            <w:sz w:val="18"/>
            <w:szCs w:val="18"/>
          </w:rPr>
          <w:t xml:space="preserve"> </w:t>
        </w:r>
        <w:r>
          <w:rPr>
            <w:b/>
            <w:sz w:val="18"/>
            <w:szCs w:val="18"/>
          </w:rPr>
          <w:t xml:space="preserve">metal and </w:t>
        </w:r>
        <w:r w:rsidRPr="00E54E89">
          <w:rPr>
            <w:b/>
            <w:sz w:val="18"/>
            <w:szCs w:val="18"/>
          </w:rPr>
          <w:t xml:space="preserve">insoluble </w:t>
        </w:r>
        <w:r>
          <w:rPr>
            <w:b/>
            <w:sz w:val="18"/>
            <w:szCs w:val="18"/>
          </w:rPr>
          <w:t>compounds (as N</w:t>
        </w:r>
        <w:r w:rsidRPr="00E54E89">
          <w:rPr>
            <w:b/>
            <w:sz w:val="18"/>
            <w:szCs w:val="18"/>
          </w:rPr>
          <w:t>i)</w:t>
        </w:r>
        <w:r>
          <w:rPr>
            <w:b/>
            <w:sz w:val="18"/>
            <w:szCs w:val="18"/>
          </w:rPr>
          <w:t xml:space="preserve"> (7440-02-0)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</w:t>
        </w:r>
        <w:r>
          <w:rPr>
            <w:sz w:val="18"/>
            <w:szCs w:val="18"/>
          </w:rPr>
          <w:t>20</w:t>
        </w:r>
      </w:p>
      <w:p w14:paraId="0FD9C74A" w14:textId="13D6B328" w:rsidR="004A02CC" w:rsidRPr="00F43AD5" w:rsidRDefault="004A02CC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FA20C0">
          <w:rPr>
            <w:noProof/>
            <w:sz w:val="18"/>
            <w:szCs w:val="18"/>
          </w:rPr>
          <w:t>8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DCBA7" w14:textId="77777777" w:rsidR="004B08D2" w:rsidRDefault="004B08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73127" w14:textId="77777777" w:rsidR="00845F43" w:rsidRDefault="00845F43" w:rsidP="00F43AD5">
      <w:pPr>
        <w:spacing w:after="0" w:line="240" w:lineRule="auto"/>
      </w:pPr>
      <w:r>
        <w:separator/>
      </w:r>
    </w:p>
  </w:footnote>
  <w:footnote w:type="continuationSeparator" w:id="0">
    <w:p w14:paraId="26C434EE" w14:textId="77777777" w:rsidR="00845F43" w:rsidRDefault="00845F43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48DC9" w14:textId="46B9C3AA" w:rsidR="004B08D2" w:rsidRDefault="004B08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C1D9F" w14:textId="5F941BE9" w:rsidR="004A02CC" w:rsidRDefault="004A02CC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7771DEF9" wp14:editId="6683FFB9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F4A77" w14:textId="0A890CB9" w:rsidR="004B08D2" w:rsidRDefault="004B08D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BEAA6" w14:textId="1BDAE16F" w:rsidR="004B08D2" w:rsidRDefault="004B08D2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A0526" w14:textId="370730D9" w:rsidR="004A02CC" w:rsidRDefault="004B08D2" w:rsidP="00F43AD5">
    <w:pPr>
      <w:pStyle w:val="Header"/>
      <w:jc w:val="right"/>
    </w:pPr>
    <w:r>
      <w:rPr>
        <w:noProof/>
      </w:rPr>
      <w:drawing>
        <wp:inline distT="0" distB="0" distL="0" distR="0" wp14:anchorId="7EAC3561" wp14:editId="2F88CBF1">
          <wp:extent cx="2938145" cy="59436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F0AFE" w14:textId="4FFF9A9A" w:rsidR="004B08D2" w:rsidRDefault="004B08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542CB34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7CE4CD5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6187679"/>
    <w:multiLevelType w:val="hybridMultilevel"/>
    <w:tmpl w:val="5972D9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4E71903"/>
    <w:multiLevelType w:val="hybridMultilevel"/>
    <w:tmpl w:val="7B84E9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B12817"/>
    <w:multiLevelType w:val="hybridMultilevel"/>
    <w:tmpl w:val="8D6E2BB8"/>
    <w:lvl w:ilvl="0" w:tplc="04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5" w15:restartNumberingAfterBreak="0">
    <w:nsid w:val="175A0B75"/>
    <w:multiLevelType w:val="hybridMultilevel"/>
    <w:tmpl w:val="5B3ED05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4226F2"/>
    <w:multiLevelType w:val="hybridMultilevel"/>
    <w:tmpl w:val="79C28EAA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D360669"/>
    <w:multiLevelType w:val="hybridMultilevel"/>
    <w:tmpl w:val="135C257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79975AB"/>
    <w:multiLevelType w:val="hybridMultilevel"/>
    <w:tmpl w:val="FF0067E6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7940E7D"/>
    <w:multiLevelType w:val="hybridMultilevel"/>
    <w:tmpl w:val="097056D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9C81E71"/>
    <w:multiLevelType w:val="hybridMultilevel"/>
    <w:tmpl w:val="39B2CC2A"/>
    <w:lvl w:ilvl="0" w:tplc="0C09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11" w15:restartNumberingAfterBreak="0">
    <w:nsid w:val="5B581238"/>
    <w:multiLevelType w:val="hybridMultilevel"/>
    <w:tmpl w:val="5D3C602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9AE1734"/>
    <w:multiLevelType w:val="hybridMultilevel"/>
    <w:tmpl w:val="E3DAB454"/>
    <w:lvl w:ilvl="0" w:tplc="DA8CCD7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E91ABE"/>
    <w:multiLevelType w:val="hybridMultilevel"/>
    <w:tmpl w:val="1FB6DFF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04A1613"/>
    <w:multiLevelType w:val="hybridMultilevel"/>
    <w:tmpl w:val="0C2C59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2627220"/>
    <w:multiLevelType w:val="hybridMultilevel"/>
    <w:tmpl w:val="1FAA422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36A6E1F"/>
    <w:multiLevelType w:val="hybridMultilevel"/>
    <w:tmpl w:val="DC06697A"/>
    <w:lvl w:ilvl="0" w:tplc="CC765A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9F6253C"/>
    <w:multiLevelType w:val="hybridMultilevel"/>
    <w:tmpl w:val="64E651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F332564"/>
    <w:multiLevelType w:val="hybridMultilevel"/>
    <w:tmpl w:val="72CECDD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77346717">
    <w:abstractNumId w:val="1"/>
  </w:num>
  <w:num w:numId="2" w16cid:durableId="1278638889">
    <w:abstractNumId w:val="14"/>
  </w:num>
  <w:num w:numId="3" w16cid:durableId="754321793">
    <w:abstractNumId w:val="5"/>
  </w:num>
  <w:num w:numId="4" w16cid:durableId="555893571">
    <w:abstractNumId w:val="18"/>
  </w:num>
  <w:num w:numId="5" w16cid:durableId="1359741252">
    <w:abstractNumId w:val="15"/>
  </w:num>
  <w:num w:numId="6" w16cid:durableId="824125948">
    <w:abstractNumId w:val="9"/>
  </w:num>
  <w:num w:numId="7" w16cid:durableId="1427312280">
    <w:abstractNumId w:val="0"/>
  </w:num>
  <w:num w:numId="8" w16cid:durableId="1651982740">
    <w:abstractNumId w:val="13"/>
  </w:num>
  <w:num w:numId="9" w16cid:durableId="369888482">
    <w:abstractNumId w:val="2"/>
  </w:num>
  <w:num w:numId="10" w16cid:durableId="2018578634">
    <w:abstractNumId w:val="7"/>
  </w:num>
  <w:num w:numId="11" w16cid:durableId="181894989">
    <w:abstractNumId w:val="11"/>
  </w:num>
  <w:num w:numId="12" w16cid:durableId="1129860311">
    <w:abstractNumId w:val="3"/>
  </w:num>
  <w:num w:numId="13" w16cid:durableId="411202808">
    <w:abstractNumId w:val="17"/>
  </w:num>
  <w:num w:numId="14" w16cid:durableId="615908218">
    <w:abstractNumId w:val="12"/>
  </w:num>
  <w:num w:numId="15" w16cid:durableId="715937350">
    <w:abstractNumId w:val="8"/>
  </w:num>
  <w:num w:numId="16" w16cid:durableId="1459101207">
    <w:abstractNumId w:val="10"/>
  </w:num>
  <w:num w:numId="17" w16cid:durableId="1602568077">
    <w:abstractNumId w:val="1"/>
  </w:num>
  <w:num w:numId="18" w16cid:durableId="1846282022">
    <w:abstractNumId w:val="1"/>
  </w:num>
  <w:num w:numId="19" w16cid:durableId="1204486703">
    <w:abstractNumId w:val="4"/>
  </w:num>
  <w:num w:numId="20" w16cid:durableId="1919359605">
    <w:abstractNumId w:val="16"/>
  </w:num>
  <w:num w:numId="21" w16cid:durableId="8203437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102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0889"/>
    <w:rsid w:val="00006D4F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2BC8"/>
    <w:rsid w:val="00084513"/>
    <w:rsid w:val="00084859"/>
    <w:rsid w:val="000905C0"/>
    <w:rsid w:val="00092D94"/>
    <w:rsid w:val="000A2F76"/>
    <w:rsid w:val="000B0868"/>
    <w:rsid w:val="000B1B8D"/>
    <w:rsid w:val="000B3E12"/>
    <w:rsid w:val="000B3E78"/>
    <w:rsid w:val="000B7B48"/>
    <w:rsid w:val="000C096D"/>
    <w:rsid w:val="000C139A"/>
    <w:rsid w:val="000C2053"/>
    <w:rsid w:val="000C248C"/>
    <w:rsid w:val="000D291C"/>
    <w:rsid w:val="000D7D5D"/>
    <w:rsid w:val="000E2933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85D"/>
    <w:rsid w:val="00146B75"/>
    <w:rsid w:val="00147AE7"/>
    <w:rsid w:val="0015266D"/>
    <w:rsid w:val="0015288A"/>
    <w:rsid w:val="00154DDA"/>
    <w:rsid w:val="00160F47"/>
    <w:rsid w:val="001611DC"/>
    <w:rsid w:val="00177CA1"/>
    <w:rsid w:val="0018246A"/>
    <w:rsid w:val="00183823"/>
    <w:rsid w:val="00183942"/>
    <w:rsid w:val="00187BD9"/>
    <w:rsid w:val="00194C4D"/>
    <w:rsid w:val="001A009E"/>
    <w:rsid w:val="001A1287"/>
    <w:rsid w:val="001A3859"/>
    <w:rsid w:val="001A3C9D"/>
    <w:rsid w:val="001A43F8"/>
    <w:rsid w:val="001B79E5"/>
    <w:rsid w:val="001D39D5"/>
    <w:rsid w:val="001D56F0"/>
    <w:rsid w:val="001D663B"/>
    <w:rsid w:val="001D7B41"/>
    <w:rsid w:val="001E297A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201"/>
    <w:rsid w:val="00227EC7"/>
    <w:rsid w:val="00231843"/>
    <w:rsid w:val="00244AD1"/>
    <w:rsid w:val="002463BC"/>
    <w:rsid w:val="002465CE"/>
    <w:rsid w:val="0025734A"/>
    <w:rsid w:val="00263255"/>
    <w:rsid w:val="00276494"/>
    <w:rsid w:val="00277B0C"/>
    <w:rsid w:val="00282A05"/>
    <w:rsid w:val="002B1A2C"/>
    <w:rsid w:val="002C34F2"/>
    <w:rsid w:val="002C4DB4"/>
    <w:rsid w:val="002C58FF"/>
    <w:rsid w:val="002C7AFE"/>
    <w:rsid w:val="002D05D2"/>
    <w:rsid w:val="002D3E9F"/>
    <w:rsid w:val="002E0D61"/>
    <w:rsid w:val="002E4C7B"/>
    <w:rsid w:val="0030740C"/>
    <w:rsid w:val="00307DF1"/>
    <w:rsid w:val="00311FC7"/>
    <w:rsid w:val="0031347D"/>
    <w:rsid w:val="00315833"/>
    <w:rsid w:val="003215EE"/>
    <w:rsid w:val="003224BF"/>
    <w:rsid w:val="003227B9"/>
    <w:rsid w:val="003241A8"/>
    <w:rsid w:val="003253F0"/>
    <w:rsid w:val="003337DA"/>
    <w:rsid w:val="00334EFB"/>
    <w:rsid w:val="00335CDE"/>
    <w:rsid w:val="003365A5"/>
    <w:rsid w:val="00337DB4"/>
    <w:rsid w:val="003435A5"/>
    <w:rsid w:val="00347192"/>
    <w:rsid w:val="0034744C"/>
    <w:rsid w:val="00351FE0"/>
    <w:rsid w:val="00352615"/>
    <w:rsid w:val="0035412B"/>
    <w:rsid w:val="003567A8"/>
    <w:rsid w:val="003600D3"/>
    <w:rsid w:val="00362895"/>
    <w:rsid w:val="00370DBF"/>
    <w:rsid w:val="00373D82"/>
    <w:rsid w:val="00386093"/>
    <w:rsid w:val="003904A4"/>
    <w:rsid w:val="00391841"/>
    <w:rsid w:val="00391B6D"/>
    <w:rsid w:val="00394922"/>
    <w:rsid w:val="003A0E32"/>
    <w:rsid w:val="003A12E5"/>
    <w:rsid w:val="003A161C"/>
    <w:rsid w:val="003A2B94"/>
    <w:rsid w:val="003A6115"/>
    <w:rsid w:val="003B387D"/>
    <w:rsid w:val="003B5A0D"/>
    <w:rsid w:val="003C0D58"/>
    <w:rsid w:val="003C35BE"/>
    <w:rsid w:val="003D4FA3"/>
    <w:rsid w:val="003D571B"/>
    <w:rsid w:val="003E0807"/>
    <w:rsid w:val="003E51FB"/>
    <w:rsid w:val="003E6B39"/>
    <w:rsid w:val="003F07E1"/>
    <w:rsid w:val="003F2019"/>
    <w:rsid w:val="003F464D"/>
    <w:rsid w:val="004030BC"/>
    <w:rsid w:val="00403F7D"/>
    <w:rsid w:val="00406785"/>
    <w:rsid w:val="004079B4"/>
    <w:rsid w:val="00417A56"/>
    <w:rsid w:val="00420957"/>
    <w:rsid w:val="00422A10"/>
    <w:rsid w:val="00430179"/>
    <w:rsid w:val="004334D3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3923"/>
    <w:rsid w:val="00474E33"/>
    <w:rsid w:val="00476803"/>
    <w:rsid w:val="00485BFD"/>
    <w:rsid w:val="004867A2"/>
    <w:rsid w:val="00487367"/>
    <w:rsid w:val="004873F2"/>
    <w:rsid w:val="00490D4C"/>
    <w:rsid w:val="00493A35"/>
    <w:rsid w:val="0049527A"/>
    <w:rsid w:val="004966BF"/>
    <w:rsid w:val="00497984"/>
    <w:rsid w:val="004A02CC"/>
    <w:rsid w:val="004A5088"/>
    <w:rsid w:val="004B08D2"/>
    <w:rsid w:val="004B79AC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5504"/>
    <w:rsid w:val="004F65E8"/>
    <w:rsid w:val="0050005E"/>
    <w:rsid w:val="00502B88"/>
    <w:rsid w:val="005142C4"/>
    <w:rsid w:val="0051509C"/>
    <w:rsid w:val="005271E5"/>
    <w:rsid w:val="005272E2"/>
    <w:rsid w:val="00527892"/>
    <w:rsid w:val="0053108F"/>
    <w:rsid w:val="00532B56"/>
    <w:rsid w:val="00534B10"/>
    <w:rsid w:val="0053721C"/>
    <w:rsid w:val="00543501"/>
    <w:rsid w:val="005446A2"/>
    <w:rsid w:val="00544D2F"/>
    <w:rsid w:val="00551BD8"/>
    <w:rsid w:val="005664E2"/>
    <w:rsid w:val="005707D2"/>
    <w:rsid w:val="005718C7"/>
    <w:rsid w:val="00581055"/>
    <w:rsid w:val="00591070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5F5FE9"/>
    <w:rsid w:val="006013C1"/>
    <w:rsid w:val="00602895"/>
    <w:rsid w:val="0060669E"/>
    <w:rsid w:val="00610F2E"/>
    <w:rsid w:val="00611399"/>
    <w:rsid w:val="00624C4E"/>
    <w:rsid w:val="00625200"/>
    <w:rsid w:val="006363A8"/>
    <w:rsid w:val="00636DB7"/>
    <w:rsid w:val="0064145F"/>
    <w:rsid w:val="006465ED"/>
    <w:rsid w:val="00650905"/>
    <w:rsid w:val="006532ED"/>
    <w:rsid w:val="006549F2"/>
    <w:rsid w:val="006567B7"/>
    <w:rsid w:val="00657BFB"/>
    <w:rsid w:val="0066333C"/>
    <w:rsid w:val="006639B4"/>
    <w:rsid w:val="006650FE"/>
    <w:rsid w:val="00665FF6"/>
    <w:rsid w:val="00667717"/>
    <w:rsid w:val="0067305D"/>
    <w:rsid w:val="00677D9B"/>
    <w:rsid w:val="00683CB7"/>
    <w:rsid w:val="006867F3"/>
    <w:rsid w:val="00687890"/>
    <w:rsid w:val="006901A2"/>
    <w:rsid w:val="00690368"/>
    <w:rsid w:val="0069079C"/>
    <w:rsid w:val="00690B53"/>
    <w:rsid w:val="006932F9"/>
    <w:rsid w:val="00695B72"/>
    <w:rsid w:val="006B160A"/>
    <w:rsid w:val="006B4E6C"/>
    <w:rsid w:val="006B50B6"/>
    <w:rsid w:val="006C2D11"/>
    <w:rsid w:val="006D79EA"/>
    <w:rsid w:val="006E5D05"/>
    <w:rsid w:val="00701053"/>
    <w:rsid w:val="00701507"/>
    <w:rsid w:val="007033DA"/>
    <w:rsid w:val="0070473C"/>
    <w:rsid w:val="00710342"/>
    <w:rsid w:val="00712AF3"/>
    <w:rsid w:val="00714021"/>
    <w:rsid w:val="00716A0F"/>
    <w:rsid w:val="00717D45"/>
    <w:rsid w:val="007208F7"/>
    <w:rsid w:val="007218AF"/>
    <w:rsid w:val="00732666"/>
    <w:rsid w:val="00735A5F"/>
    <w:rsid w:val="007365D1"/>
    <w:rsid w:val="00740E0E"/>
    <w:rsid w:val="0074682F"/>
    <w:rsid w:val="00750212"/>
    <w:rsid w:val="00754779"/>
    <w:rsid w:val="0075671E"/>
    <w:rsid w:val="0075716D"/>
    <w:rsid w:val="00765F14"/>
    <w:rsid w:val="00770E31"/>
    <w:rsid w:val="007770F1"/>
    <w:rsid w:val="00782464"/>
    <w:rsid w:val="00783FB1"/>
    <w:rsid w:val="00784DC2"/>
    <w:rsid w:val="00785CDD"/>
    <w:rsid w:val="00791847"/>
    <w:rsid w:val="007925F0"/>
    <w:rsid w:val="007939B3"/>
    <w:rsid w:val="0079509C"/>
    <w:rsid w:val="00796708"/>
    <w:rsid w:val="007B1B42"/>
    <w:rsid w:val="007B72D1"/>
    <w:rsid w:val="007C30EB"/>
    <w:rsid w:val="007E0130"/>
    <w:rsid w:val="007E063C"/>
    <w:rsid w:val="007E0ABA"/>
    <w:rsid w:val="007E2A4B"/>
    <w:rsid w:val="007E307D"/>
    <w:rsid w:val="007E6A4E"/>
    <w:rsid w:val="007E6C94"/>
    <w:rsid w:val="007F1005"/>
    <w:rsid w:val="007F25E0"/>
    <w:rsid w:val="007F5328"/>
    <w:rsid w:val="0080009E"/>
    <w:rsid w:val="00804F5A"/>
    <w:rsid w:val="00810C6D"/>
    <w:rsid w:val="00812887"/>
    <w:rsid w:val="00826F21"/>
    <w:rsid w:val="00831C1C"/>
    <w:rsid w:val="008344FE"/>
    <w:rsid w:val="00834CC8"/>
    <w:rsid w:val="00835E00"/>
    <w:rsid w:val="00837113"/>
    <w:rsid w:val="008414E4"/>
    <w:rsid w:val="00843E21"/>
    <w:rsid w:val="0084508E"/>
    <w:rsid w:val="00845F43"/>
    <w:rsid w:val="00857A8A"/>
    <w:rsid w:val="008608BC"/>
    <w:rsid w:val="0086305F"/>
    <w:rsid w:val="008630EE"/>
    <w:rsid w:val="00864D13"/>
    <w:rsid w:val="00871CD5"/>
    <w:rsid w:val="008745A2"/>
    <w:rsid w:val="008768A8"/>
    <w:rsid w:val="00881CF9"/>
    <w:rsid w:val="0088798F"/>
    <w:rsid w:val="00887E4B"/>
    <w:rsid w:val="008915C8"/>
    <w:rsid w:val="008A36CF"/>
    <w:rsid w:val="008A3BC4"/>
    <w:rsid w:val="008B016B"/>
    <w:rsid w:val="008B1F15"/>
    <w:rsid w:val="008B403C"/>
    <w:rsid w:val="008B7983"/>
    <w:rsid w:val="008C2511"/>
    <w:rsid w:val="008D026D"/>
    <w:rsid w:val="008D215D"/>
    <w:rsid w:val="008D23AB"/>
    <w:rsid w:val="008D4B8B"/>
    <w:rsid w:val="008D5A78"/>
    <w:rsid w:val="008E634B"/>
    <w:rsid w:val="008E7B64"/>
    <w:rsid w:val="008F5DCD"/>
    <w:rsid w:val="008F7198"/>
    <w:rsid w:val="00900951"/>
    <w:rsid w:val="009038DA"/>
    <w:rsid w:val="009118A6"/>
    <w:rsid w:val="00916909"/>
    <w:rsid w:val="00916EC0"/>
    <w:rsid w:val="00916F04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0842"/>
    <w:rsid w:val="00984920"/>
    <w:rsid w:val="009852AB"/>
    <w:rsid w:val="0099303A"/>
    <w:rsid w:val="009971C2"/>
    <w:rsid w:val="009A1254"/>
    <w:rsid w:val="009A4A6B"/>
    <w:rsid w:val="009B06B4"/>
    <w:rsid w:val="009B237D"/>
    <w:rsid w:val="009B2FF2"/>
    <w:rsid w:val="009B380C"/>
    <w:rsid w:val="009B4843"/>
    <w:rsid w:val="009B6543"/>
    <w:rsid w:val="009C199D"/>
    <w:rsid w:val="009C278F"/>
    <w:rsid w:val="009C2B94"/>
    <w:rsid w:val="009C5874"/>
    <w:rsid w:val="009C65B4"/>
    <w:rsid w:val="009C7D8B"/>
    <w:rsid w:val="009D3B5A"/>
    <w:rsid w:val="009E0C05"/>
    <w:rsid w:val="009E0D1C"/>
    <w:rsid w:val="009E2214"/>
    <w:rsid w:val="009E355A"/>
    <w:rsid w:val="009E63E2"/>
    <w:rsid w:val="009E7D18"/>
    <w:rsid w:val="009F04D2"/>
    <w:rsid w:val="009F05CF"/>
    <w:rsid w:val="009F0F3A"/>
    <w:rsid w:val="00A01D0C"/>
    <w:rsid w:val="00A0643F"/>
    <w:rsid w:val="00A06712"/>
    <w:rsid w:val="00A067EE"/>
    <w:rsid w:val="00A10FCE"/>
    <w:rsid w:val="00A12E7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30BB"/>
    <w:rsid w:val="00A47A1C"/>
    <w:rsid w:val="00A50A11"/>
    <w:rsid w:val="00A53681"/>
    <w:rsid w:val="00A619D8"/>
    <w:rsid w:val="00A633D4"/>
    <w:rsid w:val="00A6461A"/>
    <w:rsid w:val="00A74992"/>
    <w:rsid w:val="00A84504"/>
    <w:rsid w:val="00A8672F"/>
    <w:rsid w:val="00A90440"/>
    <w:rsid w:val="00A93057"/>
    <w:rsid w:val="00A93B0D"/>
    <w:rsid w:val="00A968B0"/>
    <w:rsid w:val="00AA51BB"/>
    <w:rsid w:val="00AA6774"/>
    <w:rsid w:val="00AB2672"/>
    <w:rsid w:val="00AB2817"/>
    <w:rsid w:val="00AB43C4"/>
    <w:rsid w:val="00AB7C60"/>
    <w:rsid w:val="00AC32E7"/>
    <w:rsid w:val="00AC3A9F"/>
    <w:rsid w:val="00AC6D2F"/>
    <w:rsid w:val="00AD0D95"/>
    <w:rsid w:val="00AD3722"/>
    <w:rsid w:val="00AD46C8"/>
    <w:rsid w:val="00AE2745"/>
    <w:rsid w:val="00AE2F64"/>
    <w:rsid w:val="00AE4D06"/>
    <w:rsid w:val="00AF42CB"/>
    <w:rsid w:val="00AF483F"/>
    <w:rsid w:val="00AF5E07"/>
    <w:rsid w:val="00AF5F06"/>
    <w:rsid w:val="00AF6C4D"/>
    <w:rsid w:val="00B000DC"/>
    <w:rsid w:val="00B00A25"/>
    <w:rsid w:val="00B1422A"/>
    <w:rsid w:val="00B1765C"/>
    <w:rsid w:val="00B213C4"/>
    <w:rsid w:val="00B40C60"/>
    <w:rsid w:val="00B468C0"/>
    <w:rsid w:val="00B479A9"/>
    <w:rsid w:val="00B52EDF"/>
    <w:rsid w:val="00B54413"/>
    <w:rsid w:val="00B54DAB"/>
    <w:rsid w:val="00B71188"/>
    <w:rsid w:val="00B76A41"/>
    <w:rsid w:val="00B81481"/>
    <w:rsid w:val="00B87D4C"/>
    <w:rsid w:val="00B93646"/>
    <w:rsid w:val="00B9704B"/>
    <w:rsid w:val="00BA0B38"/>
    <w:rsid w:val="00BA1DBB"/>
    <w:rsid w:val="00BA4510"/>
    <w:rsid w:val="00BA529A"/>
    <w:rsid w:val="00BA6D82"/>
    <w:rsid w:val="00BB612A"/>
    <w:rsid w:val="00BB6811"/>
    <w:rsid w:val="00BD40F3"/>
    <w:rsid w:val="00BD499F"/>
    <w:rsid w:val="00BD56DE"/>
    <w:rsid w:val="00BD5AAC"/>
    <w:rsid w:val="00BE01E6"/>
    <w:rsid w:val="00BF2406"/>
    <w:rsid w:val="00C05F11"/>
    <w:rsid w:val="00C06E43"/>
    <w:rsid w:val="00C16315"/>
    <w:rsid w:val="00C20C8F"/>
    <w:rsid w:val="00C3091E"/>
    <w:rsid w:val="00C315D0"/>
    <w:rsid w:val="00C40034"/>
    <w:rsid w:val="00C40FF1"/>
    <w:rsid w:val="00C419E2"/>
    <w:rsid w:val="00C429DD"/>
    <w:rsid w:val="00C5020E"/>
    <w:rsid w:val="00C57452"/>
    <w:rsid w:val="00C61EDF"/>
    <w:rsid w:val="00C6239D"/>
    <w:rsid w:val="00C63F92"/>
    <w:rsid w:val="00C6594B"/>
    <w:rsid w:val="00C67FFB"/>
    <w:rsid w:val="00C7155E"/>
    <w:rsid w:val="00C71D1E"/>
    <w:rsid w:val="00C71D7D"/>
    <w:rsid w:val="00C74833"/>
    <w:rsid w:val="00C74BC1"/>
    <w:rsid w:val="00C850A0"/>
    <w:rsid w:val="00C85A86"/>
    <w:rsid w:val="00C978F0"/>
    <w:rsid w:val="00CA58FE"/>
    <w:rsid w:val="00CB1CB1"/>
    <w:rsid w:val="00CB6BC1"/>
    <w:rsid w:val="00CB6CB8"/>
    <w:rsid w:val="00CC09EE"/>
    <w:rsid w:val="00CC1A68"/>
    <w:rsid w:val="00CC2123"/>
    <w:rsid w:val="00CD2BFD"/>
    <w:rsid w:val="00CD6339"/>
    <w:rsid w:val="00CE5AD6"/>
    <w:rsid w:val="00CE617F"/>
    <w:rsid w:val="00CE78EF"/>
    <w:rsid w:val="00CF0278"/>
    <w:rsid w:val="00D048F7"/>
    <w:rsid w:val="00D0517E"/>
    <w:rsid w:val="00D05642"/>
    <w:rsid w:val="00D140FC"/>
    <w:rsid w:val="00D21D8C"/>
    <w:rsid w:val="00D23598"/>
    <w:rsid w:val="00D31357"/>
    <w:rsid w:val="00D33220"/>
    <w:rsid w:val="00D334D1"/>
    <w:rsid w:val="00D35C11"/>
    <w:rsid w:val="00D44C89"/>
    <w:rsid w:val="00D516CD"/>
    <w:rsid w:val="00D618E9"/>
    <w:rsid w:val="00D668E6"/>
    <w:rsid w:val="00D70670"/>
    <w:rsid w:val="00D720C6"/>
    <w:rsid w:val="00D74D80"/>
    <w:rsid w:val="00D76624"/>
    <w:rsid w:val="00D85902"/>
    <w:rsid w:val="00D87570"/>
    <w:rsid w:val="00D91CB9"/>
    <w:rsid w:val="00D97989"/>
    <w:rsid w:val="00D97D8D"/>
    <w:rsid w:val="00DA24DD"/>
    <w:rsid w:val="00DA352E"/>
    <w:rsid w:val="00DA6121"/>
    <w:rsid w:val="00DC113B"/>
    <w:rsid w:val="00DC48B0"/>
    <w:rsid w:val="00DC7694"/>
    <w:rsid w:val="00DD0371"/>
    <w:rsid w:val="00DD0D91"/>
    <w:rsid w:val="00DD1BF6"/>
    <w:rsid w:val="00DD2F9B"/>
    <w:rsid w:val="00DD5227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52B09"/>
    <w:rsid w:val="00E54E89"/>
    <w:rsid w:val="00E60F04"/>
    <w:rsid w:val="00E62AAC"/>
    <w:rsid w:val="00E67C2F"/>
    <w:rsid w:val="00E67EF5"/>
    <w:rsid w:val="00E72583"/>
    <w:rsid w:val="00E74EDD"/>
    <w:rsid w:val="00E804EA"/>
    <w:rsid w:val="00E80A07"/>
    <w:rsid w:val="00E80A71"/>
    <w:rsid w:val="00E82337"/>
    <w:rsid w:val="00E92499"/>
    <w:rsid w:val="00E932D0"/>
    <w:rsid w:val="00E936BA"/>
    <w:rsid w:val="00E949AF"/>
    <w:rsid w:val="00E96077"/>
    <w:rsid w:val="00EA057C"/>
    <w:rsid w:val="00EA0A06"/>
    <w:rsid w:val="00EA6243"/>
    <w:rsid w:val="00EA74AB"/>
    <w:rsid w:val="00EB29D0"/>
    <w:rsid w:val="00EB3D1B"/>
    <w:rsid w:val="00EB7F3E"/>
    <w:rsid w:val="00EC311A"/>
    <w:rsid w:val="00ED1D89"/>
    <w:rsid w:val="00ED3ACD"/>
    <w:rsid w:val="00ED460C"/>
    <w:rsid w:val="00ED66BC"/>
    <w:rsid w:val="00ED7638"/>
    <w:rsid w:val="00EE19A3"/>
    <w:rsid w:val="00EF233A"/>
    <w:rsid w:val="00EF303E"/>
    <w:rsid w:val="00EF3A40"/>
    <w:rsid w:val="00EF7F78"/>
    <w:rsid w:val="00F01B08"/>
    <w:rsid w:val="00F01C4D"/>
    <w:rsid w:val="00F01CDB"/>
    <w:rsid w:val="00F053FA"/>
    <w:rsid w:val="00F06D4D"/>
    <w:rsid w:val="00F10C97"/>
    <w:rsid w:val="00F11C71"/>
    <w:rsid w:val="00F16019"/>
    <w:rsid w:val="00F16B6C"/>
    <w:rsid w:val="00F20E68"/>
    <w:rsid w:val="00F22093"/>
    <w:rsid w:val="00F236DF"/>
    <w:rsid w:val="00F34453"/>
    <w:rsid w:val="00F43AD5"/>
    <w:rsid w:val="00F4402E"/>
    <w:rsid w:val="00F50B4D"/>
    <w:rsid w:val="00F56DD0"/>
    <w:rsid w:val="00F6491C"/>
    <w:rsid w:val="00F67BBB"/>
    <w:rsid w:val="00F83054"/>
    <w:rsid w:val="00F87D92"/>
    <w:rsid w:val="00F90AA7"/>
    <w:rsid w:val="00F92498"/>
    <w:rsid w:val="00F9496B"/>
    <w:rsid w:val="00F970C9"/>
    <w:rsid w:val="00FA06A8"/>
    <w:rsid w:val="00FA20C0"/>
    <w:rsid w:val="00FA3DF5"/>
    <w:rsid w:val="00FA741F"/>
    <w:rsid w:val="00FB4E07"/>
    <w:rsid w:val="00FB755A"/>
    <w:rsid w:val="00FC60A2"/>
    <w:rsid w:val="00FD1871"/>
    <w:rsid w:val="00FD24B7"/>
    <w:rsid w:val="00FD3110"/>
    <w:rsid w:val="00FE308D"/>
    <w:rsid w:val="00FE5AD0"/>
    <w:rsid w:val="00FF0C28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7"/>
    <o:shapelayout v:ext="edit">
      <o:idmap v:ext="edit" data="1"/>
    </o:shapelayout>
  </w:shapeDefaults>
  <w:decimalSymbol w:val="."/>
  <w:listSeparator w:val=","/>
  <w14:docId w14:val="34EB0956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AE4D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4D0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4D06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D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D06"/>
    <w:rPr>
      <w:b/>
      <w:bCs/>
      <w:szCs w:val="20"/>
    </w:rPr>
  </w:style>
  <w:style w:type="table" w:styleId="LightShading-Accent2">
    <w:name w:val="Light Shading Accent 2"/>
    <w:aliases w:val="SWA Table Style"/>
    <w:basedOn w:val="TableNormal"/>
    <w:uiPriority w:val="60"/>
    <w:rsid w:val="000905C0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DA6121"/>
    <w:pPr>
      <w:numPr>
        <w:numId w:val="1"/>
      </w:numPr>
      <w:contextualSpacing/>
    </w:pPr>
  </w:style>
  <w:style w:type="paragraph" w:styleId="ListNumber">
    <w:name w:val="List Number"/>
    <w:basedOn w:val="Normal"/>
    <w:uiPriority w:val="99"/>
    <w:unhideWhenUsed/>
    <w:rsid w:val="00231843"/>
    <w:pPr>
      <w:numPr>
        <w:numId w:val="7"/>
      </w:numPr>
      <w:contextualSpacing/>
    </w:pPr>
  </w:style>
  <w:style w:type="paragraph" w:styleId="Revision">
    <w:name w:val="Revision"/>
    <w:hidden/>
    <w:uiPriority w:val="99"/>
    <w:semiHidden/>
    <w:rsid w:val="003227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29D96B65566944F4988BAEB665EF78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844377-69B3-4023-8099-F52F57137B43}"/>
      </w:docPartPr>
      <w:docPartBody>
        <w:p w:rsidR="00D21A9F" w:rsidRDefault="00D21A9F">
          <w:pPr>
            <w:pStyle w:val="29D96B65566944F4988BAEB665EF7897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A92C7C58C64F461A9DE693899EBD6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C1D6A4-05FE-40C2-AF0C-A9896504F7D6}"/>
      </w:docPartPr>
      <w:docPartBody>
        <w:p w:rsidR="007F3B16" w:rsidRDefault="00792C35" w:rsidP="00792C35">
          <w:pPr>
            <w:pStyle w:val="A92C7C58C64F461A9DE693899EBD6687"/>
          </w:pPr>
          <w:r w:rsidRPr="00F02F8D">
            <w:rPr>
              <w:rStyle w:val="PlaceholderText"/>
              <w:rFonts w:eastAsiaTheme="minorHAnsi"/>
              <w:color w:val="00B050"/>
            </w:rPr>
            <w:t>2011</w:t>
          </w:r>
        </w:p>
      </w:docPartBody>
    </w:docPart>
    <w:docPart>
      <w:docPartPr>
        <w:name w:val="750E0E3E597F485DA08D57022EBEF3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8D48AB-64F5-482A-9470-2510B4F08A48}"/>
      </w:docPartPr>
      <w:docPartBody>
        <w:p w:rsidR="007F3B16" w:rsidRDefault="00792C35" w:rsidP="00792C35">
          <w:pPr>
            <w:pStyle w:val="750E0E3E597F485DA08D57022EBEF3DC"/>
          </w:pPr>
          <w:r>
            <w:rPr>
              <w:color w:val="00B050"/>
            </w:rPr>
            <w:t>tier </w:t>
          </w:r>
          <w:r w:rsidRPr="0071660C">
            <w:rPr>
              <w:color w:val="00B050"/>
            </w:rPr>
            <w:t>II</w:t>
          </w:r>
        </w:p>
      </w:docPartBody>
    </w:docPart>
    <w:docPart>
      <w:docPartPr>
        <w:name w:val="3C286BEC0C7149E8ADBDEC92B62EAC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52CB9E-FCB5-4392-BB3D-545A8CC7B11B}"/>
      </w:docPartPr>
      <w:docPartBody>
        <w:p w:rsidR="007F3B16" w:rsidRDefault="00792C35" w:rsidP="00792C35">
          <w:pPr>
            <w:pStyle w:val="3C286BEC0C7149E8ADBDEC92B62EAC43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8E5047EC650F4602A41E441DE232A4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582DF8-CF16-4CFD-B2FD-DD664F38FC26}"/>
      </w:docPartPr>
      <w:docPartBody>
        <w:p w:rsidR="0036242F" w:rsidRDefault="00B42744" w:rsidP="00B42744">
          <w:pPr>
            <w:pStyle w:val="8E5047EC650F4602A41E441DE232A4CF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6242F"/>
    <w:rsid w:val="003C0D55"/>
    <w:rsid w:val="00792C35"/>
    <w:rsid w:val="007F3B16"/>
    <w:rsid w:val="00AA5165"/>
    <w:rsid w:val="00B42744"/>
    <w:rsid w:val="00C74BC1"/>
    <w:rsid w:val="00D21A9F"/>
    <w:rsid w:val="00F1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42744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29D96B65566944F4988BAEB665EF7897">
    <w:name w:val="29D96B65566944F4988BAEB665EF7897"/>
  </w:style>
  <w:style w:type="paragraph" w:customStyle="1" w:styleId="C2B44F29000D47BD8588D2D5E8DFA6C8">
    <w:name w:val="C2B44F29000D47BD8588D2D5E8DFA6C8"/>
  </w:style>
  <w:style w:type="paragraph" w:customStyle="1" w:styleId="20BC8D26515A4C11AC6304FB75A7CBAD">
    <w:name w:val="20BC8D26515A4C11AC6304FB75A7CBAD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A92C7C58C64F461A9DE693899EBD6687">
    <w:name w:val="A92C7C58C64F461A9DE693899EBD6687"/>
    <w:rsid w:val="00792C35"/>
    <w:rPr>
      <w:lang w:val="en-US" w:eastAsia="en-US"/>
    </w:rPr>
  </w:style>
  <w:style w:type="paragraph" w:customStyle="1" w:styleId="750E0E3E597F485DA08D57022EBEF3DC">
    <w:name w:val="750E0E3E597F485DA08D57022EBEF3DC"/>
    <w:rsid w:val="00792C35"/>
    <w:rPr>
      <w:lang w:val="en-US" w:eastAsia="en-US"/>
    </w:rPr>
  </w:style>
  <w:style w:type="paragraph" w:customStyle="1" w:styleId="3C286BEC0C7149E8ADBDEC92B62EAC43">
    <w:name w:val="3C286BEC0C7149E8ADBDEC92B62EAC43"/>
    <w:rsid w:val="00792C35"/>
    <w:rPr>
      <w:lang w:val="en-US" w:eastAsia="en-US"/>
    </w:rPr>
  </w:style>
  <w:style w:type="paragraph" w:customStyle="1" w:styleId="8E5047EC650F4602A41E441DE232A4CF">
    <w:name w:val="8E5047EC650F4602A41E441DE232A4CF"/>
    <w:rsid w:val="00B4274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20BB143-B065-4D45-A325-EC8C6C07AE24}"/>
</file>

<file path=customXml/itemProps2.xml><?xml version="1.0" encoding="utf-8"?>
<ds:datastoreItem xmlns:ds="http://schemas.openxmlformats.org/officeDocument/2006/customXml" ds:itemID="{33D07643-B6BF-470E-8203-52FB277C67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elements/1.1/"/>
    <ds:schemaRef ds:uri="http://purl.org/dc/terms/"/>
    <ds:schemaRef ds:uri="bf54d604-3e62-4e70-ba33-9e9084b96a66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1699</TotalTime>
  <Pages>8</Pages>
  <Words>2477</Words>
  <Characters>14123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16567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135</cp:revision>
  <cp:lastPrinted>2018-10-22T22:41:00Z</cp:lastPrinted>
  <dcterms:created xsi:type="dcterms:W3CDTF">2019-04-14T23:55:00Z</dcterms:created>
  <dcterms:modified xsi:type="dcterms:W3CDTF">2026-01-02T05:19:00Z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2026-01-02T05:19:31Z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579584d1-d394-4884-8119-23227439d98c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