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1D0A40A" w14:textId="2C9B0AC6" w:rsidR="00BD499F" w:rsidRPr="004C23F4" w:rsidRDefault="00942C0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Methomyl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59"/>
        <w:gridCol w:w="5067"/>
      </w:tblGrid>
      <w:tr w:rsidR="00F43AD5" w:rsidRPr="004C23F4" w14:paraId="1DF8AC08" w14:textId="77777777" w:rsidTr="00B76A41">
        <w:trPr>
          <w:cantSplit/>
          <w:tblHeader/>
        </w:trPr>
        <w:tc>
          <w:tcPr>
            <w:tcW w:w="4077" w:type="dxa"/>
          </w:tcPr>
          <w:p w14:paraId="5C31E10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092E21A" w14:textId="0CF8483A" w:rsidR="00F43AD5" w:rsidRPr="00717D45" w:rsidRDefault="00FF5228" w:rsidP="00B76A41">
            <w:pPr>
              <w:pStyle w:val="Tablefont"/>
            </w:pPr>
            <w:r w:rsidRPr="00FF5228">
              <w:t>16752-77-5</w:t>
            </w:r>
          </w:p>
        </w:tc>
      </w:tr>
      <w:tr w:rsidR="00F43AD5" w:rsidRPr="004C23F4" w14:paraId="12A183BE" w14:textId="77777777" w:rsidTr="00B76A41">
        <w:trPr>
          <w:cantSplit/>
        </w:trPr>
        <w:tc>
          <w:tcPr>
            <w:tcW w:w="4077" w:type="dxa"/>
          </w:tcPr>
          <w:p w14:paraId="67EC654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2F741BA" w14:textId="4AD019FF" w:rsidR="00F43AD5" w:rsidRPr="00BD7442" w:rsidRDefault="00FF5228" w:rsidP="00B76A41">
            <w:pPr>
              <w:pStyle w:val="Tablefont"/>
            </w:pPr>
            <w:r w:rsidRPr="00FF5228">
              <w:t>Lannate</w:t>
            </w:r>
            <w:r w:rsidR="00E52A88">
              <w:t xml:space="preserve"> (dupont 1179), </w:t>
            </w:r>
            <w:r w:rsidR="00BA06D0">
              <w:t>methavin</w:t>
            </w:r>
            <w:r w:rsidR="00E52A88">
              <w:t>, s-methyl-n[(methylcarbamoyl)oxyl]-thioacetimidate, nudrin</w:t>
            </w:r>
            <w:r w:rsidR="00BD7442">
              <w:t>,</w:t>
            </w:r>
            <w:r w:rsidR="00BD7442" w:rsidRPr="005527FA">
              <w:t xml:space="preserve"> Ethanimidothioic acid, N</w:t>
            </w:r>
            <w:r w:rsidR="00BD7442">
              <w:t>-[[(methylamino)carbonyl]oxy]-</w:t>
            </w:r>
            <w:r w:rsidR="00BD7442" w:rsidRPr="005527FA">
              <w:t>methyl ester</w:t>
            </w:r>
          </w:p>
        </w:tc>
      </w:tr>
      <w:tr w:rsidR="00F43AD5" w:rsidRPr="004C23F4" w14:paraId="2EBA7E53" w14:textId="77777777" w:rsidTr="00B76A41">
        <w:trPr>
          <w:cantSplit/>
        </w:trPr>
        <w:tc>
          <w:tcPr>
            <w:tcW w:w="4077" w:type="dxa"/>
          </w:tcPr>
          <w:p w14:paraId="5947DD9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50C2A2B" w14:textId="54FF8047" w:rsidR="00F43AD5" w:rsidRPr="00717D45" w:rsidRDefault="00FF5228" w:rsidP="00B76A41">
            <w:pPr>
              <w:pStyle w:val="Tablefont"/>
            </w:pPr>
            <w:r>
              <w:t>C</w:t>
            </w:r>
            <w:r w:rsidRPr="00FF5228">
              <w:rPr>
                <w:vertAlign w:val="subscript"/>
              </w:rPr>
              <w:t>5</w:t>
            </w:r>
            <w:r>
              <w:t>H</w:t>
            </w:r>
            <w:r w:rsidRPr="00FF5228">
              <w:rPr>
                <w:vertAlign w:val="subscript"/>
              </w:rPr>
              <w:t>10</w:t>
            </w:r>
            <w:r>
              <w:t>N</w:t>
            </w:r>
            <w:r w:rsidRPr="00FF5228">
              <w:rPr>
                <w:vertAlign w:val="subscript"/>
              </w:rPr>
              <w:t>2</w:t>
            </w:r>
            <w:r>
              <w:t>O</w:t>
            </w:r>
            <w:r w:rsidRPr="00FF5228">
              <w:rPr>
                <w:vertAlign w:val="subscript"/>
              </w:rPr>
              <w:t>2</w:t>
            </w:r>
            <w:r>
              <w:t>S</w:t>
            </w:r>
          </w:p>
        </w:tc>
      </w:tr>
      <w:tr w:rsidR="00F43AD5" w:rsidRPr="004C23F4" w14:paraId="0460E5F3" w14:textId="77777777" w:rsidTr="00B76A41">
        <w:trPr>
          <w:cantSplit/>
        </w:trPr>
        <w:tc>
          <w:tcPr>
            <w:tcW w:w="4077" w:type="dxa"/>
          </w:tcPr>
          <w:p w14:paraId="438D13A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382E9C" w14:textId="5A94387E" w:rsidR="00F43AD5" w:rsidRPr="00FF5228" w:rsidRDefault="00FF5228" w:rsidP="00B76A41">
            <w:pPr>
              <w:pStyle w:val="Tablerowheading"/>
              <w:rPr>
                <w:b w:val="0"/>
              </w:rPr>
            </w:pPr>
            <w:r w:rsidRPr="00FF5228">
              <w:rPr>
                <w:b w:val="0"/>
              </w:rPr>
              <w:t>—</w:t>
            </w:r>
          </w:p>
        </w:tc>
      </w:tr>
    </w:tbl>
    <w:p w14:paraId="14625580" w14:textId="1AC56AB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42C0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786BF9F" w14:textId="77777777" w:rsidTr="00AD0704">
        <w:trPr>
          <w:cantSplit/>
          <w:tblHeader/>
        </w:trPr>
        <w:tc>
          <w:tcPr>
            <w:tcW w:w="4010" w:type="dxa"/>
            <w:vAlign w:val="center"/>
          </w:tcPr>
          <w:p w14:paraId="1B76C82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6E91992" w14:textId="20757C16" w:rsidR="002C7AFE" w:rsidRPr="00942C0E" w:rsidRDefault="00942C0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04FA1700" w14:textId="77777777" w:rsidTr="00AD0704">
        <w:trPr>
          <w:cantSplit/>
        </w:trPr>
        <w:tc>
          <w:tcPr>
            <w:tcW w:w="4010" w:type="dxa"/>
            <w:vAlign w:val="center"/>
          </w:tcPr>
          <w:p w14:paraId="7771F87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6A561F42" w14:textId="068D1771" w:rsidR="002C7AFE" w:rsidRPr="00EB3D1B" w:rsidRDefault="00942C0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83243B4" w14:textId="77777777" w:rsidTr="00AD0704">
        <w:trPr>
          <w:cantSplit/>
        </w:trPr>
        <w:tc>
          <w:tcPr>
            <w:tcW w:w="4010" w:type="dxa"/>
            <w:vAlign w:val="center"/>
          </w:tcPr>
          <w:p w14:paraId="0950FD5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312ED9D" w14:textId="1A428E54" w:rsidR="002C7AFE" w:rsidRPr="00EB3D1B" w:rsidRDefault="00942C0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4EC36B1" w14:textId="77777777" w:rsidTr="00AD0704">
        <w:trPr>
          <w:cantSplit/>
        </w:trPr>
        <w:tc>
          <w:tcPr>
            <w:tcW w:w="4010" w:type="dxa"/>
          </w:tcPr>
          <w:p w14:paraId="0B5C158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66B3A5CA" w14:textId="42CE1EA1" w:rsidR="002C7AFE" w:rsidRPr="00EB3D1B" w:rsidRDefault="00942C0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5163380B" w14:textId="77777777" w:rsidTr="00AD0704">
        <w:trPr>
          <w:cantSplit/>
        </w:trPr>
        <w:tc>
          <w:tcPr>
            <w:tcW w:w="4010" w:type="dxa"/>
            <w:vAlign w:val="center"/>
          </w:tcPr>
          <w:p w14:paraId="44FADDF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723543B" w14:textId="1DF0B1DC" w:rsidR="002C7AFE" w:rsidRPr="00E94C5F" w:rsidRDefault="00FF5228" w:rsidP="00017C82">
            <w:pPr>
              <w:pStyle w:val="Tablefont"/>
              <w:rPr>
                <w:b/>
              </w:rPr>
            </w:pPr>
            <w:r w:rsidRPr="00E94C5F">
              <w:rPr>
                <w:b/>
              </w:rPr>
              <w:t>—</w:t>
            </w:r>
          </w:p>
        </w:tc>
      </w:tr>
      <w:tr w:rsidR="00AD0704" w:rsidRPr="004C23F4" w14:paraId="19758D79" w14:textId="77777777" w:rsidTr="008D4984">
        <w:trPr>
          <w:cantSplit/>
        </w:trPr>
        <w:tc>
          <w:tcPr>
            <w:tcW w:w="9026" w:type="dxa"/>
            <w:gridSpan w:val="2"/>
            <w:vAlign w:val="center"/>
          </w:tcPr>
          <w:p w14:paraId="08755CCB" w14:textId="042BEC60" w:rsidR="00AD0704" w:rsidRPr="00AD0704" w:rsidRDefault="00AD0704" w:rsidP="00017C82">
            <w:pPr>
              <w:pStyle w:val="Tablefont"/>
            </w:pPr>
            <w:r w:rsidRPr="00AD0704">
              <w:rPr>
                <w:b/>
              </w:rPr>
              <w:t>Sampling and analysis:</w:t>
            </w:r>
            <w:r w:rsidRPr="00AD0704">
              <w:t xml:space="preserve"> </w:t>
            </w:r>
            <w:sdt>
              <w:sdtPr>
                <w:id w:val="-2105258949"/>
                <w:placeholder>
                  <w:docPart w:val="FA3DA03ADAF647D3A8A34DBF5884558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 w:rsidR="00942C0E"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DC1178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3AF5A5A" w14:textId="1F432397" w:rsidR="006639B4" w:rsidRPr="004C23F4" w:rsidRDefault="00AD0704" w:rsidP="000C139A">
      <w:pPr>
        <w:rPr>
          <w:rFonts w:cs="Arial"/>
        </w:rPr>
      </w:pPr>
      <w:r w:rsidRPr="00AD0704">
        <w:rPr>
          <w:rFonts w:cs="Arial"/>
        </w:rPr>
        <w:t xml:space="preserve">A TWA of </w:t>
      </w:r>
      <w:r>
        <w:rPr>
          <w:rFonts w:cs="Arial"/>
        </w:rPr>
        <w:t>0.2</w:t>
      </w:r>
      <w:r w:rsidRPr="00AD0704">
        <w:rPr>
          <w:rFonts w:cs="Arial"/>
        </w:rPr>
        <w:t xml:space="preserve"> mg/m</w:t>
      </w:r>
      <w:r w:rsidRPr="00AD0704">
        <w:rPr>
          <w:rFonts w:cs="Arial"/>
          <w:vertAlign w:val="superscript"/>
        </w:rPr>
        <w:t>3</w:t>
      </w:r>
      <w:r w:rsidRPr="00AD0704">
        <w:rPr>
          <w:rFonts w:cs="Arial"/>
        </w:rPr>
        <w:t xml:space="preserve"> is recommended to protect for </w:t>
      </w:r>
      <w:r>
        <w:rPr>
          <w:rFonts w:cs="Arial"/>
        </w:rPr>
        <w:t>cholinergic effects and potential reproductive toxicity in exposed workers.</w:t>
      </w:r>
    </w:p>
    <w:p w14:paraId="7929E1C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4DD6E1A" w14:textId="77777777" w:rsidR="009B5189" w:rsidRDefault="004D3871" w:rsidP="006639B4">
      <w:pPr>
        <w:rPr>
          <w:rFonts w:cs="Arial"/>
        </w:rPr>
      </w:pPr>
      <w:r>
        <w:rPr>
          <w:rFonts w:cs="Arial"/>
        </w:rPr>
        <w:t xml:space="preserve">Methomyl is used as a broad-spectrum pesticide for field and fruit crops. </w:t>
      </w:r>
    </w:p>
    <w:p w14:paraId="56C8244D" w14:textId="1B0ADA0E" w:rsidR="006639B4" w:rsidRDefault="004B4353" w:rsidP="006639B4">
      <w:pPr>
        <w:rPr>
          <w:rFonts w:cs="Arial"/>
        </w:rPr>
      </w:pPr>
      <w:r>
        <w:rPr>
          <w:rFonts w:cs="Arial"/>
        </w:rPr>
        <w:t>C</w:t>
      </w:r>
      <w:r w:rsidR="009402FA">
        <w:rPr>
          <w:rFonts w:cs="Arial"/>
        </w:rPr>
        <w:t>ritical effect</w:t>
      </w:r>
      <w:r>
        <w:rPr>
          <w:rFonts w:cs="Arial"/>
        </w:rPr>
        <w:t>s</w:t>
      </w:r>
      <w:r w:rsidR="009402FA">
        <w:rPr>
          <w:rFonts w:cs="Arial"/>
        </w:rPr>
        <w:t xml:space="preserve"> </w:t>
      </w:r>
      <w:r w:rsidR="004B6629">
        <w:rPr>
          <w:rFonts w:cs="Arial"/>
        </w:rPr>
        <w:t xml:space="preserve">of exposure </w:t>
      </w:r>
      <w:r>
        <w:rPr>
          <w:rFonts w:cs="Arial"/>
        </w:rPr>
        <w:t>are</w:t>
      </w:r>
      <w:r w:rsidR="009402FA">
        <w:rPr>
          <w:rFonts w:cs="Arial"/>
        </w:rPr>
        <w:t xml:space="preserve"> acetylcholine inhibition, which causes cholinergic effects such as headaches, lachrymation, gastrointestinal distress and tachycardia.</w:t>
      </w:r>
      <w:r w:rsidR="00870C11" w:rsidRPr="00870C11">
        <w:rPr>
          <w:rFonts w:cs="Arial"/>
        </w:rPr>
        <w:t xml:space="preserve"> </w:t>
      </w:r>
      <w:r w:rsidR="00B17913">
        <w:rPr>
          <w:rFonts w:cs="Arial"/>
        </w:rPr>
        <w:t xml:space="preserve">Damage </w:t>
      </w:r>
      <w:r w:rsidR="00870C11">
        <w:rPr>
          <w:rFonts w:cs="Arial"/>
        </w:rPr>
        <w:t>to testes</w:t>
      </w:r>
      <w:r w:rsidR="001A07D2">
        <w:rPr>
          <w:rFonts w:cs="Arial"/>
        </w:rPr>
        <w:t xml:space="preserve"> </w:t>
      </w:r>
      <w:r w:rsidR="009B5189">
        <w:rPr>
          <w:rFonts w:cs="Arial"/>
        </w:rPr>
        <w:t xml:space="preserve">is </w:t>
      </w:r>
      <w:r w:rsidR="001A07D2">
        <w:rPr>
          <w:rFonts w:cs="Arial"/>
        </w:rPr>
        <w:t>reported</w:t>
      </w:r>
      <w:r w:rsidR="00870C11">
        <w:rPr>
          <w:rFonts w:cs="Arial"/>
        </w:rPr>
        <w:t xml:space="preserve"> before cholinergic effects</w:t>
      </w:r>
      <w:r w:rsidR="00472E88">
        <w:rPr>
          <w:rFonts w:cs="Arial"/>
        </w:rPr>
        <w:t xml:space="preserve"> </w:t>
      </w:r>
      <w:r w:rsidR="00B17913">
        <w:rPr>
          <w:rFonts w:cs="Arial"/>
        </w:rPr>
        <w:t>in some animal studies.</w:t>
      </w:r>
    </w:p>
    <w:p w14:paraId="6B5FFF67" w14:textId="3B3CA668" w:rsidR="003C0341" w:rsidRDefault="00EE0148" w:rsidP="003C0341">
      <w:pPr>
        <w:rPr>
          <w:rFonts w:cs="Arial"/>
        </w:rPr>
      </w:pPr>
      <w:r>
        <w:rPr>
          <w:rFonts w:cs="Arial"/>
        </w:rPr>
        <w:t xml:space="preserve">Human inhalational exposure data are limited. Several cases of poisonings following oral intake are </w:t>
      </w:r>
      <w:r w:rsidR="00B17913">
        <w:rPr>
          <w:rFonts w:cs="Arial"/>
        </w:rPr>
        <w:t xml:space="preserve">reported </w:t>
      </w:r>
      <w:r>
        <w:rPr>
          <w:rFonts w:cs="Arial"/>
        </w:rPr>
        <w:t>and indicate severe</w:t>
      </w:r>
      <w:r w:rsidR="004B4353">
        <w:rPr>
          <w:rFonts w:cs="Arial"/>
        </w:rPr>
        <w:t xml:space="preserve"> cholinergic</w:t>
      </w:r>
      <w:r>
        <w:rPr>
          <w:rFonts w:cs="Arial"/>
        </w:rPr>
        <w:t xml:space="preserve"> toxicity at relatively low doses</w:t>
      </w:r>
      <w:r w:rsidR="003C0341">
        <w:rPr>
          <w:rFonts w:cs="Arial"/>
        </w:rPr>
        <w:t xml:space="preserve"> (ACGIH, 2018)</w:t>
      </w:r>
      <w:r>
        <w:rPr>
          <w:rFonts w:cs="Arial"/>
        </w:rPr>
        <w:t xml:space="preserve">. </w:t>
      </w:r>
      <w:r w:rsidRPr="0017617E">
        <w:rPr>
          <w:rFonts w:cs="Arial"/>
        </w:rPr>
        <w:t xml:space="preserve">Chronic animal feeding studies indicate a NOAEL </w:t>
      </w:r>
      <w:r w:rsidR="004B4353" w:rsidRPr="0017617E">
        <w:rPr>
          <w:rFonts w:cs="Arial"/>
        </w:rPr>
        <w:t>of 3 mg/kg</w:t>
      </w:r>
      <w:r w:rsidR="00B17913" w:rsidRPr="0017617E">
        <w:rPr>
          <w:rFonts w:cs="Arial"/>
        </w:rPr>
        <w:t>/day</w:t>
      </w:r>
      <w:r w:rsidR="004B4353" w:rsidRPr="0017617E">
        <w:rPr>
          <w:rFonts w:cs="Arial"/>
        </w:rPr>
        <w:t xml:space="preserve"> </w:t>
      </w:r>
      <w:r w:rsidRPr="0017617E">
        <w:rPr>
          <w:rFonts w:cs="Arial"/>
        </w:rPr>
        <w:t xml:space="preserve">for cholinergic effects </w:t>
      </w:r>
      <w:r w:rsidR="004B4353" w:rsidRPr="0017617E">
        <w:rPr>
          <w:rFonts w:cs="Arial"/>
        </w:rPr>
        <w:t>and kidney damage in rat</w:t>
      </w:r>
      <w:r w:rsidR="009B5189">
        <w:rPr>
          <w:rFonts w:cs="Arial"/>
        </w:rPr>
        <w:t>s and dogs</w:t>
      </w:r>
      <w:r w:rsidR="003C0341" w:rsidRPr="0017617E">
        <w:rPr>
          <w:rFonts w:cs="Arial"/>
        </w:rPr>
        <w:t xml:space="preserve"> (ACGIH, 2018)</w:t>
      </w:r>
      <w:r w:rsidR="004B4353">
        <w:rPr>
          <w:rFonts w:cs="Arial"/>
        </w:rPr>
        <w:t>. A LOAEL of 0.5</w:t>
      </w:r>
      <w:r w:rsidR="00BA06D0">
        <w:rPr>
          <w:rFonts w:cs="Arial"/>
        </w:rPr>
        <w:t xml:space="preserve"> </w:t>
      </w:r>
      <w:r w:rsidR="004B4353">
        <w:rPr>
          <w:rFonts w:cs="Arial"/>
        </w:rPr>
        <w:t>mg/kg</w:t>
      </w:r>
      <w:r w:rsidR="00B17913">
        <w:rPr>
          <w:rFonts w:cs="Arial"/>
        </w:rPr>
        <w:t>/day</w:t>
      </w:r>
      <w:r w:rsidR="004B4353">
        <w:rPr>
          <w:rFonts w:cs="Arial"/>
        </w:rPr>
        <w:t xml:space="preserve"> for testes </w:t>
      </w:r>
      <w:r w:rsidR="009B5189">
        <w:rPr>
          <w:rFonts w:cs="Arial"/>
        </w:rPr>
        <w:t xml:space="preserve">damage </w:t>
      </w:r>
      <w:r w:rsidR="004B4353">
        <w:rPr>
          <w:rFonts w:cs="Arial"/>
        </w:rPr>
        <w:t>and hormone level d</w:t>
      </w:r>
      <w:r w:rsidR="00AD0704">
        <w:rPr>
          <w:rFonts w:cs="Arial"/>
        </w:rPr>
        <w:t>isturbance is reported in rats, which is the most sensitive endpoint in the available database</w:t>
      </w:r>
      <w:r w:rsidR="003C0341">
        <w:rPr>
          <w:rFonts w:cs="Arial"/>
        </w:rPr>
        <w:t xml:space="preserve"> (ACGIH, 2018)</w:t>
      </w:r>
      <w:r w:rsidR="00AD0704">
        <w:rPr>
          <w:rFonts w:cs="Arial"/>
        </w:rPr>
        <w:t xml:space="preserve">. </w:t>
      </w:r>
      <w:r w:rsidR="007C4012">
        <w:rPr>
          <w:rFonts w:cs="Arial"/>
        </w:rPr>
        <w:t>There is insufficient evidence of mutagenic activity and it is not considered human carcinogen because carcinogenic effects are not affirmed in chronic carcinogenicity studies with animals (ACGIH, 2018).</w:t>
      </w:r>
    </w:p>
    <w:p w14:paraId="37A52F38" w14:textId="663E5280" w:rsidR="003C0341" w:rsidRDefault="003C0341" w:rsidP="003C0341">
      <w:pPr>
        <w:rPr>
          <w:rFonts w:cs="Arial"/>
        </w:rPr>
      </w:pPr>
      <w:r>
        <w:rPr>
          <w:rFonts w:cs="Arial"/>
        </w:rPr>
        <w:t>Dermal absorption causes cholinergic effects in humans and animals. A NOAEL of 5 mg/kg</w:t>
      </w:r>
      <w:r w:rsidR="00B17913">
        <w:rPr>
          <w:rFonts w:cs="Arial"/>
        </w:rPr>
        <w:t>/day</w:t>
      </w:r>
      <w:r>
        <w:rPr>
          <w:rFonts w:cs="Arial"/>
        </w:rPr>
        <w:t xml:space="preserve"> for these effects is reported in a repeat dermal application study with rabbits and warrants a skin notation.</w:t>
      </w:r>
    </w:p>
    <w:p w14:paraId="569D985E" w14:textId="04EE8E3D" w:rsidR="009402FA" w:rsidRPr="00942C0E" w:rsidRDefault="00942C0E" w:rsidP="003C0341">
      <w:pPr>
        <w:rPr>
          <w:rFonts w:cs="Arial"/>
        </w:rPr>
      </w:pPr>
      <w:r>
        <w:rPr>
          <w:rFonts w:cs="Arial"/>
        </w:rPr>
        <w:t>A TWA of 0.2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as assigned by ACGIH (2018) and is expected to be protective of cholinergic effects</w:t>
      </w:r>
      <w:r w:rsidR="001F1A96">
        <w:rPr>
          <w:rFonts w:cs="Arial"/>
        </w:rPr>
        <w:t xml:space="preserve"> in exposed workers</w:t>
      </w:r>
      <w:r w:rsidR="00BA06D0">
        <w:rPr>
          <w:rFonts w:cs="Arial"/>
        </w:rPr>
        <w:t>.</w:t>
      </w:r>
    </w:p>
    <w:p w14:paraId="57258C0B" w14:textId="77777777" w:rsidR="004529F0" w:rsidRPr="004C23F4" w:rsidRDefault="004529F0" w:rsidP="00BA06D0">
      <w:pPr>
        <w:pStyle w:val="Heading2"/>
      </w:pPr>
      <w:r>
        <w:lastRenderedPageBreak/>
        <w:t>Recommendation for notations</w:t>
      </w:r>
    </w:p>
    <w:p w14:paraId="384E7A2F" w14:textId="4DAC41D6" w:rsidR="00DD22DA" w:rsidRDefault="00DD22DA" w:rsidP="00BD7442">
      <w:pPr>
        <w:keepNext/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BA06D0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35B229F4" w14:textId="5E5D5131" w:rsidR="00DD22DA" w:rsidRDefault="00DD22DA" w:rsidP="00BD7442">
      <w:pPr>
        <w:keepNext/>
        <w:rPr>
          <w:rFonts w:cs="Arial"/>
        </w:rPr>
      </w:pPr>
      <w:r>
        <w:rPr>
          <w:rFonts w:cs="Arial"/>
        </w:rPr>
        <w:t xml:space="preserve">Not classified as a skin </w:t>
      </w:r>
      <w:r w:rsidR="00BA06D0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09FA765F" w14:textId="739A2761" w:rsidR="000E66C6" w:rsidRPr="000E66C6" w:rsidRDefault="000E66C6" w:rsidP="000E66C6">
      <w:pPr>
        <w:rPr>
          <w:rFonts w:cs="Arial"/>
        </w:rPr>
      </w:pPr>
      <w:r w:rsidRPr="000E66C6">
        <w:rPr>
          <w:rFonts w:cs="Arial"/>
        </w:rPr>
        <w:t xml:space="preserve">A skin notation </w:t>
      </w:r>
      <w:r>
        <w:rPr>
          <w:rFonts w:cs="Arial"/>
        </w:rPr>
        <w:t xml:space="preserve">is </w:t>
      </w:r>
      <w:r w:rsidRPr="000E66C6">
        <w:rPr>
          <w:rFonts w:cs="Arial"/>
        </w:rPr>
        <w:t xml:space="preserve">recommended based on evidence </w:t>
      </w:r>
      <w:r>
        <w:rPr>
          <w:rFonts w:cs="Arial"/>
        </w:rPr>
        <w:t xml:space="preserve">for </w:t>
      </w:r>
      <w:r w:rsidRPr="000E66C6">
        <w:rPr>
          <w:rFonts w:cs="Arial"/>
        </w:rPr>
        <w:t xml:space="preserve">dermal absorption and adverse systemic effects in </w:t>
      </w:r>
      <w:r>
        <w:rPr>
          <w:rFonts w:cs="Arial"/>
        </w:rPr>
        <w:t xml:space="preserve">humans and </w:t>
      </w:r>
      <w:r w:rsidRPr="000E66C6">
        <w:rPr>
          <w:rFonts w:cs="Arial"/>
        </w:rPr>
        <w:t>animals.</w:t>
      </w:r>
    </w:p>
    <w:p w14:paraId="2E27DDAB" w14:textId="77777777" w:rsidR="0025734A" w:rsidRPr="004C23F4" w:rsidRDefault="0025734A">
      <w:pPr>
        <w:rPr>
          <w:rFonts w:cs="Arial"/>
        </w:rPr>
      </w:pPr>
    </w:p>
    <w:p w14:paraId="62FCFBC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E54BD6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3F3727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E4B379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D7AE26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F6414E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6A191D2" w14:textId="2667A51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42C0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52A88">
                  <w:t>TWA: 2.5 mg/m</w:t>
                </w:r>
                <w:r w:rsidR="00E52A88" w:rsidRPr="00E52A8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76258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83E12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8AB506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F1FE08" w14:textId="73E3763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42C0E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52A88">
                  <w:t>TLV-TWA: 0.2 mg/m</w:t>
                </w:r>
                <w:r w:rsidR="00E52A88" w:rsidRPr="00E52A8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D69B53A" w14:textId="77777777" w:rsidTr="00BD7442">
        <w:trPr>
          <w:gridAfter w:val="1"/>
          <w:wAfter w:w="8" w:type="pct"/>
        </w:trPr>
        <w:tc>
          <w:tcPr>
            <w:tcW w:w="0" w:type="pct"/>
          </w:tcPr>
          <w:p w14:paraId="1C7B0C59" w14:textId="09ECEFF0" w:rsidR="00C978F0" w:rsidRDefault="00C73593" w:rsidP="003365A5">
            <w:pPr>
              <w:pStyle w:val="Tabletextprimarysource"/>
            </w:pPr>
            <w:r>
              <w:t>TLV-TWA intended to protect for cholinergic effects, headaches, sweating, salivation, lachrymation, gastrointestinal distress and tachycardia. Not classified as a human carcinogen based on lack of evidence for carcinogenicity in chronic feeding study with animals. A skin notation is warranted based on systemic cholinergic effects following dermal exposure in animals and humans.</w:t>
            </w:r>
          </w:p>
          <w:p w14:paraId="6D13C73B" w14:textId="77777777" w:rsidR="00C73593" w:rsidRDefault="00C73593" w:rsidP="003365A5">
            <w:pPr>
              <w:pStyle w:val="Tabletextprimarysource"/>
            </w:pPr>
            <w:r>
              <w:t>Summary of data:</w:t>
            </w:r>
          </w:p>
          <w:p w14:paraId="160EBF2B" w14:textId="3A30E6DF" w:rsidR="00C73593" w:rsidRPr="004D3871" w:rsidRDefault="00C73593" w:rsidP="003365A5">
            <w:pPr>
              <w:pStyle w:val="Tabletextprimarysource"/>
            </w:pPr>
            <w:r>
              <w:t xml:space="preserve">TLV-TWA based on weight of evidence of several </w:t>
            </w:r>
            <w:r w:rsidR="004D3871">
              <w:t>oral dose/feeding</w:t>
            </w:r>
            <w:r>
              <w:t xml:space="preserve"> studies with </w:t>
            </w:r>
            <w:r w:rsidR="004D3871">
              <w:t xml:space="preserve">rats and </w:t>
            </w:r>
            <w:r>
              <w:t>dogs</w:t>
            </w:r>
            <w:r w:rsidR="004D3871">
              <w:t>. A</w:t>
            </w:r>
            <w:r>
              <w:t xml:space="preserve"> NOAEL of </w:t>
            </w:r>
            <w:r w:rsidR="00FB49D4">
              <w:rPr>
                <w:rFonts w:cs="Arial"/>
              </w:rPr>
              <w:t>≈</w:t>
            </w:r>
            <w:r w:rsidRPr="00FB49D4">
              <w:t>3 mg/kg/d</w:t>
            </w:r>
            <w:r>
              <w:t xml:space="preserve"> for histopathological changes to kidney and spleen, acetylcholine inhibition, and chronic anaemia</w:t>
            </w:r>
            <w:r w:rsidR="004D3871">
              <w:t xml:space="preserve"> is reported in dogs</w:t>
            </w:r>
            <w:r w:rsidR="00FB49D4">
              <w:t xml:space="preserve"> and rats</w:t>
            </w:r>
            <w:r w:rsidR="004D3871">
              <w:t>, and a</w:t>
            </w:r>
            <w:r>
              <w:t xml:space="preserve"> LOAEL of 0.5 mg/kg for adverse reproductive effects is </w:t>
            </w:r>
            <w:r w:rsidR="004D3871">
              <w:t xml:space="preserve">reported in rats. An air concentration that delivers an effective oral dose at this LOAEL </w:t>
            </w:r>
            <w:r w:rsidR="004D3871">
              <w:rPr>
                <w:rFonts w:cs="Arial"/>
              </w:rPr>
              <w:t>≡3.5 mg/m</w:t>
            </w:r>
            <w:r w:rsidR="004D3871">
              <w:rPr>
                <w:rFonts w:cs="Arial"/>
                <w:vertAlign w:val="superscript"/>
              </w:rPr>
              <w:t>3</w:t>
            </w:r>
            <w:r w:rsidR="004D3871">
              <w:rPr>
                <w:rFonts w:cs="Arial"/>
              </w:rPr>
              <w:t xml:space="preserve"> assuming 100% absorption in a 70</w:t>
            </w:r>
            <w:r w:rsidR="00BA06D0">
              <w:rPr>
                <w:rFonts w:cs="Arial"/>
              </w:rPr>
              <w:t xml:space="preserve"> </w:t>
            </w:r>
            <w:r w:rsidR="004D3871">
              <w:rPr>
                <w:rFonts w:cs="Arial"/>
              </w:rPr>
              <w:t>kg individual with a respiratory volume of 10 m</w:t>
            </w:r>
            <w:r w:rsidR="004D3871">
              <w:rPr>
                <w:rFonts w:cs="Arial"/>
                <w:vertAlign w:val="superscript"/>
              </w:rPr>
              <w:t>3</w:t>
            </w:r>
            <w:r w:rsidR="004D3871">
              <w:rPr>
                <w:rFonts w:cs="Arial"/>
              </w:rPr>
              <w:t xml:space="preserve"> over an 8</w:t>
            </w:r>
            <w:r w:rsidR="00BA06D0">
              <w:rPr>
                <w:rFonts w:cs="Arial"/>
              </w:rPr>
              <w:t xml:space="preserve"> </w:t>
            </w:r>
            <w:r w:rsidR="004D3871">
              <w:rPr>
                <w:rFonts w:cs="Arial"/>
              </w:rPr>
              <w:t>h shift. The TLV-TWA is set at 0.2 mg/m</w:t>
            </w:r>
            <w:r w:rsidR="004D3871">
              <w:rPr>
                <w:rFonts w:cs="Arial"/>
                <w:vertAlign w:val="superscript"/>
              </w:rPr>
              <w:t>3</w:t>
            </w:r>
            <w:r w:rsidR="004D3871">
              <w:rPr>
                <w:rFonts w:cs="Arial"/>
              </w:rPr>
              <w:t xml:space="preserve"> due to the severity of the toxic endpoints.</w:t>
            </w:r>
          </w:p>
          <w:p w14:paraId="103B9575" w14:textId="77777777" w:rsidR="00C73593" w:rsidRDefault="00C73593" w:rsidP="003365A5">
            <w:pPr>
              <w:pStyle w:val="Tabletextprimarysource"/>
            </w:pPr>
            <w:r>
              <w:t>Human data:</w:t>
            </w:r>
          </w:p>
          <w:p w14:paraId="446E059F" w14:textId="518C5F72" w:rsidR="00FB49D4" w:rsidRDefault="00EC13D6" w:rsidP="003C0341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Lethal oral </w:t>
            </w:r>
            <w:r w:rsidR="00FB49D4">
              <w:t>dose estimated at 12–</w:t>
            </w:r>
            <w:r w:rsidR="001241D4">
              <w:t>5</w:t>
            </w:r>
            <w:r w:rsidR="00FB49D4">
              <w:t>5 mg/kg</w:t>
            </w:r>
            <w:r w:rsidR="001241D4">
              <w:t xml:space="preserve"> from reports of accidental or intentional poisoning; typical cholinergic effects observed in all cases</w:t>
            </w:r>
            <w:r w:rsidR="00797303">
              <w:t>:</w:t>
            </w:r>
          </w:p>
          <w:p w14:paraId="78FDE0A8" w14:textId="4413C1B1" w:rsidR="001241D4" w:rsidRDefault="001241D4" w:rsidP="003C0341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 xml:space="preserve">seizure </w:t>
            </w:r>
            <w:r w:rsidR="00BB7343">
              <w:t>&gt;</w:t>
            </w:r>
            <w:r>
              <w:t>1 h of dermal exposure to clothes soaked in mixture of methomyl and endosulfan</w:t>
            </w:r>
          </w:p>
          <w:p w14:paraId="3EB8B998" w14:textId="751870E9" w:rsidR="00FC18FF" w:rsidRDefault="00FB49D4" w:rsidP="003C0341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11 workers</w:t>
            </w:r>
            <w:r w:rsidR="00FC18FF">
              <w:t xml:space="preserve"> from packaging plant (n=102)</w:t>
            </w:r>
            <w:r>
              <w:t xml:space="preserve"> hospitalised </w:t>
            </w:r>
            <w:r w:rsidR="00FC18FF">
              <w:t xml:space="preserve">with cholinergic symptoms including blurred vision, </w:t>
            </w:r>
            <w:r w:rsidR="00074421">
              <w:t>vomiting</w:t>
            </w:r>
            <w:r w:rsidR="00FC18FF">
              <w:t xml:space="preserve"> and fatigue (exposure concentration/duration not specified)</w:t>
            </w:r>
            <w:r w:rsidR="00BA06D0">
              <w:t>.</w:t>
            </w:r>
          </w:p>
          <w:p w14:paraId="53854F91" w14:textId="77777777" w:rsidR="00C73593" w:rsidRDefault="00C73593" w:rsidP="003365A5">
            <w:pPr>
              <w:pStyle w:val="Tabletextprimarysource"/>
            </w:pPr>
            <w:r>
              <w:t>Animal data:</w:t>
            </w:r>
          </w:p>
          <w:p w14:paraId="5E161467" w14:textId="29E22BAA" w:rsidR="00C73593" w:rsidRDefault="00DA192D" w:rsidP="003C034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258</w:t>
            </w:r>
            <w:r w:rsidR="0087205A">
              <w:t>–300</w:t>
            </w:r>
            <w:r>
              <w:t xml:space="preserve"> mg/m</w:t>
            </w:r>
            <w:r>
              <w:rPr>
                <w:vertAlign w:val="superscript"/>
              </w:rPr>
              <w:t>3</w:t>
            </w:r>
            <w:r>
              <w:t xml:space="preserve"> (rats, 4 h); pulmonary irritation and typical cholinergic symptoms such as tremors, irregular breathing, lachrymation and red discharge around eyes reported</w:t>
            </w:r>
          </w:p>
          <w:p w14:paraId="34851134" w14:textId="36A0341D" w:rsidR="00DA192D" w:rsidRDefault="00DA192D" w:rsidP="003C034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17–48 mg/kg (rats), 30 mg/kg (rabbits), 20 mg/kg (dogs), 40 mg/kg (monkeys); typical cholinergic effects reported as with acute inhalation</w:t>
            </w:r>
          </w:p>
          <w:p w14:paraId="3AFC103B" w14:textId="73FEC99F" w:rsidR="00074421" w:rsidRDefault="00074421" w:rsidP="003C034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Eliminated almost entirely within 24 h in urine and exhaled CO</w:t>
            </w:r>
            <w:r>
              <w:rPr>
                <w:vertAlign w:val="subscript"/>
              </w:rPr>
              <w:t>2</w:t>
            </w:r>
            <w:r>
              <w:t xml:space="preserve"> following metabolism</w:t>
            </w:r>
          </w:p>
          <w:p w14:paraId="13EE42EA" w14:textId="70CA1C77" w:rsidR="00415383" w:rsidRDefault="00415383" w:rsidP="003C034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LOAEL: </w:t>
            </w:r>
            <w:r w:rsidR="00304B0A">
              <w:t>0.5 mg/kg/d for testicular lesions and decreased spermatogenesis in reproductive repeat oral dose study (male rats, 65 d)</w:t>
            </w:r>
            <w:r w:rsidR="00797303">
              <w:t>:</w:t>
            </w:r>
          </w:p>
          <w:p w14:paraId="594B4FA9" w14:textId="3EB6B650" w:rsidR="00304B0A" w:rsidRPr="00074421" w:rsidRDefault="00304B0A" w:rsidP="003C0341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5 mg/kg for changes in reproductive and histopathological parameters, and teratogenicity in multigenerational study (rabbits, duration not specified)</w:t>
            </w:r>
          </w:p>
          <w:p w14:paraId="5AE06744" w14:textId="7831A86F" w:rsidR="00EA7F97" w:rsidRPr="00FB49D4" w:rsidRDefault="00EA7F97" w:rsidP="003C034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 w:rsidRPr="00FB49D4">
              <w:t>Cholinergic effects and some mortality reported at 200 mg/kg/d in repeat dermal application study (rabbits, 15 d)</w:t>
            </w:r>
            <w:r w:rsidR="00797303">
              <w:t>:</w:t>
            </w:r>
          </w:p>
          <w:p w14:paraId="1460D75C" w14:textId="102ACF48" w:rsidR="00074421" w:rsidRPr="00FB49D4" w:rsidRDefault="0087205A" w:rsidP="003C0341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FB49D4">
              <w:t>NOAEL: 5 mg/kg/d (males), 50 mg/kg/d (females) reported in similar 21</w:t>
            </w:r>
            <w:r w:rsidR="00BA06D0">
              <w:t xml:space="preserve"> </w:t>
            </w:r>
            <w:r w:rsidRPr="00FB49D4">
              <w:t>d study</w:t>
            </w:r>
          </w:p>
          <w:p w14:paraId="18E03B97" w14:textId="328D6D26" w:rsidR="001522CA" w:rsidRDefault="004C4910" w:rsidP="003C034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Several key ch</w:t>
            </w:r>
            <w:r w:rsidR="001522CA">
              <w:t>ronic feeding studies</w:t>
            </w:r>
            <w:r>
              <w:t xml:space="preserve"> are presented and used in the TLV-TWA derivation</w:t>
            </w:r>
            <w:r w:rsidR="00797303">
              <w:t>:</w:t>
            </w:r>
            <w:r w:rsidR="00BA06D0">
              <w:t xml:space="preserve"> </w:t>
            </w:r>
          </w:p>
          <w:p w14:paraId="263593A4" w14:textId="7CBC7202" w:rsidR="0023606C" w:rsidRDefault="0023606C" w:rsidP="003C0341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NOAEL: 3 mg/kg/d for kidney damage and decreased haemoglobin </w:t>
            </w:r>
            <w:r w:rsidR="004C4910">
              <w:t>levels</w:t>
            </w:r>
            <w:r>
              <w:t>; RBC and brain cholinesterase inhibition at 24 mg/kg/d (rats, 2 yr)</w:t>
            </w:r>
          </w:p>
          <w:p w14:paraId="09BAC574" w14:textId="7AC3D996" w:rsidR="0023606C" w:rsidRDefault="0023606C" w:rsidP="003C0341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LOAEL: 10 mg/kg/d for </w:t>
            </w:r>
            <w:r w:rsidR="004C4910">
              <w:t>changes in RBC and haemoglobin levels (mice, 2 yr)</w:t>
            </w:r>
          </w:p>
          <w:p w14:paraId="467F46B4" w14:textId="1351A68E" w:rsidR="004C4910" w:rsidRDefault="004C4910" w:rsidP="003C0341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3 mg/kg/d for adverse histopathological changes to kidneys and spleen (dogs, 2 yr)</w:t>
            </w:r>
          </w:p>
          <w:p w14:paraId="3E6F593F" w14:textId="039AF3B6" w:rsidR="00EC13D6" w:rsidRDefault="00262601" w:rsidP="003C0341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EC13D6">
              <w:t>o evidence for carcinogenicity reported in these chronic studies</w:t>
            </w:r>
          </w:p>
          <w:p w14:paraId="7CCF355E" w14:textId="5FDA9673" w:rsidR="00EA7F97" w:rsidRDefault="00EA7F97" w:rsidP="003C034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Negligible irritation and no sensitisation when applied as 60% paste, or 5% solution in water or propylene glycol</w:t>
            </w:r>
            <w:r w:rsidR="0087205A">
              <w:t xml:space="preserve"> (guinea pigs)</w:t>
            </w:r>
          </w:p>
          <w:p w14:paraId="5FCAA9DE" w14:textId="64B69B7B" w:rsidR="00EC13D6" w:rsidRDefault="00EC13D6" w:rsidP="003C034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lastRenderedPageBreak/>
              <w:t xml:space="preserve">Equivocal mutagenicity results </w:t>
            </w:r>
            <w:r>
              <w:rPr>
                <w:i/>
              </w:rPr>
              <w:t>in vitro</w:t>
            </w:r>
            <w:r>
              <w:t>; positive results</w:t>
            </w:r>
            <w:r>
              <w:rPr>
                <w:i/>
              </w:rPr>
              <w:t xml:space="preserve"> in vivo</w:t>
            </w:r>
            <w:r>
              <w:t xml:space="preserve"> in a micronucleus assay</w:t>
            </w:r>
            <w:r w:rsidR="00BA06D0">
              <w:t>.</w:t>
            </w:r>
          </w:p>
          <w:p w14:paraId="667DC7D1" w14:textId="77777777" w:rsidR="00797303" w:rsidRDefault="00797303" w:rsidP="003365A5">
            <w:pPr>
              <w:pStyle w:val="Tabletextprimarysource"/>
            </w:pPr>
          </w:p>
          <w:p w14:paraId="4F391F11" w14:textId="51348CC0" w:rsidR="00797303" w:rsidRPr="00DA352E" w:rsidRDefault="00C73593" w:rsidP="003365A5">
            <w:pPr>
              <w:pStyle w:val="Tabletextprimarysource"/>
            </w:pPr>
            <w:r>
              <w:t>Insufficient data to recommend a TLV-STEL or sensitiser notation.</w:t>
            </w:r>
          </w:p>
        </w:tc>
      </w:tr>
      <w:tr w:rsidR="00C978F0" w:rsidRPr="00DA352E" w14:paraId="1463A13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5A5B0C" w14:textId="24B79D5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42C0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52A88">
                  <w:t>NA</w:t>
                </w:r>
              </w:sdtContent>
            </w:sdt>
          </w:p>
        </w:tc>
      </w:tr>
      <w:tr w:rsidR="00C978F0" w:rsidRPr="00DA352E" w14:paraId="2181081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2BB9BB" w14:textId="4C77B4F8" w:rsidR="00C978F0" w:rsidRPr="00DA352E" w:rsidRDefault="00E52A88" w:rsidP="003365A5">
            <w:pPr>
              <w:pStyle w:val="Tabletextprimarysource"/>
            </w:pPr>
            <w:r>
              <w:t>No report</w:t>
            </w:r>
            <w:r w:rsidR="00BA06D0">
              <w:t>.</w:t>
            </w:r>
          </w:p>
        </w:tc>
      </w:tr>
      <w:tr w:rsidR="00C978F0" w:rsidRPr="00DA352E" w14:paraId="01C222D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20F775" w14:textId="05ECF05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42C0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52A88">
                  <w:t>NA</w:t>
                </w:r>
              </w:sdtContent>
            </w:sdt>
          </w:p>
        </w:tc>
      </w:tr>
      <w:tr w:rsidR="00C978F0" w:rsidRPr="00DA352E" w14:paraId="15A3C0F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BE6134" w14:textId="27666E87" w:rsidR="00C978F0" w:rsidRPr="00DA352E" w:rsidRDefault="00E52A88" w:rsidP="003365A5">
            <w:pPr>
              <w:pStyle w:val="Tabletextprimarysource"/>
            </w:pPr>
            <w:r>
              <w:t>No report</w:t>
            </w:r>
            <w:r w:rsidR="00BA06D0">
              <w:t>.</w:t>
            </w:r>
          </w:p>
        </w:tc>
      </w:tr>
      <w:tr w:rsidR="00DA352E" w:rsidRPr="00DA352E" w14:paraId="27EC8DC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2F8420" w14:textId="5DB7C75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42C0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52A88">
                  <w:t>NA</w:t>
                </w:r>
              </w:sdtContent>
            </w:sdt>
          </w:p>
        </w:tc>
      </w:tr>
      <w:tr w:rsidR="00DA352E" w:rsidRPr="00DA352E" w14:paraId="7BC65F5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07D014" w14:textId="1FAB021E" w:rsidR="00DA352E" w:rsidRPr="00DA352E" w:rsidRDefault="00E52A88" w:rsidP="003365A5">
            <w:pPr>
              <w:pStyle w:val="Tabletextprimarysource"/>
            </w:pPr>
            <w:r>
              <w:t>No report</w:t>
            </w:r>
            <w:r w:rsidR="00BA06D0">
              <w:t>.</w:t>
            </w:r>
          </w:p>
        </w:tc>
      </w:tr>
      <w:tr w:rsidR="00DA352E" w:rsidRPr="00DA352E" w14:paraId="72993C4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45534C" w14:textId="0245D7D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42C0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52A88">
                  <w:t>NA</w:t>
                </w:r>
              </w:sdtContent>
            </w:sdt>
          </w:p>
        </w:tc>
      </w:tr>
      <w:tr w:rsidR="00DA352E" w:rsidRPr="00DA352E" w14:paraId="5CCC9CE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AAA6C4" w14:textId="7E7D00E7" w:rsidR="00DA352E" w:rsidRPr="00DA352E" w:rsidRDefault="00E52A88" w:rsidP="003365A5">
            <w:pPr>
              <w:pStyle w:val="Tabletextprimarysource"/>
            </w:pPr>
            <w:r>
              <w:t>No report</w:t>
            </w:r>
            <w:r w:rsidR="00BA06D0">
              <w:t>.</w:t>
            </w:r>
          </w:p>
        </w:tc>
      </w:tr>
    </w:tbl>
    <w:p w14:paraId="30ACDCF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31"/>
        <w:gridCol w:w="574"/>
        <w:gridCol w:w="1036"/>
        <w:gridCol w:w="5985"/>
      </w:tblGrid>
      <w:tr w:rsidR="004966BF" w:rsidRPr="00263255" w14:paraId="7096E216" w14:textId="77777777" w:rsidTr="00BD7442">
        <w:trPr>
          <w:cantSplit/>
          <w:trHeight w:val="393"/>
          <w:tblHeader/>
        </w:trPr>
        <w:tc>
          <w:tcPr>
            <w:tcW w:w="1433" w:type="dxa"/>
            <w:shd w:val="clear" w:color="auto" w:fill="BFBFBF" w:themeFill="background1" w:themeFillShade="BF"/>
            <w:vAlign w:val="center"/>
          </w:tcPr>
          <w:p w14:paraId="72A65B7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730F5BE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1038" w:type="dxa"/>
            <w:shd w:val="clear" w:color="auto" w:fill="BFBFBF" w:themeFill="background1" w:themeFillShade="BF"/>
            <w:vAlign w:val="center"/>
          </w:tcPr>
          <w:p w14:paraId="2F45F3B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003" w:type="dxa"/>
            <w:shd w:val="clear" w:color="auto" w:fill="BFBFBF" w:themeFill="background1" w:themeFillShade="BF"/>
            <w:vAlign w:val="center"/>
          </w:tcPr>
          <w:p w14:paraId="29A3162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20B7366" w14:textId="77777777" w:rsidTr="00BD7442">
        <w:trPr>
          <w:cantSplit/>
        </w:trPr>
        <w:tc>
          <w:tcPr>
            <w:tcW w:w="1433" w:type="dxa"/>
          </w:tcPr>
          <w:p w14:paraId="399DC287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552" w:type="dxa"/>
          </w:tcPr>
          <w:p w14:paraId="743C7C39" w14:textId="22558C60" w:rsidR="004966BF" w:rsidRPr="00CE617F" w:rsidRDefault="00C96C19" w:rsidP="00BD7442">
            <w:pPr>
              <w:spacing w:before="40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635703431"/>
                <w:placeholder>
                  <w:docPart w:val="C40706DCBA00497F8C9BD660BAE74193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D7442">
                  <w:rPr>
                    <w:rStyle w:val="checkbox"/>
                  </w:rPr>
                  <w:t></w:t>
                </w:r>
              </w:sdtContent>
            </w:sdt>
            <w:r w:rsidR="00BD7442" w:rsidDel="00BD7442">
              <w:rPr>
                <w:rStyle w:val="checkbox"/>
              </w:rPr>
              <w:t></w:t>
            </w:r>
          </w:p>
        </w:tc>
        <w:tc>
          <w:tcPr>
            <w:tcW w:w="1038" w:type="dxa"/>
          </w:tcPr>
          <w:p w14:paraId="4F7685FA" w14:textId="07C0BF4B" w:rsidR="004966BF" w:rsidRPr="004C23F4" w:rsidRDefault="00EC13D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003" w:type="dxa"/>
          </w:tcPr>
          <w:p w14:paraId="10FE979F" w14:textId="5066AD01" w:rsidR="004966BF" w:rsidRPr="004C23F4" w:rsidRDefault="00EC13D6" w:rsidP="003C0341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used in agriculture, excluded from assessment</w:t>
            </w:r>
            <w:r w:rsidR="00BA06D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2CBE1C7" w14:textId="77777777" w:rsidTr="00BD7442">
        <w:trPr>
          <w:cantSplit/>
        </w:trPr>
        <w:tc>
          <w:tcPr>
            <w:tcW w:w="1433" w:type="dxa"/>
          </w:tcPr>
          <w:p w14:paraId="22331DA9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552" w:type="dxa"/>
          </w:tcPr>
          <w:p w14:paraId="1E059B43" w14:textId="1DFE627C" w:rsidR="004966BF" w:rsidRPr="00CE617F" w:rsidRDefault="00C96C19" w:rsidP="00BD7442">
            <w:pPr>
              <w:spacing w:before="40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560996708"/>
                <w:placeholder>
                  <w:docPart w:val="828F42E6A97144E58A196EE5363CE90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D744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38" w:type="dxa"/>
          </w:tcPr>
          <w:p w14:paraId="58221C06" w14:textId="30CBDC21" w:rsidR="004966BF" w:rsidRPr="004C23F4" w:rsidRDefault="00A12C3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003" w:type="dxa"/>
          </w:tcPr>
          <w:p w14:paraId="61A03A9F" w14:textId="77777777" w:rsidR="004966BF" w:rsidRDefault="00415383" w:rsidP="003C034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Chronic feeding study with NOAEL of 3 mg/kg/d for histopathological kidney and spleen changes (dogs, 2 yr</w:t>
            </w:r>
            <w:r w:rsidR="00A12C38">
              <w:rPr>
                <w:rStyle w:val="checkbox"/>
                <w:rFonts w:ascii="Arial" w:hAnsi="Arial" w:cs="Arial"/>
              </w:rPr>
              <w:t xml:space="preserve">) </w:t>
            </w:r>
            <w:r>
              <w:rPr>
                <w:rStyle w:val="checkbox"/>
                <w:rFonts w:ascii="Arial" w:hAnsi="Arial" w:cs="Arial"/>
              </w:rPr>
              <w:t>used principally to d</w:t>
            </w:r>
            <w:r w:rsidR="00A12C38">
              <w:rPr>
                <w:rStyle w:val="checkbox"/>
                <w:rFonts w:ascii="Arial" w:hAnsi="Arial" w:cs="Arial"/>
              </w:rPr>
              <w:t>erive oral reference dose (RfD) (also cited by ACGIH, 2018 and used in TLV-TWA derivation)</w:t>
            </w:r>
          </w:p>
          <w:p w14:paraId="2F9A0559" w14:textId="3FE2D9DB" w:rsidR="00A12C38" w:rsidRPr="004C23F4" w:rsidRDefault="00A12C38" w:rsidP="003C0341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Carcinogenicity assessment not available</w:t>
            </w:r>
            <w:r w:rsidR="00EE014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B6A253E" w14:textId="77777777" w:rsidR="007E2A4B" w:rsidRDefault="007E2A4B" w:rsidP="00BD7442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C70C1A6" w14:textId="77777777" w:rsidTr="00505247">
        <w:trPr>
          <w:trHeight w:val="454"/>
          <w:tblHeader/>
        </w:trPr>
        <w:tc>
          <w:tcPr>
            <w:tcW w:w="6603" w:type="dxa"/>
            <w:vAlign w:val="center"/>
          </w:tcPr>
          <w:p w14:paraId="1223A759" w14:textId="77777777" w:rsidR="002E0D61" w:rsidRDefault="00B1422A" w:rsidP="00BD7442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CD7C36A" w14:textId="1B3FA118" w:rsidR="002E0D61" w:rsidRDefault="00472E88" w:rsidP="00BD7442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A5B8B69" w14:textId="77777777" w:rsidTr="00505247">
        <w:trPr>
          <w:trHeight w:val="454"/>
        </w:trPr>
        <w:tc>
          <w:tcPr>
            <w:tcW w:w="6603" w:type="dxa"/>
            <w:vAlign w:val="center"/>
          </w:tcPr>
          <w:p w14:paraId="0CC1FF29" w14:textId="77777777" w:rsidR="008A36CF" w:rsidRDefault="008A36CF" w:rsidP="00BD7442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9667322" w14:textId="2D5E9C3D" w:rsidR="008A36CF" w:rsidRDefault="00942C0E" w:rsidP="00BD7442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2E5B5AB" w14:textId="77777777" w:rsidTr="0050524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5000D7D" w14:textId="73237684" w:rsidR="008A36CF" w:rsidRPr="006901A2" w:rsidRDefault="00942C0E" w:rsidP="00BD7442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E126627" w14:textId="77777777" w:rsidR="008A36CF" w:rsidRDefault="008A36CF" w:rsidP="00BD7442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1FA2F6D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CCD7FC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9E343D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EAF0E8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8B497BF" w14:textId="77777777" w:rsidTr="00812887">
        <w:trPr>
          <w:cantSplit/>
        </w:trPr>
        <w:tc>
          <w:tcPr>
            <w:tcW w:w="3227" w:type="dxa"/>
          </w:tcPr>
          <w:p w14:paraId="42ABBF3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1D4B871" w14:textId="18AE09D4" w:rsidR="00687890" w:rsidRPr="00DD2F9B" w:rsidRDefault="00E52A88" w:rsidP="00DD2F9B">
            <w:pPr>
              <w:pStyle w:val="Tablefont"/>
            </w:pPr>
            <w:r w:rsidRPr="00E52A88">
              <w:t>—</w:t>
            </w:r>
          </w:p>
        </w:tc>
      </w:tr>
      <w:tr w:rsidR="007925F0" w:rsidRPr="004C23F4" w14:paraId="38F44764" w14:textId="77777777" w:rsidTr="00812887">
        <w:trPr>
          <w:cantSplit/>
        </w:trPr>
        <w:tc>
          <w:tcPr>
            <w:tcW w:w="3227" w:type="dxa"/>
          </w:tcPr>
          <w:p w14:paraId="732E6C4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6FCBD3A" w14:textId="1A7D714D" w:rsidR="007925F0" w:rsidRPr="00DD2F9B" w:rsidRDefault="00E52A88" w:rsidP="00DD2F9B">
            <w:pPr>
              <w:pStyle w:val="Tablefont"/>
            </w:pPr>
            <w:r w:rsidRPr="00E52A88">
              <w:t>—</w:t>
            </w:r>
          </w:p>
        </w:tc>
      </w:tr>
      <w:tr w:rsidR="00AF483F" w:rsidRPr="004C23F4" w14:paraId="4A0CBBDF" w14:textId="77777777" w:rsidTr="00812887">
        <w:trPr>
          <w:cantSplit/>
        </w:trPr>
        <w:tc>
          <w:tcPr>
            <w:tcW w:w="3227" w:type="dxa"/>
          </w:tcPr>
          <w:p w14:paraId="0E63A1B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F3EDF64" w14:textId="2361B0FA" w:rsidR="00AF483F" w:rsidRPr="00DD2F9B" w:rsidRDefault="00E52A8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AF99228" w14:textId="77777777" w:rsidTr="00812887">
        <w:trPr>
          <w:cantSplit/>
        </w:trPr>
        <w:tc>
          <w:tcPr>
            <w:tcW w:w="3227" w:type="dxa"/>
          </w:tcPr>
          <w:p w14:paraId="65902AD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6C91362" w14:textId="52A4BD53" w:rsidR="00687890" w:rsidRPr="00DD2F9B" w:rsidRDefault="00E52A8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22CB10D" w14:textId="77777777" w:rsidTr="00812887">
        <w:trPr>
          <w:cantSplit/>
        </w:trPr>
        <w:tc>
          <w:tcPr>
            <w:tcW w:w="3227" w:type="dxa"/>
          </w:tcPr>
          <w:p w14:paraId="6368F68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CC66565" w14:textId="789244AD" w:rsidR="00E41A26" w:rsidRPr="00DD2F9B" w:rsidRDefault="00E52A88" w:rsidP="00DD2F9B">
            <w:pPr>
              <w:pStyle w:val="Tablefont"/>
            </w:pPr>
            <w:r w:rsidRPr="00E52A88">
              <w:t>—</w:t>
            </w:r>
          </w:p>
        </w:tc>
      </w:tr>
      <w:tr w:rsidR="002E0D61" w:rsidRPr="004C23F4" w14:paraId="7ABC78A7" w14:textId="77777777" w:rsidTr="00812887">
        <w:trPr>
          <w:cantSplit/>
        </w:trPr>
        <w:tc>
          <w:tcPr>
            <w:tcW w:w="3227" w:type="dxa"/>
          </w:tcPr>
          <w:p w14:paraId="3791260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66BA597" w14:textId="776F980E" w:rsidR="002E0D61" w:rsidRPr="00DD2F9B" w:rsidRDefault="00E52A88" w:rsidP="00DD2F9B">
            <w:pPr>
              <w:pStyle w:val="Tablefont"/>
            </w:pPr>
            <w:r w:rsidRPr="00E52A88">
              <w:t>Carcinogenicity – A4</w:t>
            </w:r>
            <w:r>
              <w:t xml:space="preserve">, </w:t>
            </w:r>
            <w:r w:rsidRPr="00E52A88">
              <w:t>Skin</w:t>
            </w:r>
          </w:p>
        </w:tc>
      </w:tr>
      <w:tr w:rsidR="002E0D61" w:rsidRPr="004C23F4" w14:paraId="46497907" w14:textId="77777777" w:rsidTr="00812887">
        <w:trPr>
          <w:cantSplit/>
        </w:trPr>
        <w:tc>
          <w:tcPr>
            <w:tcW w:w="3227" w:type="dxa"/>
          </w:tcPr>
          <w:p w14:paraId="2B6DA6F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8AB14CB" w14:textId="2A92F99E" w:rsidR="002E0D61" w:rsidRPr="00DD2F9B" w:rsidRDefault="00E52A8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EDADEB8" w14:textId="77777777" w:rsidTr="00812887">
        <w:trPr>
          <w:cantSplit/>
        </w:trPr>
        <w:tc>
          <w:tcPr>
            <w:tcW w:w="3227" w:type="dxa"/>
          </w:tcPr>
          <w:p w14:paraId="0BB4CDC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245E7D0" w14:textId="6410F64F" w:rsidR="002E0D61" w:rsidRPr="00DD2F9B" w:rsidRDefault="00E52A8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CF75D6" w14:textId="77777777" w:rsidTr="00812887">
        <w:trPr>
          <w:cantSplit/>
        </w:trPr>
        <w:tc>
          <w:tcPr>
            <w:tcW w:w="3227" w:type="dxa"/>
          </w:tcPr>
          <w:p w14:paraId="6D9F0F9C" w14:textId="77777777" w:rsidR="004079B4" w:rsidRDefault="002E0D61" w:rsidP="00F4402E">
            <w:pPr>
              <w:pStyle w:val="Tablefont"/>
            </w:pPr>
            <w:r>
              <w:lastRenderedPageBreak/>
              <w:t>HCOTN</w:t>
            </w:r>
          </w:p>
        </w:tc>
        <w:tc>
          <w:tcPr>
            <w:tcW w:w="6015" w:type="dxa"/>
          </w:tcPr>
          <w:p w14:paraId="0A26BA8D" w14:textId="40F95FE7" w:rsidR="002E0D61" w:rsidRPr="00DD2F9B" w:rsidRDefault="00E52A8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8365E0E" w14:textId="77777777" w:rsidTr="00812887">
        <w:trPr>
          <w:cantSplit/>
        </w:trPr>
        <w:tc>
          <w:tcPr>
            <w:tcW w:w="3227" w:type="dxa"/>
          </w:tcPr>
          <w:p w14:paraId="53E8589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39AE455" w14:textId="46FAC3F4" w:rsidR="00386093" w:rsidRPr="00DD2F9B" w:rsidRDefault="00E52A8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AE41EED" w14:textId="77777777" w:rsidTr="00812887">
        <w:trPr>
          <w:cantSplit/>
        </w:trPr>
        <w:tc>
          <w:tcPr>
            <w:tcW w:w="3227" w:type="dxa"/>
          </w:tcPr>
          <w:p w14:paraId="18C31C6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02447D3" w14:textId="6BF912BA" w:rsidR="00386093" w:rsidRPr="00DD2F9B" w:rsidRDefault="00E52A8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C83498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3A9B62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7FF6E5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0BE1A3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F28046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71" w:type="dxa"/>
              <w:tblLook w:val="04A0" w:firstRow="1" w:lastRow="0" w:firstColumn="1" w:lastColumn="0" w:noHBand="0" w:noVBand="1"/>
            </w:tblPr>
            <w:tblGrid>
              <w:gridCol w:w="3820"/>
              <w:gridCol w:w="1133"/>
              <w:gridCol w:w="1133"/>
              <w:gridCol w:w="2724"/>
            </w:tblGrid>
            <w:tr w:rsidR="00505247" w:rsidRPr="00505247" w14:paraId="4A9F8C17" w14:textId="77777777" w:rsidTr="00505247">
              <w:trPr>
                <w:trHeight w:val="229"/>
              </w:trPr>
              <w:tc>
                <w:tcPr>
                  <w:tcW w:w="40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8C0D9B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6F2C0DB" w14:textId="77777777" w:rsidR="00505247" w:rsidRPr="00505247" w:rsidRDefault="00505247" w:rsidP="005052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DD91B1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2AD7A5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05247" w:rsidRPr="00505247" w14:paraId="5A88A27A" w14:textId="77777777" w:rsidTr="00505247">
              <w:trPr>
                <w:trHeight w:val="229"/>
              </w:trPr>
              <w:tc>
                <w:tcPr>
                  <w:tcW w:w="40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CE1C34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1CEC88" w14:textId="77777777" w:rsidR="00505247" w:rsidRPr="00505247" w:rsidRDefault="00505247" w:rsidP="005052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AAD7A1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1EF422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05247" w:rsidRPr="00505247" w14:paraId="63EBD906" w14:textId="77777777" w:rsidTr="00505247">
              <w:trPr>
                <w:trHeight w:val="229"/>
              </w:trPr>
              <w:tc>
                <w:tcPr>
                  <w:tcW w:w="40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CE1243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A9F7C6A" w14:textId="77777777" w:rsidR="00505247" w:rsidRPr="00505247" w:rsidRDefault="00505247" w:rsidP="005052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74D3D1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EE9C38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05247" w:rsidRPr="00505247" w14:paraId="76394CCF" w14:textId="77777777" w:rsidTr="00505247">
              <w:trPr>
                <w:trHeight w:val="229"/>
              </w:trPr>
              <w:tc>
                <w:tcPr>
                  <w:tcW w:w="40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F19C5C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865D0" w14:textId="77777777" w:rsidR="00505247" w:rsidRPr="00505247" w:rsidRDefault="00505247" w:rsidP="005052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36C815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A6C0A4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05247" w:rsidRPr="00505247" w14:paraId="674D15CD" w14:textId="77777777" w:rsidTr="00505247">
              <w:trPr>
                <w:trHeight w:val="229"/>
              </w:trPr>
              <w:tc>
                <w:tcPr>
                  <w:tcW w:w="40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449D82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5B44E3" w14:textId="77777777" w:rsidR="00505247" w:rsidRPr="00505247" w:rsidRDefault="00505247" w:rsidP="005052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6EAF4E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47F9F5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05247" w:rsidRPr="00505247" w14:paraId="1DDAA90C" w14:textId="77777777" w:rsidTr="00505247">
              <w:trPr>
                <w:trHeight w:val="229"/>
              </w:trPr>
              <w:tc>
                <w:tcPr>
                  <w:tcW w:w="40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4A4599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35CB62E" w14:textId="77777777" w:rsidR="00505247" w:rsidRPr="00505247" w:rsidRDefault="00505247" w:rsidP="005052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C5D402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632DA3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05247" w:rsidRPr="00505247" w14:paraId="55BFC6BD" w14:textId="77777777" w:rsidTr="00505247">
              <w:trPr>
                <w:trHeight w:val="229"/>
              </w:trPr>
              <w:tc>
                <w:tcPr>
                  <w:tcW w:w="40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93FB3D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1A30C0" w14:textId="77777777" w:rsidR="00505247" w:rsidRPr="00505247" w:rsidRDefault="00505247" w:rsidP="0050524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CCE434" w14:textId="77777777" w:rsidR="00505247" w:rsidRPr="00505247" w:rsidRDefault="00505247" w:rsidP="0050524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2.5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9068" w14:textId="77777777" w:rsidR="00505247" w:rsidRPr="00505247" w:rsidRDefault="00505247" w:rsidP="0050524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0524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D39D83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D3CCDC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CEA35D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0AF7BF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733E523" w14:textId="1F7672D3" w:rsidR="00EB3D1B" w:rsidRDefault="00942C0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020A04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8B53B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B15A1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4DB360D" w14:textId="7F850C12" w:rsidR="001B79E5" w:rsidRDefault="00E52A88" w:rsidP="001B79E5">
                <w:pPr>
                  <w:pStyle w:val="Tablefont"/>
                </w:pPr>
                <w:r w:rsidRPr="00E52A88">
                  <w:t>162.21</w:t>
                </w:r>
              </w:p>
            </w:tc>
          </w:sdtContent>
        </w:sdt>
      </w:tr>
      <w:tr w:rsidR="00A31D99" w:rsidRPr="004C23F4" w14:paraId="1DC0614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BB991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6EC2E7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51CCF8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860C1E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2FB7DFB" w14:textId="610A9C09" w:rsidR="00687890" w:rsidRPr="004C23F4" w:rsidRDefault="00921CE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6251EED" w14:textId="77777777" w:rsidTr="00EA6243">
        <w:trPr>
          <w:cantSplit/>
        </w:trPr>
        <w:tc>
          <w:tcPr>
            <w:tcW w:w="4077" w:type="dxa"/>
            <w:vAlign w:val="center"/>
          </w:tcPr>
          <w:p w14:paraId="6D52B44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DBDFC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780A5CC" w14:textId="77777777" w:rsidTr="00EA6243">
        <w:trPr>
          <w:cantSplit/>
        </w:trPr>
        <w:tc>
          <w:tcPr>
            <w:tcW w:w="4077" w:type="dxa"/>
            <w:vAlign w:val="center"/>
          </w:tcPr>
          <w:p w14:paraId="19203C1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AD4D7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D4DA92B" w14:textId="77777777" w:rsidTr="00EA6243">
        <w:trPr>
          <w:cantSplit/>
        </w:trPr>
        <w:tc>
          <w:tcPr>
            <w:tcW w:w="4077" w:type="dxa"/>
            <w:vAlign w:val="center"/>
          </w:tcPr>
          <w:p w14:paraId="6D6529F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D08FFE4" w14:textId="77777777" w:rsidR="00E06F40" w:rsidRPr="00A006A0" w:rsidRDefault="00C96C1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75F9A3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2A0D1A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9ABB6F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B965DF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DC635E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E98FC7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E195B0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80E72E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D5BB4C2" w14:textId="551FCAA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FA771FA" w14:textId="77777777" w:rsidR="00BD7442" w:rsidRDefault="00AF7B6A" w:rsidP="005527FA">
      <w:r w:rsidRPr="00AF7B6A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76396B21" w14:textId="67AA5665" w:rsidR="005527FA" w:rsidRDefault="005527FA" w:rsidP="005527FA">
      <w:r w:rsidRPr="00DB0A36">
        <w:lastRenderedPageBreak/>
        <w:t>National Industrial Chemicals Notification and Assessment Scheme (NICNAS) (201</w:t>
      </w:r>
      <w:r>
        <w:t>8</w:t>
      </w:r>
      <w:r w:rsidRPr="00DB0A36">
        <w:t xml:space="preserve">) </w:t>
      </w:r>
      <w:r w:rsidRPr="005527FA">
        <w:t>Ethanimidothioic acid, N-[[(methylamino)carbonyl]oxy]-, methyl ester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312CDAED" w14:textId="0996A85A" w:rsidR="005527FA" w:rsidRDefault="002853FC" w:rsidP="00921CEA">
      <w:r w:rsidRPr="002853FC">
        <w:t>US Environmental Pro</w:t>
      </w:r>
      <w:r w:rsidR="00BA53F9">
        <w:t>tection Authority (US EPA) (1987</w:t>
      </w:r>
      <w:r w:rsidRPr="002853FC">
        <w:t xml:space="preserve">) Integrated Risk Information System (IRIS) Chemical Assessment Summary – </w:t>
      </w:r>
      <w:r w:rsidR="00BA53F9" w:rsidRPr="00BA53F9">
        <w:t>Methomyl</w:t>
      </w:r>
      <w:r w:rsidRPr="002853FC">
        <w:t>.</w:t>
      </w:r>
    </w:p>
    <w:p w14:paraId="10D85386" w14:textId="77777777" w:rsidR="00EE0148" w:rsidRPr="00351FE0" w:rsidRDefault="00EE0148" w:rsidP="00921CEA"/>
    <w:sectPr w:rsidR="00EE0148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761E9" w14:textId="77777777" w:rsidR="003E4028" w:rsidRDefault="003E4028" w:rsidP="00F43AD5">
      <w:pPr>
        <w:spacing w:after="0" w:line="240" w:lineRule="auto"/>
      </w:pPr>
      <w:r>
        <w:separator/>
      </w:r>
    </w:p>
  </w:endnote>
  <w:endnote w:type="continuationSeparator" w:id="0">
    <w:p w14:paraId="571BC189" w14:textId="77777777" w:rsidR="003E4028" w:rsidRDefault="003E402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7E4E1" w14:textId="77777777" w:rsidR="00965B23" w:rsidRDefault="00965B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373351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EC76542" w14:textId="25712B80" w:rsidR="00074421" w:rsidRDefault="00074421" w:rsidP="0034744C">
        <w:pPr>
          <w:pStyle w:val="Footer"/>
          <w:rPr>
            <w:sz w:val="18"/>
            <w:szCs w:val="18"/>
          </w:rPr>
        </w:pPr>
        <w:r w:rsidRPr="00DD22DA">
          <w:rPr>
            <w:b/>
            <w:sz w:val="18"/>
            <w:szCs w:val="18"/>
          </w:rPr>
          <w:t>Methomyl</w:t>
        </w:r>
        <w:r>
          <w:rPr>
            <w:b/>
            <w:sz w:val="18"/>
            <w:szCs w:val="18"/>
          </w:rPr>
          <w:t xml:space="preserve"> (</w:t>
        </w:r>
        <w:r w:rsidRPr="00DD22DA">
          <w:rPr>
            <w:b/>
            <w:sz w:val="18"/>
            <w:szCs w:val="18"/>
          </w:rPr>
          <w:t>16752-77-5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28492B4" w14:textId="0FCF1742" w:rsidR="00074421" w:rsidRPr="00F43AD5" w:rsidRDefault="0007442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65B23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7763D" w14:textId="77777777" w:rsidR="00965B23" w:rsidRDefault="00965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85D60" w14:textId="77777777" w:rsidR="003E4028" w:rsidRDefault="003E4028" w:rsidP="00F43AD5">
      <w:pPr>
        <w:spacing w:after="0" w:line="240" w:lineRule="auto"/>
      </w:pPr>
      <w:r>
        <w:separator/>
      </w:r>
    </w:p>
  </w:footnote>
  <w:footnote w:type="continuationSeparator" w:id="0">
    <w:p w14:paraId="15398113" w14:textId="77777777" w:rsidR="003E4028" w:rsidRDefault="003E402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F8B52" w14:textId="59125145" w:rsidR="00965B23" w:rsidRDefault="00965B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2F524" w14:textId="2EC4A9F8" w:rsidR="00074421" w:rsidRDefault="0007442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4" name="Picture 4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245A6" w14:textId="4B3F5E52" w:rsidR="00965B23" w:rsidRDefault="00965B2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CA979" w14:textId="6929686D" w:rsidR="00965B23" w:rsidRDefault="00965B2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6D44E" w14:textId="749801C6" w:rsidR="00074421" w:rsidRDefault="00965B23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B63A1C" wp14:editId="2DDFF64D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DC366" w14:textId="49B96A22" w:rsidR="00965B23" w:rsidRDefault="00965B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1259B"/>
    <w:multiLevelType w:val="hybridMultilevel"/>
    <w:tmpl w:val="A97EDE7C"/>
    <w:lvl w:ilvl="0" w:tplc="48D219C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34F7B"/>
    <w:multiLevelType w:val="hybridMultilevel"/>
    <w:tmpl w:val="47C857F4"/>
    <w:lvl w:ilvl="0" w:tplc="0C7E7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D3EBD"/>
    <w:multiLevelType w:val="hybridMultilevel"/>
    <w:tmpl w:val="3932A488"/>
    <w:lvl w:ilvl="0" w:tplc="830E4F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B2CF3"/>
    <w:multiLevelType w:val="hybridMultilevel"/>
    <w:tmpl w:val="404E62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099584">
    <w:abstractNumId w:val="1"/>
  </w:num>
  <w:num w:numId="2" w16cid:durableId="1703047508">
    <w:abstractNumId w:val="2"/>
  </w:num>
  <w:num w:numId="3" w16cid:durableId="914164971">
    <w:abstractNumId w:val="3"/>
  </w:num>
  <w:num w:numId="4" w16cid:durableId="995491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43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4421"/>
    <w:rsid w:val="000803E1"/>
    <w:rsid w:val="00084513"/>
    <w:rsid w:val="00084859"/>
    <w:rsid w:val="00092D94"/>
    <w:rsid w:val="00093B67"/>
    <w:rsid w:val="000B0868"/>
    <w:rsid w:val="000B3E12"/>
    <w:rsid w:val="000B3E78"/>
    <w:rsid w:val="000B7B48"/>
    <w:rsid w:val="000C096D"/>
    <w:rsid w:val="000C139A"/>
    <w:rsid w:val="000C2053"/>
    <w:rsid w:val="000C248C"/>
    <w:rsid w:val="000C6C24"/>
    <w:rsid w:val="000D291C"/>
    <w:rsid w:val="000E5A54"/>
    <w:rsid w:val="000E63D3"/>
    <w:rsid w:val="000E66C6"/>
    <w:rsid w:val="000E67CF"/>
    <w:rsid w:val="0010461E"/>
    <w:rsid w:val="00106FAA"/>
    <w:rsid w:val="00113443"/>
    <w:rsid w:val="001241D4"/>
    <w:rsid w:val="001269A7"/>
    <w:rsid w:val="00131092"/>
    <w:rsid w:val="001404D0"/>
    <w:rsid w:val="00140E6A"/>
    <w:rsid w:val="00146545"/>
    <w:rsid w:val="00146B75"/>
    <w:rsid w:val="001522CA"/>
    <w:rsid w:val="0015266D"/>
    <w:rsid w:val="0015288A"/>
    <w:rsid w:val="00160F47"/>
    <w:rsid w:val="0017617E"/>
    <w:rsid w:val="00177CA1"/>
    <w:rsid w:val="00183823"/>
    <w:rsid w:val="00183942"/>
    <w:rsid w:val="001A009E"/>
    <w:rsid w:val="001A07D2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1A96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8DD"/>
    <w:rsid w:val="00224EE2"/>
    <w:rsid w:val="00227EC7"/>
    <w:rsid w:val="0023606C"/>
    <w:rsid w:val="00244AD1"/>
    <w:rsid w:val="002463BC"/>
    <w:rsid w:val="002465CE"/>
    <w:rsid w:val="0025734A"/>
    <w:rsid w:val="00262601"/>
    <w:rsid w:val="00263255"/>
    <w:rsid w:val="00276494"/>
    <w:rsid w:val="00277B0C"/>
    <w:rsid w:val="002853FC"/>
    <w:rsid w:val="002B1A2C"/>
    <w:rsid w:val="002B43D6"/>
    <w:rsid w:val="002C34F2"/>
    <w:rsid w:val="002C58FF"/>
    <w:rsid w:val="002C7AFE"/>
    <w:rsid w:val="002D05D2"/>
    <w:rsid w:val="002E0D61"/>
    <w:rsid w:val="002E4C7B"/>
    <w:rsid w:val="00304B0A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6C27"/>
    <w:rsid w:val="003A0E32"/>
    <w:rsid w:val="003A2B94"/>
    <w:rsid w:val="003B387D"/>
    <w:rsid w:val="003C0341"/>
    <w:rsid w:val="003C0D58"/>
    <w:rsid w:val="003D4FA3"/>
    <w:rsid w:val="003E0807"/>
    <w:rsid w:val="003E4028"/>
    <w:rsid w:val="003E51FB"/>
    <w:rsid w:val="003E6B39"/>
    <w:rsid w:val="003F07E1"/>
    <w:rsid w:val="004030BC"/>
    <w:rsid w:val="00403F7D"/>
    <w:rsid w:val="00406785"/>
    <w:rsid w:val="004079B4"/>
    <w:rsid w:val="00415383"/>
    <w:rsid w:val="00417A56"/>
    <w:rsid w:val="00420957"/>
    <w:rsid w:val="00422A10"/>
    <w:rsid w:val="0042532F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2E88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4353"/>
    <w:rsid w:val="004B6629"/>
    <w:rsid w:val="004C1E3F"/>
    <w:rsid w:val="004C23F4"/>
    <w:rsid w:val="004C3475"/>
    <w:rsid w:val="004C4910"/>
    <w:rsid w:val="004C58B6"/>
    <w:rsid w:val="004D16A3"/>
    <w:rsid w:val="004D3871"/>
    <w:rsid w:val="004D4AA1"/>
    <w:rsid w:val="004D6D68"/>
    <w:rsid w:val="004E5EDD"/>
    <w:rsid w:val="004F443A"/>
    <w:rsid w:val="004F448A"/>
    <w:rsid w:val="004F493D"/>
    <w:rsid w:val="004F65E8"/>
    <w:rsid w:val="0050005E"/>
    <w:rsid w:val="00502B88"/>
    <w:rsid w:val="00505247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27FA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1D77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75E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4F49"/>
    <w:rsid w:val="006D7222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173F"/>
    <w:rsid w:val="00753CA5"/>
    <w:rsid w:val="00754779"/>
    <w:rsid w:val="0075716D"/>
    <w:rsid w:val="00765AE0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303"/>
    <w:rsid w:val="007B1B42"/>
    <w:rsid w:val="007C30EB"/>
    <w:rsid w:val="007C4012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7CE"/>
    <w:rsid w:val="00857A8A"/>
    <w:rsid w:val="008630EE"/>
    <w:rsid w:val="00864D13"/>
    <w:rsid w:val="00870C11"/>
    <w:rsid w:val="00871CD5"/>
    <w:rsid w:val="0087205A"/>
    <w:rsid w:val="008745A2"/>
    <w:rsid w:val="008768A8"/>
    <w:rsid w:val="008854F9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984"/>
    <w:rsid w:val="008D4B8B"/>
    <w:rsid w:val="008D5A78"/>
    <w:rsid w:val="008E5DA3"/>
    <w:rsid w:val="008E7B64"/>
    <w:rsid w:val="008F3F3B"/>
    <w:rsid w:val="008F5DCD"/>
    <w:rsid w:val="00900951"/>
    <w:rsid w:val="009118A6"/>
    <w:rsid w:val="00916909"/>
    <w:rsid w:val="00916EC0"/>
    <w:rsid w:val="00920467"/>
    <w:rsid w:val="00921CEA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2FA"/>
    <w:rsid w:val="00942C0E"/>
    <w:rsid w:val="00946044"/>
    <w:rsid w:val="0094660B"/>
    <w:rsid w:val="00946A33"/>
    <w:rsid w:val="0095260E"/>
    <w:rsid w:val="009578DD"/>
    <w:rsid w:val="00961124"/>
    <w:rsid w:val="009621B6"/>
    <w:rsid w:val="00965B23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189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B9D"/>
    <w:rsid w:val="00A01D0C"/>
    <w:rsid w:val="00A0643F"/>
    <w:rsid w:val="00A067EE"/>
    <w:rsid w:val="00A10FCE"/>
    <w:rsid w:val="00A12C38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6D32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0704"/>
    <w:rsid w:val="00AE2745"/>
    <w:rsid w:val="00AE2F64"/>
    <w:rsid w:val="00AE5A07"/>
    <w:rsid w:val="00AF42CB"/>
    <w:rsid w:val="00AF483F"/>
    <w:rsid w:val="00AF5E07"/>
    <w:rsid w:val="00AF5F06"/>
    <w:rsid w:val="00AF7B6A"/>
    <w:rsid w:val="00B00A25"/>
    <w:rsid w:val="00B02DC4"/>
    <w:rsid w:val="00B1422A"/>
    <w:rsid w:val="00B1765C"/>
    <w:rsid w:val="00B17913"/>
    <w:rsid w:val="00B200EB"/>
    <w:rsid w:val="00B213C4"/>
    <w:rsid w:val="00B40C60"/>
    <w:rsid w:val="00B479A9"/>
    <w:rsid w:val="00B52EDF"/>
    <w:rsid w:val="00B71188"/>
    <w:rsid w:val="00B76A41"/>
    <w:rsid w:val="00B87D4C"/>
    <w:rsid w:val="00B93646"/>
    <w:rsid w:val="00BA06D0"/>
    <w:rsid w:val="00BA0B38"/>
    <w:rsid w:val="00BA1DBB"/>
    <w:rsid w:val="00BA4510"/>
    <w:rsid w:val="00BA529A"/>
    <w:rsid w:val="00BA53F9"/>
    <w:rsid w:val="00BB612A"/>
    <w:rsid w:val="00BB7343"/>
    <w:rsid w:val="00BD499F"/>
    <w:rsid w:val="00BD56DE"/>
    <w:rsid w:val="00BD7442"/>
    <w:rsid w:val="00BF2406"/>
    <w:rsid w:val="00C06E43"/>
    <w:rsid w:val="00C16315"/>
    <w:rsid w:val="00C3091E"/>
    <w:rsid w:val="00C31802"/>
    <w:rsid w:val="00C40FF1"/>
    <w:rsid w:val="00C419E2"/>
    <w:rsid w:val="00C5020E"/>
    <w:rsid w:val="00C54627"/>
    <w:rsid w:val="00C57452"/>
    <w:rsid w:val="00C61EDF"/>
    <w:rsid w:val="00C6239D"/>
    <w:rsid w:val="00C6594B"/>
    <w:rsid w:val="00C67FFB"/>
    <w:rsid w:val="00C7155E"/>
    <w:rsid w:val="00C71D1E"/>
    <w:rsid w:val="00C71D7D"/>
    <w:rsid w:val="00C73593"/>
    <w:rsid w:val="00C74833"/>
    <w:rsid w:val="00C850A0"/>
    <w:rsid w:val="00C85A86"/>
    <w:rsid w:val="00C96C19"/>
    <w:rsid w:val="00C978F0"/>
    <w:rsid w:val="00C97EB6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46CD"/>
    <w:rsid w:val="00D048F7"/>
    <w:rsid w:val="00D0517E"/>
    <w:rsid w:val="00D140FC"/>
    <w:rsid w:val="00D21D8C"/>
    <w:rsid w:val="00D31357"/>
    <w:rsid w:val="00D33220"/>
    <w:rsid w:val="00D334D1"/>
    <w:rsid w:val="00D35345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192D"/>
    <w:rsid w:val="00DA352E"/>
    <w:rsid w:val="00DC7694"/>
    <w:rsid w:val="00DD1BF6"/>
    <w:rsid w:val="00DD22DA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2A88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4C5F"/>
    <w:rsid w:val="00E96077"/>
    <w:rsid w:val="00EA0A06"/>
    <w:rsid w:val="00EA6243"/>
    <w:rsid w:val="00EA74AB"/>
    <w:rsid w:val="00EA7F97"/>
    <w:rsid w:val="00EB3D1B"/>
    <w:rsid w:val="00EC13D6"/>
    <w:rsid w:val="00ED1D89"/>
    <w:rsid w:val="00ED66BC"/>
    <w:rsid w:val="00EE0148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1118"/>
    <w:rsid w:val="00F63DBD"/>
    <w:rsid w:val="00F6491C"/>
    <w:rsid w:val="00F67BBB"/>
    <w:rsid w:val="00F754AB"/>
    <w:rsid w:val="00F87D92"/>
    <w:rsid w:val="00F90AA7"/>
    <w:rsid w:val="00F92498"/>
    <w:rsid w:val="00F9496B"/>
    <w:rsid w:val="00F970C9"/>
    <w:rsid w:val="00FA06A8"/>
    <w:rsid w:val="00FA3DF5"/>
    <w:rsid w:val="00FA741F"/>
    <w:rsid w:val="00FB49D4"/>
    <w:rsid w:val="00FB4E07"/>
    <w:rsid w:val="00FB755A"/>
    <w:rsid w:val="00FC18FF"/>
    <w:rsid w:val="00FC60A2"/>
    <w:rsid w:val="00FD0A06"/>
    <w:rsid w:val="00FD1871"/>
    <w:rsid w:val="00FD1C2A"/>
    <w:rsid w:val="00FD3110"/>
    <w:rsid w:val="00FF522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3"/>
    <o:shapelayout v:ext="edit">
      <o:idmap v:ext="edit" data="1"/>
    </o:shapelayout>
  </w:shapeDefaults>
  <w:decimalSymbol w:val="."/>
  <w:listSeparator w:val=","/>
  <w14:docId w14:val="090CACBD"/>
  <w15:docId w15:val="{94085CAE-D895-486E-9891-DEE29E573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70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704"/>
    <w:rPr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7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27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27FA"/>
    <w:rPr>
      <w:b/>
      <w:bCs/>
      <w:szCs w:val="20"/>
    </w:rPr>
  </w:style>
  <w:style w:type="paragraph" w:styleId="Revision">
    <w:name w:val="Revision"/>
    <w:hidden/>
    <w:uiPriority w:val="99"/>
    <w:semiHidden/>
    <w:rsid w:val="00BD74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A3DA03ADAF647D3A8A34DBF58845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5E5BE-9D5E-4AAA-919E-8609545C84B1}"/>
      </w:docPartPr>
      <w:docPartBody>
        <w:p w:rsidR="000656A3" w:rsidRDefault="000656A3" w:rsidP="000656A3">
          <w:pPr>
            <w:pStyle w:val="FA3DA03ADAF647D3A8A34DBF5884558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40706DCBA00497F8C9BD660BAE74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C5B47-0828-4680-BD64-86CBBD9A7710}"/>
      </w:docPartPr>
      <w:docPartBody>
        <w:p w:rsidR="00616B7A" w:rsidRDefault="00D37DAA" w:rsidP="00D37DAA">
          <w:pPr>
            <w:pStyle w:val="C40706DCBA00497F8C9BD660BAE74193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828F42E6A97144E58A196EE5363CE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B81CDA-C307-462A-B7BD-28A706E26595}"/>
      </w:docPartPr>
      <w:docPartBody>
        <w:p w:rsidR="00616B7A" w:rsidRDefault="00D37DAA" w:rsidP="00D37DAA">
          <w:pPr>
            <w:pStyle w:val="828F42E6A97144E58A196EE5363CE909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56A3"/>
    <w:rsid w:val="00224900"/>
    <w:rsid w:val="00616B7A"/>
    <w:rsid w:val="00753CA5"/>
    <w:rsid w:val="00D21A9F"/>
    <w:rsid w:val="00D37DAA"/>
    <w:rsid w:val="00DF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7DA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A3DA03ADAF647D3A8A34DBF58845583">
    <w:name w:val="FA3DA03ADAF647D3A8A34DBF58845583"/>
    <w:rsid w:val="000656A3"/>
  </w:style>
  <w:style w:type="paragraph" w:customStyle="1" w:styleId="C40706DCBA00497F8C9BD660BAE74193">
    <w:name w:val="C40706DCBA00497F8C9BD660BAE74193"/>
    <w:rsid w:val="00D37DAA"/>
  </w:style>
  <w:style w:type="paragraph" w:customStyle="1" w:styleId="828F42E6A97144E58A196EE5363CE909">
    <w:name w:val="828F42E6A97144E58A196EE5363CE909"/>
    <w:rsid w:val="00D37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62B262-1AAB-408A-93EC-6475D7662973}"/>
</file>

<file path=customXml/itemProps2.xml><?xml version="1.0" encoding="utf-8"?>
<ds:datastoreItem xmlns:ds="http://schemas.openxmlformats.org/officeDocument/2006/customXml" ds:itemID="{106DB750-AB54-43C6-9C5B-6C92AE95C7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6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WOOD,Nina</cp:lastModifiedBy>
  <cp:revision>41</cp:revision>
  <cp:lastPrinted>2018-10-22T22:41:00Z</cp:lastPrinted>
  <dcterms:created xsi:type="dcterms:W3CDTF">2019-09-09T01:02:00Z</dcterms:created>
  <dcterms:modified xsi:type="dcterms:W3CDTF">2025-12-24T00:08:00Z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2025-12-24T00:08:44Z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4df6f240-c9b5-41b6-a008-e1d2c8ee1a44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