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2BD7A6DA" w14:textId="08475FFA" w:rsidR="00BD499F" w:rsidRPr="004C23F4" w:rsidRDefault="00B00C3B" w:rsidP="00B40C60">
          <w:pPr>
            <w:pStyle w:val="Heading1"/>
            <w:jc w:val="center"/>
            <w:rPr>
              <w:rFonts w:ascii="Arial" w:hAnsi="Arial" w:cs="Arial"/>
            </w:rPr>
          </w:pPr>
          <w:r w:rsidRPr="00B00C3B">
            <w:rPr>
              <w:rFonts w:ascii="Arial" w:hAnsi="Arial" w:cs="Arial"/>
            </w:rPr>
            <w:t>Mesityl oxide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84"/>
        <w:gridCol w:w="5042"/>
      </w:tblGrid>
      <w:tr w:rsidR="00F43AD5" w:rsidRPr="004C23F4" w14:paraId="5F8C0237" w14:textId="77777777" w:rsidTr="00B76A41">
        <w:trPr>
          <w:cantSplit/>
          <w:tblHeader/>
        </w:trPr>
        <w:tc>
          <w:tcPr>
            <w:tcW w:w="4077" w:type="dxa"/>
          </w:tcPr>
          <w:p w14:paraId="0B28CBFF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165" w:type="dxa"/>
          </w:tcPr>
          <w:p w14:paraId="37269E19" w14:textId="48518B82" w:rsidR="00F43AD5" w:rsidRPr="00717D45" w:rsidRDefault="00595C7B" w:rsidP="00B76A41">
            <w:pPr>
              <w:pStyle w:val="Tablefont"/>
            </w:pPr>
            <w:r w:rsidRPr="00595C7B">
              <w:t>141-79-7</w:t>
            </w:r>
          </w:p>
        </w:tc>
      </w:tr>
      <w:tr w:rsidR="00F43AD5" w:rsidRPr="004C23F4" w14:paraId="50B35F21" w14:textId="77777777" w:rsidTr="00B76A41">
        <w:trPr>
          <w:cantSplit/>
        </w:trPr>
        <w:tc>
          <w:tcPr>
            <w:tcW w:w="4077" w:type="dxa"/>
          </w:tcPr>
          <w:p w14:paraId="193DEFB8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165" w:type="dxa"/>
          </w:tcPr>
          <w:p w14:paraId="7822235B" w14:textId="482C3A06" w:rsidR="00F43AD5" w:rsidRPr="00717D45" w:rsidRDefault="006F1B03" w:rsidP="00B76A41">
            <w:pPr>
              <w:pStyle w:val="Tablefont"/>
            </w:pPr>
            <w:r>
              <w:t xml:space="preserve">Isobutenyl methyl ketone, isopropylidene acetone, </w:t>
            </w:r>
            <w:r w:rsidR="00681380">
              <w:br/>
            </w:r>
            <w:r>
              <w:t>4-methyl-3-pentene-2-one</w:t>
            </w:r>
          </w:p>
        </w:tc>
      </w:tr>
      <w:tr w:rsidR="00F43AD5" w:rsidRPr="004C23F4" w14:paraId="67CBB416" w14:textId="77777777" w:rsidTr="00B76A41">
        <w:trPr>
          <w:cantSplit/>
        </w:trPr>
        <w:tc>
          <w:tcPr>
            <w:tcW w:w="4077" w:type="dxa"/>
          </w:tcPr>
          <w:p w14:paraId="0C55659C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165" w:type="dxa"/>
          </w:tcPr>
          <w:p w14:paraId="4327C55F" w14:textId="6EE77636" w:rsidR="00F43AD5" w:rsidRPr="00717D45" w:rsidRDefault="0018088B" w:rsidP="00B76A41">
            <w:pPr>
              <w:pStyle w:val="Tablefont"/>
            </w:pPr>
            <w:r>
              <w:t>C</w:t>
            </w:r>
            <w:r w:rsidRPr="0018088B">
              <w:rPr>
                <w:vertAlign w:val="subscript"/>
              </w:rPr>
              <w:t>6</w:t>
            </w:r>
            <w:r>
              <w:t>H</w:t>
            </w:r>
            <w:r w:rsidRPr="0018088B">
              <w:rPr>
                <w:vertAlign w:val="subscript"/>
              </w:rPr>
              <w:t>10</w:t>
            </w:r>
            <w:r>
              <w:t>O</w:t>
            </w:r>
          </w:p>
        </w:tc>
      </w:tr>
      <w:tr w:rsidR="00F43AD5" w:rsidRPr="004C23F4" w14:paraId="4FC112D4" w14:textId="77777777" w:rsidTr="00B76A41">
        <w:trPr>
          <w:cantSplit/>
        </w:trPr>
        <w:tc>
          <w:tcPr>
            <w:tcW w:w="4077" w:type="dxa"/>
          </w:tcPr>
          <w:p w14:paraId="0CC8A363" w14:textId="77777777" w:rsidR="00F43AD5" w:rsidRPr="00921DE7" w:rsidRDefault="00CB1CB1" w:rsidP="00B76A41">
            <w:pPr>
              <w:pStyle w:val="Tablerowright"/>
            </w:pPr>
            <w:r w:rsidRPr="00921DE7">
              <w:t>Structural formula:</w:t>
            </w:r>
          </w:p>
        </w:tc>
        <w:tc>
          <w:tcPr>
            <w:tcW w:w="5165" w:type="dxa"/>
          </w:tcPr>
          <w:p w14:paraId="0830B5F4" w14:textId="6FE06188" w:rsidR="00F43AD5" w:rsidRPr="00A443BD" w:rsidRDefault="0018088B" w:rsidP="00B76A41">
            <w:pPr>
              <w:pStyle w:val="Tablerowheading"/>
              <w:rPr>
                <w:b w:val="0"/>
              </w:rPr>
            </w:pPr>
            <w:r w:rsidRPr="00136B8B">
              <w:rPr>
                <w:b w:val="0"/>
              </w:rPr>
              <w:t>—</w:t>
            </w:r>
          </w:p>
        </w:tc>
      </w:tr>
    </w:tbl>
    <w:p w14:paraId="3CFC29E7" w14:textId="1028AC09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F059DE">
            <w:rPr>
              <w:rStyle w:val="WESstatus"/>
            </w:rPr>
            <w:t>(amended)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05"/>
        <w:gridCol w:w="5021"/>
      </w:tblGrid>
      <w:tr w:rsidR="002C7AFE" w:rsidRPr="004C23F4" w14:paraId="25B282B8" w14:textId="77777777" w:rsidTr="00A443BD">
        <w:trPr>
          <w:cantSplit/>
          <w:tblHeader/>
        </w:trPr>
        <w:tc>
          <w:tcPr>
            <w:tcW w:w="4005" w:type="dxa"/>
            <w:vAlign w:val="center"/>
          </w:tcPr>
          <w:p w14:paraId="30E0696C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21" w:type="dxa"/>
          </w:tcPr>
          <w:p w14:paraId="2C391A4B" w14:textId="6BA02762" w:rsidR="002C7AFE" w:rsidRPr="00F059DE" w:rsidRDefault="00F059DE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2 ppm (8.1 mg/m</w:t>
            </w:r>
            <w:r>
              <w:rPr>
                <w:b/>
                <w:vertAlign w:val="superscript"/>
              </w:rPr>
              <w:t>3</w:t>
            </w:r>
            <w:r>
              <w:rPr>
                <w:b/>
              </w:rPr>
              <w:t>)</w:t>
            </w:r>
          </w:p>
        </w:tc>
      </w:tr>
      <w:tr w:rsidR="002C7AFE" w:rsidRPr="004C23F4" w14:paraId="7A8E77CB" w14:textId="77777777" w:rsidTr="00A443BD">
        <w:trPr>
          <w:cantSplit/>
        </w:trPr>
        <w:tc>
          <w:tcPr>
            <w:tcW w:w="4005" w:type="dxa"/>
            <w:vAlign w:val="center"/>
          </w:tcPr>
          <w:p w14:paraId="4C4D8DA8" w14:textId="77777777" w:rsidR="002C7AFE" w:rsidRPr="002C58FF" w:rsidRDefault="002C7AFE" w:rsidP="00921DE7">
            <w:pPr>
              <w:pStyle w:val="Tablerowright"/>
            </w:pPr>
            <w:r w:rsidRPr="002C58FF">
              <w:t>STEL</w:t>
            </w:r>
            <w:r w:rsidR="00921DE7">
              <w:t>:</w:t>
            </w:r>
          </w:p>
        </w:tc>
        <w:tc>
          <w:tcPr>
            <w:tcW w:w="5021" w:type="dxa"/>
          </w:tcPr>
          <w:p w14:paraId="56404471" w14:textId="1FE2EA1D" w:rsidR="002C7AFE" w:rsidRPr="00EB3D1B" w:rsidRDefault="00F059DE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4C343E02" w14:textId="77777777" w:rsidTr="00A443BD">
        <w:trPr>
          <w:cantSplit/>
        </w:trPr>
        <w:tc>
          <w:tcPr>
            <w:tcW w:w="4005" w:type="dxa"/>
            <w:vAlign w:val="center"/>
          </w:tcPr>
          <w:p w14:paraId="4696914B" w14:textId="77777777" w:rsidR="002C7AFE" w:rsidRPr="002C58FF" w:rsidRDefault="00921DE7" w:rsidP="00921DE7">
            <w:pPr>
              <w:pStyle w:val="Tablerowright"/>
            </w:pPr>
            <w:r>
              <w:t>Peak limitation:</w:t>
            </w:r>
          </w:p>
        </w:tc>
        <w:tc>
          <w:tcPr>
            <w:tcW w:w="5021" w:type="dxa"/>
          </w:tcPr>
          <w:p w14:paraId="1950CF7A" w14:textId="2F4FCEF0" w:rsidR="002C7AFE" w:rsidRPr="00EB3D1B" w:rsidRDefault="00F059DE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57691EBF" w14:textId="77777777" w:rsidTr="00A443BD">
        <w:trPr>
          <w:cantSplit/>
        </w:trPr>
        <w:tc>
          <w:tcPr>
            <w:tcW w:w="4005" w:type="dxa"/>
          </w:tcPr>
          <w:p w14:paraId="0B3B9F88" w14:textId="77777777" w:rsidR="002C7AFE" w:rsidRPr="002C58FF" w:rsidRDefault="00A2073D" w:rsidP="003241A8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="00921DE7" w:rsidRPr="003241A8">
              <w:t>Notations</w:t>
            </w:r>
            <w:r w:rsidR="00921DE7">
              <w:t>:</w:t>
            </w:r>
          </w:p>
        </w:tc>
        <w:tc>
          <w:tcPr>
            <w:tcW w:w="5021" w:type="dxa"/>
          </w:tcPr>
          <w:p w14:paraId="0963DEDB" w14:textId="2E595249" w:rsidR="002C7AFE" w:rsidRPr="00EB3D1B" w:rsidRDefault="00F059DE" w:rsidP="008A36CF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7C61B998" w14:textId="77777777" w:rsidTr="00A443BD">
        <w:trPr>
          <w:cantSplit/>
        </w:trPr>
        <w:tc>
          <w:tcPr>
            <w:tcW w:w="4005" w:type="dxa"/>
            <w:vAlign w:val="center"/>
          </w:tcPr>
          <w:p w14:paraId="76CD5F26" w14:textId="77777777" w:rsidR="00F10C97" w:rsidRPr="002C58FF" w:rsidRDefault="00921DE7" w:rsidP="009F04D2">
            <w:pPr>
              <w:pStyle w:val="Tablerowright"/>
            </w:pPr>
            <w:r>
              <w:t>IDLH:</w:t>
            </w:r>
          </w:p>
        </w:tc>
        <w:tc>
          <w:tcPr>
            <w:tcW w:w="5021" w:type="dxa"/>
          </w:tcPr>
          <w:p w14:paraId="3FC825DF" w14:textId="56954425" w:rsidR="002C7AFE" w:rsidRPr="00EB3D1B" w:rsidRDefault="0018088B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1</w:t>
            </w:r>
            <w:r w:rsidR="00EE6BF8">
              <w:rPr>
                <w:b/>
              </w:rPr>
              <w:t>,</w:t>
            </w:r>
            <w:r>
              <w:rPr>
                <w:b/>
              </w:rPr>
              <w:t xml:space="preserve">400 ppm </w:t>
            </w:r>
            <w:r w:rsidR="00EE6BF8">
              <w:rPr>
                <w:b/>
              </w:rPr>
              <w:t>(LEL)</w:t>
            </w:r>
          </w:p>
        </w:tc>
      </w:tr>
      <w:tr w:rsidR="00A443BD" w:rsidRPr="004C23F4" w14:paraId="59BDC2FF" w14:textId="77777777" w:rsidTr="00734398">
        <w:trPr>
          <w:cantSplit/>
        </w:trPr>
        <w:tc>
          <w:tcPr>
            <w:tcW w:w="9026" w:type="dxa"/>
            <w:gridSpan w:val="2"/>
            <w:vAlign w:val="center"/>
          </w:tcPr>
          <w:p w14:paraId="1B34F593" w14:textId="6FA9B71C" w:rsidR="00A443BD" w:rsidRPr="00F059DE" w:rsidRDefault="00A443BD" w:rsidP="00017C82">
            <w:pPr>
              <w:pStyle w:val="Tablefont"/>
            </w:pPr>
            <w:r>
              <w:rPr>
                <w:b/>
              </w:rPr>
              <w:t>Sampling and analys</w:t>
            </w:r>
            <w:r w:rsidRPr="00A443BD">
              <w:rPr>
                <w:b/>
              </w:rPr>
              <w:t>is:</w:t>
            </w:r>
            <w:r w:rsidRPr="00A443BD">
              <w:rPr>
                <w:rStyle w:val="WESstatus"/>
                <w:color w:val="auto"/>
              </w:rPr>
              <w:t xml:space="preserve"> </w:t>
            </w:r>
            <w:sdt>
              <w:sdtPr>
                <w:rPr>
                  <w:rStyle w:val="WESstatus"/>
                  <w:color w:val="auto"/>
                </w:rPr>
                <w:id w:val="-2105258949"/>
                <w:placeholder>
                  <w:docPart w:val="E322769F3F354FCDAAA41A7F8D4EFC20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EndPr>
                <w:rPr>
                  <w:rStyle w:val="WESstatus"/>
                </w:rPr>
              </w:sdtEndPr>
              <w:sdtContent>
                <w:r>
                  <w:rPr>
                    <w:rStyle w:val="WESstatus"/>
                    <w:color w:val="auto"/>
                  </w:rPr>
                  <w:t xml:space="preserve">The recommended value is quantifiable through available sampling and analysis techniques. </w:t>
                </w:r>
              </w:sdtContent>
            </w:sdt>
          </w:p>
        </w:tc>
      </w:tr>
    </w:tbl>
    <w:p w14:paraId="5FEE8C1F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5D827925" w14:textId="41B82DCD" w:rsidR="006639B4" w:rsidRPr="004C23F4" w:rsidRDefault="00F059DE" w:rsidP="000C139A">
      <w:pPr>
        <w:rPr>
          <w:rFonts w:cs="Arial"/>
        </w:rPr>
      </w:pPr>
      <w:r w:rsidRPr="00F059DE">
        <w:rPr>
          <w:rFonts w:cs="Arial"/>
        </w:rPr>
        <w:t xml:space="preserve">A TWA of </w:t>
      </w:r>
      <w:r>
        <w:rPr>
          <w:rFonts w:cs="Arial"/>
        </w:rPr>
        <w:t>2 ppm</w:t>
      </w:r>
      <w:r w:rsidRPr="00F059DE">
        <w:rPr>
          <w:rFonts w:cs="Arial"/>
        </w:rPr>
        <w:t xml:space="preserve"> (</w:t>
      </w:r>
      <w:r>
        <w:rPr>
          <w:rFonts w:cs="Arial"/>
        </w:rPr>
        <w:t>8.1</w:t>
      </w:r>
      <w:r w:rsidRPr="00F059DE">
        <w:rPr>
          <w:rFonts w:cs="Arial"/>
        </w:rPr>
        <w:t xml:space="preserve"> mg/m</w:t>
      </w:r>
      <w:r w:rsidRPr="00F059DE">
        <w:rPr>
          <w:rFonts w:cs="Arial"/>
          <w:vertAlign w:val="superscript"/>
        </w:rPr>
        <w:t>3</w:t>
      </w:r>
      <w:r w:rsidRPr="00F059DE">
        <w:rPr>
          <w:rFonts w:cs="Arial"/>
        </w:rPr>
        <w:t>) is recommended</w:t>
      </w:r>
      <w:r>
        <w:rPr>
          <w:rFonts w:cs="Arial"/>
        </w:rPr>
        <w:t xml:space="preserve"> </w:t>
      </w:r>
      <w:r w:rsidRPr="00F059DE">
        <w:rPr>
          <w:rFonts w:cs="Arial"/>
        </w:rPr>
        <w:t xml:space="preserve">to protect for </w:t>
      </w:r>
      <w:r>
        <w:rPr>
          <w:rFonts w:cs="Arial"/>
        </w:rPr>
        <w:t xml:space="preserve">local irritation </w:t>
      </w:r>
      <w:r w:rsidRPr="00F059DE">
        <w:rPr>
          <w:rFonts w:cs="Arial"/>
        </w:rPr>
        <w:t xml:space="preserve">in exposed workers. </w:t>
      </w:r>
    </w:p>
    <w:p w14:paraId="716E7241" w14:textId="77777777" w:rsidR="00C7155E" w:rsidRPr="004C23F4" w:rsidRDefault="00F10C97" w:rsidP="003365A5">
      <w:pPr>
        <w:pStyle w:val="Heading2"/>
      </w:pPr>
      <w:r>
        <w:t>Discussion and conclusions</w:t>
      </w:r>
    </w:p>
    <w:p w14:paraId="7B593048" w14:textId="6FE733FD" w:rsidR="00681380" w:rsidRDefault="00CC5F84" w:rsidP="006639B4">
      <w:pPr>
        <w:rPr>
          <w:rFonts w:cs="Arial"/>
        </w:rPr>
      </w:pPr>
      <w:r>
        <w:rPr>
          <w:rFonts w:cs="Arial"/>
        </w:rPr>
        <w:t>Mesityl oxide is used as a solvent, flotation agent in ore purification and insect repellent.</w:t>
      </w:r>
      <w:r w:rsidR="002F7E2C">
        <w:rPr>
          <w:rFonts w:cs="Arial"/>
        </w:rPr>
        <w:t xml:space="preserve"> </w:t>
      </w:r>
    </w:p>
    <w:p w14:paraId="35222472" w14:textId="282E6C3D" w:rsidR="006639B4" w:rsidRDefault="002F7E2C" w:rsidP="006639B4">
      <w:pPr>
        <w:rPr>
          <w:rFonts w:cs="Arial"/>
        </w:rPr>
      </w:pPr>
      <w:r>
        <w:rPr>
          <w:rFonts w:cs="Arial"/>
        </w:rPr>
        <w:t xml:space="preserve">Critical effects </w:t>
      </w:r>
      <w:r w:rsidR="00681380">
        <w:rPr>
          <w:rFonts w:cs="Arial"/>
        </w:rPr>
        <w:t xml:space="preserve">of exposure </w:t>
      </w:r>
      <w:r>
        <w:rPr>
          <w:rFonts w:cs="Arial"/>
        </w:rPr>
        <w:t>are irritation of the eyes, skin and upper respiratory tract and</w:t>
      </w:r>
      <w:r w:rsidR="00044F1F">
        <w:rPr>
          <w:rFonts w:cs="Arial"/>
        </w:rPr>
        <w:t xml:space="preserve"> potential</w:t>
      </w:r>
      <w:r>
        <w:rPr>
          <w:rFonts w:cs="Arial"/>
        </w:rPr>
        <w:t xml:space="preserve"> narcosis at higher concentrations as observed in animals (</w:t>
      </w:r>
      <w:r w:rsidR="00044F1F">
        <w:rPr>
          <w:rFonts w:cs="Arial"/>
        </w:rPr>
        <w:t xml:space="preserve">ACGIH, 2018; </w:t>
      </w:r>
      <w:r>
        <w:rPr>
          <w:rFonts w:cs="Arial"/>
        </w:rPr>
        <w:t>DFG, 2016).</w:t>
      </w:r>
    </w:p>
    <w:p w14:paraId="530781A7" w14:textId="5DA4177A" w:rsidR="001018CD" w:rsidRDefault="002F7E2C" w:rsidP="006639B4">
      <w:pPr>
        <w:rPr>
          <w:rFonts w:cs="Arial"/>
        </w:rPr>
      </w:pPr>
      <w:r>
        <w:rPr>
          <w:rFonts w:cs="Arial"/>
        </w:rPr>
        <w:t xml:space="preserve">Limited human exposure data indicate </w:t>
      </w:r>
      <w:r w:rsidR="00514743">
        <w:rPr>
          <w:rFonts w:cs="Arial"/>
        </w:rPr>
        <w:t>eye</w:t>
      </w:r>
      <w:r>
        <w:rPr>
          <w:rFonts w:cs="Arial"/>
        </w:rPr>
        <w:t xml:space="preserve"> and nasal irritation occur in less than 15 minutes at </w:t>
      </w:r>
      <w:r w:rsidR="00F7406A">
        <w:rPr>
          <w:rFonts w:cs="Arial"/>
        </w:rPr>
        <w:t xml:space="preserve">concentrations of </w:t>
      </w:r>
      <w:r>
        <w:rPr>
          <w:rFonts w:cs="Arial"/>
        </w:rPr>
        <w:t>25 and 50 ppm</w:t>
      </w:r>
      <w:r w:rsidR="00681380">
        <w:rPr>
          <w:rFonts w:cs="Arial"/>
        </w:rPr>
        <w:t>,</w:t>
      </w:r>
      <w:r>
        <w:rPr>
          <w:rFonts w:cs="Arial"/>
        </w:rPr>
        <w:t xml:space="preserve"> respectively (ACGIH, 2018)</w:t>
      </w:r>
      <w:r w:rsidR="009C3E72">
        <w:rPr>
          <w:rFonts w:cs="Arial"/>
        </w:rPr>
        <w:t>. A</w:t>
      </w:r>
      <w:r>
        <w:rPr>
          <w:rFonts w:cs="Arial"/>
        </w:rPr>
        <w:t xml:space="preserve"> LOAE</w:t>
      </w:r>
      <w:r w:rsidR="00681380">
        <w:rPr>
          <w:rFonts w:cs="Arial"/>
        </w:rPr>
        <w:t>C</w:t>
      </w:r>
      <w:r>
        <w:rPr>
          <w:rFonts w:cs="Arial"/>
        </w:rPr>
        <w:t xml:space="preserve"> of 31 ppm </w:t>
      </w:r>
      <w:r w:rsidR="00810DF1">
        <w:rPr>
          <w:rFonts w:cs="Arial"/>
        </w:rPr>
        <w:t xml:space="preserve">(lowest </w:t>
      </w:r>
      <w:r w:rsidR="00B329BF">
        <w:rPr>
          <w:rFonts w:cs="Arial"/>
        </w:rPr>
        <w:t xml:space="preserve">tested </w:t>
      </w:r>
      <w:r w:rsidR="00810DF1">
        <w:rPr>
          <w:rFonts w:cs="Arial"/>
        </w:rPr>
        <w:t xml:space="preserve">concentration) </w:t>
      </w:r>
      <w:r>
        <w:rPr>
          <w:rFonts w:cs="Arial"/>
        </w:rPr>
        <w:t xml:space="preserve">for nasal irritation </w:t>
      </w:r>
      <w:r w:rsidR="009C3E72">
        <w:rPr>
          <w:rFonts w:cs="Arial"/>
        </w:rPr>
        <w:t xml:space="preserve">is reported </w:t>
      </w:r>
      <w:r>
        <w:rPr>
          <w:rFonts w:cs="Arial"/>
        </w:rPr>
        <w:t>in a sub</w:t>
      </w:r>
      <w:r w:rsidR="005954CC">
        <w:rPr>
          <w:rFonts w:cs="Arial"/>
        </w:rPr>
        <w:noBreakHyphen/>
      </w:r>
      <w:r>
        <w:rPr>
          <w:rFonts w:cs="Arial"/>
        </w:rPr>
        <w:t>chronic inhalation study with rats</w:t>
      </w:r>
      <w:r w:rsidR="00FC1812">
        <w:rPr>
          <w:rFonts w:cs="Arial"/>
        </w:rPr>
        <w:t xml:space="preserve"> (DFG, 2016)</w:t>
      </w:r>
      <w:r w:rsidR="009C3E72">
        <w:rPr>
          <w:rFonts w:cs="Arial"/>
        </w:rPr>
        <w:t>.</w:t>
      </w:r>
    </w:p>
    <w:p w14:paraId="2E81FDA8" w14:textId="62EF19A1" w:rsidR="002F7E2C" w:rsidRDefault="001018CD" w:rsidP="006639B4">
      <w:pPr>
        <w:rPr>
          <w:rFonts w:cs="Arial"/>
        </w:rPr>
      </w:pPr>
      <w:r>
        <w:rPr>
          <w:rFonts w:cs="Arial"/>
        </w:rPr>
        <w:t>In the absence of sub</w:t>
      </w:r>
      <w:r w:rsidR="005954CC">
        <w:rPr>
          <w:rFonts w:cs="Arial"/>
        </w:rPr>
        <w:t>-</w:t>
      </w:r>
      <w:r>
        <w:rPr>
          <w:rFonts w:cs="Arial"/>
        </w:rPr>
        <w:t xml:space="preserve">chronic and chronic human exposure data, the </w:t>
      </w:r>
      <w:r w:rsidR="00B329BF">
        <w:rPr>
          <w:rFonts w:cs="Arial"/>
        </w:rPr>
        <w:t xml:space="preserve">DFG (2016) MAK is </w:t>
      </w:r>
      <w:r>
        <w:rPr>
          <w:rFonts w:cs="Arial"/>
        </w:rPr>
        <w:t>based on the extrapolated N</w:t>
      </w:r>
      <w:r w:rsidR="00E31FAE">
        <w:rPr>
          <w:rFonts w:cs="Arial"/>
        </w:rPr>
        <w:t>O</w:t>
      </w:r>
      <w:r>
        <w:rPr>
          <w:rFonts w:cs="Arial"/>
        </w:rPr>
        <w:t>AE</w:t>
      </w:r>
      <w:r w:rsidR="00681380">
        <w:rPr>
          <w:rFonts w:cs="Arial"/>
        </w:rPr>
        <w:t>C</w:t>
      </w:r>
      <w:r>
        <w:rPr>
          <w:rFonts w:cs="Arial"/>
        </w:rPr>
        <w:t xml:space="preserve"> </w:t>
      </w:r>
      <w:r w:rsidR="00AE2674">
        <w:rPr>
          <w:rFonts w:cs="Arial"/>
        </w:rPr>
        <w:t xml:space="preserve">of 5 ppm </w:t>
      </w:r>
      <w:r>
        <w:rPr>
          <w:rFonts w:cs="Arial"/>
        </w:rPr>
        <w:t>for nasal inflammation in rats</w:t>
      </w:r>
      <w:r w:rsidR="00AE2674" w:rsidRPr="00AE2674">
        <w:rPr>
          <w:rFonts w:cs="Arial"/>
        </w:rPr>
        <w:t xml:space="preserve"> </w:t>
      </w:r>
      <w:r w:rsidR="00B329BF">
        <w:rPr>
          <w:rFonts w:cs="Arial"/>
        </w:rPr>
        <w:t xml:space="preserve">and halved to </w:t>
      </w:r>
      <w:r w:rsidR="000A672C">
        <w:rPr>
          <w:rFonts w:cs="Arial"/>
        </w:rPr>
        <w:t xml:space="preserve">account for differences in experimental conditions and workplace exposures, which </w:t>
      </w:r>
      <w:r w:rsidR="00DA4B10">
        <w:rPr>
          <w:rFonts w:cs="Arial"/>
        </w:rPr>
        <w:t>results in</w:t>
      </w:r>
      <w:r w:rsidR="00B329BF">
        <w:rPr>
          <w:rFonts w:cs="Arial"/>
        </w:rPr>
        <w:t xml:space="preserve"> </w:t>
      </w:r>
      <w:r w:rsidR="000A672C">
        <w:rPr>
          <w:rFonts w:cs="Arial"/>
        </w:rPr>
        <w:t>the recommended value of 2</w:t>
      </w:r>
      <w:r w:rsidR="00330BF9">
        <w:rPr>
          <w:rFonts w:cs="Arial"/>
        </w:rPr>
        <w:t> </w:t>
      </w:r>
      <w:r w:rsidR="000A672C">
        <w:rPr>
          <w:rFonts w:cs="Arial"/>
        </w:rPr>
        <w:t>ppm</w:t>
      </w:r>
      <w:r w:rsidR="00330BF9">
        <w:rPr>
          <w:rFonts w:cs="Arial"/>
        </w:rPr>
        <w:t xml:space="preserve"> (DFG, 2016)</w:t>
      </w:r>
      <w:r w:rsidR="000A672C">
        <w:rPr>
          <w:rFonts w:cs="Arial"/>
        </w:rPr>
        <w:t xml:space="preserve">. </w:t>
      </w:r>
      <w:r w:rsidR="00585412">
        <w:rPr>
          <w:rFonts w:cs="Arial"/>
        </w:rPr>
        <w:t>A</w:t>
      </w:r>
      <w:r w:rsidR="00DA4B10">
        <w:rPr>
          <w:rFonts w:cs="Arial"/>
        </w:rPr>
        <w:t xml:space="preserve"> </w:t>
      </w:r>
      <w:r w:rsidR="000A672C">
        <w:rPr>
          <w:rFonts w:cs="Arial"/>
        </w:rPr>
        <w:t xml:space="preserve">TWA </w:t>
      </w:r>
      <w:r w:rsidR="00DA4B10">
        <w:rPr>
          <w:rFonts w:cs="Arial"/>
        </w:rPr>
        <w:t xml:space="preserve">of 2 ppm </w:t>
      </w:r>
      <w:r w:rsidR="000A672C">
        <w:rPr>
          <w:rFonts w:cs="Arial"/>
        </w:rPr>
        <w:t xml:space="preserve">is </w:t>
      </w:r>
      <w:r w:rsidR="00DA4B10">
        <w:rPr>
          <w:rFonts w:cs="Arial"/>
        </w:rPr>
        <w:t>recommended to be adopted from DFG</w:t>
      </w:r>
      <w:r w:rsidR="00F13AD6">
        <w:rPr>
          <w:rFonts w:cs="Arial"/>
        </w:rPr>
        <w:t xml:space="preserve"> (2016)</w:t>
      </w:r>
      <w:r w:rsidR="00DA4B10">
        <w:rPr>
          <w:rFonts w:cs="Arial"/>
        </w:rPr>
        <w:t xml:space="preserve"> </w:t>
      </w:r>
      <w:r w:rsidR="000A672C">
        <w:rPr>
          <w:rFonts w:cs="Arial"/>
        </w:rPr>
        <w:t xml:space="preserve">and is expected to be protective of irritation effects </w:t>
      </w:r>
      <w:r w:rsidR="004C5807">
        <w:rPr>
          <w:rFonts w:cs="Arial"/>
        </w:rPr>
        <w:t>in exposed workers. The recommended TWA is also considered to protect for</w:t>
      </w:r>
      <w:r w:rsidR="000A672C">
        <w:rPr>
          <w:rFonts w:cs="Arial"/>
        </w:rPr>
        <w:t xml:space="preserve"> potential narcosis </w:t>
      </w:r>
      <w:r w:rsidR="004C5807">
        <w:rPr>
          <w:rFonts w:cs="Arial"/>
        </w:rPr>
        <w:t xml:space="preserve">in workers exposed </w:t>
      </w:r>
      <w:r w:rsidR="000A672C">
        <w:rPr>
          <w:rFonts w:cs="Arial"/>
        </w:rPr>
        <w:t>at higher concentrations</w:t>
      </w:r>
      <w:r w:rsidR="00712D2A">
        <w:rPr>
          <w:rFonts w:cs="Arial"/>
        </w:rPr>
        <w:t>.</w:t>
      </w:r>
    </w:p>
    <w:p w14:paraId="0B41AD9A" w14:textId="4CA4A3DA" w:rsidR="00F059DE" w:rsidRPr="004C23F4" w:rsidRDefault="00365B94" w:rsidP="006639B4">
      <w:pPr>
        <w:rPr>
          <w:rFonts w:cs="Arial"/>
        </w:rPr>
      </w:pPr>
      <w:r>
        <w:rPr>
          <w:rFonts w:cs="Arial"/>
        </w:rPr>
        <w:t>A</w:t>
      </w:r>
      <w:r w:rsidR="00F059DE">
        <w:rPr>
          <w:rFonts w:cs="Arial"/>
        </w:rPr>
        <w:t xml:space="preserve"> STEL is not warranted as the recommended TWA is expected </w:t>
      </w:r>
      <w:r>
        <w:rPr>
          <w:rFonts w:cs="Arial"/>
        </w:rPr>
        <w:t>to</w:t>
      </w:r>
      <w:r w:rsidR="00E2295C">
        <w:rPr>
          <w:rFonts w:cs="Arial"/>
        </w:rPr>
        <w:t xml:space="preserve"> be sufficiently</w:t>
      </w:r>
      <w:r>
        <w:rPr>
          <w:rFonts w:cs="Arial"/>
        </w:rPr>
        <w:t xml:space="preserve"> protect</w:t>
      </w:r>
      <w:r w:rsidR="00E2295C">
        <w:rPr>
          <w:rFonts w:cs="Arial"/>
        </w:rPr>
        <w:t>ive of</w:t>
      </w:r>
      <w:r w:rsidR="00F059DE">
        <w:rPr>
          <w:rFonts w:cs="Arial"/>
        </w:rPr>
        <w:t xml:space="preserve"> irritatio</w:t>
      </w:r>
      <w:r>
        <w:rPr>
          <w:rFonts w:cs="Arial"/>
        </w:rPr>
        <w:t xml:space="preserve">n </w:t>
      </w:r>
      <w:r w:rsidR="00F059DE">
        <w:rPr>
          <w:rFonts w:cs="Arial"/>
        </w:rPr>
        <w:t>that occur</w:t>
      </w:r>
      <w:r>
        <w:rPr>
          <w:rFonts w:cs="Arial"/>
        </w:rPr>
        <w:t>s</w:t>
      </w:r>
      <w:r w:rsidR="00F059DE">
        <w:rPr>
          <w:rFonts w:cs="Arial"/>
        </w:rPr>
        <w:t xml:space="preserve"> </w:t>
      </w:r>
      <w:r w:rsidR="00DA4B10">
        <w:rPr>
          <w:rFonts w:cs="Arial"/>
        </w:rPr>
        <w:t>at</w:t>
      </w:r>
      <w:r w:rsidR="000A672C">
        <w:rPr>
          <w:rFonts w:cs="Arial"/>
        </w:rPr>
        <w:t xml:space="preserve"> </w:t>
      </w:r>
      <w:r w:rsidR="00F059DE">
        <w:rPr>
          <w:rFonts w:cs="Arial"/>
        </w:rPr>
        <w:t xml:space="preserve">25 ppm in </w:t>
      </w:r>
      <w:r w:rsidR="00136B8B">
        <w:rPr>
          <w:rFonts w:cs="Arial"/>
        </w:rPr>
        <w:t>humans</w:t>
      </w:r>
      <w:r>
        <w:rPr>
          <w:rFonts w:cs="Arial"/>
        </w:rPr>
        <w:t xml:space="preserve"> and </w:t>
      </w:r>
      <w:r w:rsidR="00044F1F">
        <w:rPr>
          <w:rFonts w:cs="Arial"/>
        </w:rPr>
        <w:t>narcosis</w:t>
      </w:r>
      <w:r>
        <w:rPr>
          <w:rFonts w:cs="Arial"/>
        </w:rPr>
        <w:t xml:space="preserve"> observed in animals above 250 ppm.</w:t>
      </w:r>
    </w:p>
    <w:p w14:paraId="79DCF490" w14:textId="77777777" w:rsidR="004529F0" w:rsidRPr="004C23F4" w:rsidRDefault="004529F0" w:rsidP="004529F0">
      <w:pPr>
        <w:pStyle w:val="Heading2"/>
      </w:pPr>
      <w:r>
        <w:t>Recommendation for notations</w:t>
      </w:r>
    </w:p>
    <w:p w14:paraId="65F82FEB" w14:textId="104E1C39" w:rsidR="00B00C3B" w:rsidRPr="00E96690" w:rsidRDefault="00B00C3B" w:rsidP="00B00C3B">
      <w:pPr>
        <w:rPr>
          <w:rFonts w:cs="Arial"/>
        </w:rPr>
      </w:pPr>
      <w:r w:rsidRPr="00E96690">
        <w:rPr>
          <w:rFonts w:cs="Arial"/>
        </w:rPr>
        <w:t>Not classified as a carcinogen according to the Globally Harmonized System of Classification and Labelling o</w:t>
      </w:r>
      <w:r w:rsidR="007A5E30">
        <w:rPr>
          <w:rFonts w:cs="Arial"/>
        </w:rPr>
        <w:t>f</w:t>
      </w:r>
      <w:r w:rsidRPr="00E96690">
        <w:rPr>
          <w:rFonts w:cs="Arial"/>
        </w:rPr>
        <w:t xml:space="preserve"> Chemicals (GHS). </w:t>
      </w:r>
    </w:p>
    <w:p w14:paraId="7D532B40" w14:textId="186C77CB" w:rsidR="00B00C3B" w:rsidRPr="00E96690" w:rsidRDefault="00B00C3B" w:rsidP="00B00C3B">
      <w:pPr>
        <w:rPr>
          <w:rFonts w:cs="Arial"/>
        </w:rPr>
      </w:pPr>
      <w:r w:rsidRPr="00E96690">
        <w:rPr>
          <w:rFonts w:cs="Arial"/>
        </w:rPr>
        <w:t xml:space="preserve">Not classified as a skin </w:t>
      </w:r>
      <w:r w:rsidR="007A5E30" w:rsidRPr="00E96690">
        <w:rPr>
          <w:rFonts w:cs="Arial"/>
        </w:rPr>
        <w:t xml:space="preserve">sensitiser </w:t>
      </w:r>
      <w:r w:rsidRPr="00E96690">
        <w:rPr>
          <w:rFonts w:cs="Arial"/>
        </w:rPr>
        <w:t>or respiratory sensitiser according to the GHS.</w:t>
      </w:r>
    </w:p>
    <w:p w14:paraId="7459057C" w14:textId="2F87A708" w:rsidR="0025734A" w:rsidRPr="004C23F4" w:rsidRDefault="00F059DE">
      <w:pPr>
        <w:rPr>
          <w:rFonts w:cs="Arial"/>
        </w:rPr>
      </w:pPr>
      <w:r w:rsidRPr="00F059DE">
        <w:rPr>
          <w:rFonts w:cs="Arial"/>
        </w:rPr>
        <w:lastRenderedPageBreak/>
        <w:t xml:space="preserve">A skin notation is not </w:t>
      </w:r>
      <w:r w:rsidR="00681380">
        <w:rPr>
          <w:rFonts w:cs="Arial"/>
        </w:rPr>
        <w:t>recommend</w:t>
      </w:r>
      <w:r w:rsidRPr="00F059DE">
        <w:rPr>
          <w:rFonts w:cs="Arial"/>
        </w:rPr>
        <w:t>ed based on the available evidence.</w:t>
      </w:r>
    </w:p>
    <w:p w14:paraId="4639BAC2" w14:textId="77777777" w:rsidR="005E6979" w:rsidRPr="004C23F4" w:rsidRDefault="005E6979">
      <w:pPr>
        <w:rPr>
          <w:rFonts w:cs="Arial"/>
        </w:rPr>
        <w:sectPr w:rsidR="005E6979" w:rsidRPr="004C23F4" w:rsidSect="00B479A9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2FBE764D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38CD28F0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4953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8921"/>
      </w:tblGrid>
      <w:tr w:rsidR="00C978F0" w:rsidRPr="00DA352E" w14:paraId="1F72757D" w14:textId="77777777" w:rsidTr="00DB39F0">
        <w:trPr>
          <w:trHeight w:val="393"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31A8452C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1ECA6B02" w14:textId="77777777" w:rsidTr="00DB39F0">
        <w:tc>
          <w:tcPr>
            <w:tcW w:w="0" w:type="pct"/>
            <w:shd w:val="clear" w:color="auto" w:fill="F2F2F2" w:themeFill="background1" w:themeFillShade="F2"/>
          </w:tcPr>
          <w:p w14:paraId="05120159" w14:textId="552898DC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18088B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18088B">
                  <w:t>TWA: 15 ppm (60 mg/m</w:t>
                </w:r>
                <w:r w:rsidR="0018088B" w:rsidRPr="00D03300">
                  <w:rPr>
                    <w:vertAlign w:val="superscript"/>
                  </w:rPr>
                  <w:t>3</w:t>
                </w:r>
                <w:r w:rsidR="0018088B">
                  <w:t>); STEL: 25 ppm (100 mg/m</w:t>
                </w:r>
                <w:r w:rsidR="0018088B" w:rsidRPr="00D03300">
                  <w:rPr>
                    <w:vertAlign w:val="superscript"/>
                  </w:rPr>
                  <w:t>3</w:t>
                </w:r>
                <w:r w:rsidR="0018088B">
                  <w:t>)</w:t>
                </w:r>
              </w:sdtContent>
            </w:sdt>
          </w:p>
        </w:tc>
      </w:tr>
      <w:tr w:rsidR="00C978F0" w:rsidRPr="00DA352E" w14:paraId="4F7E4247" w14:textId="77777777" w:rsidTr="00DB39F0">
        <w:tc>
          <w:tcPr>
            <w:tcW w:w="5000" w:type="pct"/>
          </w:tcPr>
          <w:p w14:paraId="5677DDA1" w14:textId="77777777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4F7EA35B" w14:textId="77777777" w:rsidTr="00DB39F0">
        <w:tc>
          <w:tcPr>
            <w:tcW w:w="5000" w:type="pct"/>
            <w:shd w:val="clear" w:color="auto" w:fill="F2F2F2" w:themeFill="background1" w:themeFillShade="F2"/>
          </w:tcPr>
          <w:p w14:paraId="39C18100" w14:textId="461BE2ED" w:rsidR="00C978F0" w:rsidRPr="00DA352E" w:rsidRDefault="00DA352E" w:rsidP="004E772D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  <w:ind w:left="2852" w:hanging="2852"/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D03300">
                  <w:t>2001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D03300">
                  <w:t>TLV-TWA: 15 ppm (60 mg/m</w:t>
                </w:r>
                <w:r w:rsidR="00D03300" w:rsidRPr="00D03300">
                  <w:rPr>
                    <w:vertAlign w:val="superscript"/>
                  </w:rPr>
                  <w:t>3</w:t>
                </w:r>
                <w:r w:rsidR="00D03300">
                  <w:t>); TLV-STEL: 25 ppm</w:t>
                </w:r>
                <w:r w:rsidR="004E772D">
                  <w:t xml:space="preserve"> </w:t>
                </w:r>
                <w:r w:rsidR="00D03300">
                  <w:t>(100</w:t>
                </w:r>
                <w:r w:rsidR="00546502">
                  <w:t> </w:t>
                </w:r>
                <w:r w:rsidR="00D03300">
                  <w:t>mg/m</w:t>
                </w:r>
                <w:r w:rsidR="00D03300" w:rsidRPr="00D03300">
                  <w:rPr>
                    <w:vertAlign w:val="superscript"/>
                  </w:rPr>
                  <w:t>3</w:t>
                </w:r>
                <w:r w:rsidR="00D03300">
                  <w:t>)</w:t>
                </w:r>
              </w:sdtContent>
            </w:sdt>
          </w:p>
        </w:tc>
      </w:tr>
      <w:tr w:rsidR="00C978F0" w:rsidRPr="00DA352E" w14:paraId="6B344B1C" w14:textId="77777777" w:rsidTr="00DB39F0">
        <w:tc>
          <w:tcPr>
            <w:tcW w:w="5000" w:type="pct"/>
          </w:tcPr>
          <w:p w14:paraId="73F32FE5" w14:textId="76862B84" w:rsidR="00C978F0" w:rsidRDefault="00CC5F84" w:rsidP="003365A5">
            <w:pPr>
              <w:pStyle w:val="Tabletextprimarysource"/>
            </w:pPr>
            <w:r>
              <w:t>TLV-TWA and TLV-STEL intended to protect for irritation to the eyes and mucous membranes and narcosis at higher concentrations; adverse liver and kidney effects are also reported at higher concentrations in animals.</w:t>
            </w:r>
          </w:p>
          <w:p w14:paraId="5948287A" w14:textId="39A89BB9" w:rsidR="00CC5F84" w:rsidRDefault="00CC5F84" w:rsidP="003365A5">
            <w:pPr>
              <w:pStyle w:val="Tabletextprimarysource"/>
            </w:pPr>
            <w:r>
              <w:t>Summary of data:</w:t>
            </w:r>
          </w:p>
          <w:p w14:paraId="146ACC9F" w14:textId="14406CB4" w:rsidR="00CC5F84" w:rsidRDefault="00362C4A" w:rsidP="003365A5">
            <w:pPr>
              <w:pStyle w:val="Tabletextprimarysource"/>
            </w:pPr>
            <w:r>
              <w:t>TLV-STEL based on reports of eye irritation beginning at 25 ppm in exposed volunteers and workers. TLV-TWA recommendation appears to be based on weight of evidence that indicates a threshold</w:t>
            </w:r>
            <w:r w:rsidR="002513EF">
              <w:t xml:space="preserve"> of 15 ppm </w:t>
            </w:r>
            <w:r>
              <w:t xml:space="preserve">is protective of local irritation and narcosis and liver/kidney damage at higher </w:t>
            </w:r>
            <w:r w:rsidR="002513EF">
              <w:t>c</w:t>
            </w:r>
            <w:r>
              <w:t>oncentrations, but its derivation is not discussed.</w:t>
            </w:r>
          </w:p>
          <w:p w14:paraId="0AEAE4C4" w14:textId="7717709D" w:rsidR="00CC5F84" w:rsidRDefault="00CC5F84" w:rsidP="003365A5">
            <w:pPr>
              <w:pStyle w:val="Tabletextprimarysource"/>
            </w:pPr>
            <w:r>
              <w:t>Human data:</w:t>
            </w:r>
          </w:p>
          <w:p w14:paraId="0BCE4C92" w14:textId="21FD870B" w:rsidR="00CC5F84" w:rsidRDefault="00BB7493" w:rsidP="00BB7493">
            <w:pPr>
              <w:pStyle w:val="Tabletextprimarysource"/>
              <w:numPr>
                <w:ilvl w:val="0"/>
                <w:numId w:val="2"/>
              </w:numPr>
            </w:pPr>
            <w:r>
              <w:t>Eye irritation at 25 ppm and nasal irritation at 50 ppm in volunteer study (3–5 min)</w:t>
            </w:r>
            <w:r w:rsidR="00514743">
              <w:t>:</w:t>
            </w:r>
          </w:p>
          <w:p w14:paraId="21584F39" w14:textId="7450D270" w:rsidR="00BB7493" w:rsidRDefault="00BB7493" w:rsidP="00DB39F0">
            <w:pPr>
              <w:pStyle w:val="Tabletextprimarysource"/>
              <w:numPr>
                <w:ilvl w:val="1"/>
                <w:numId w:val="2"/>
              </w:numPr>
              <w:ind w:left="1094" w:hanging="357"/>
            </w:pPr>
            <w:r>
              <w:t xml:space="preserve">unpleasant taste </w:t>
            </w:r>
            <w:r w:rsidR="00362C4A">
              <w:t>persisted for 3–6 h</w:t>
            </w:r>
          </w:p>
          <w:p w14:paraId="5BA601BB" w14:textId="72145251" w:rsidR="00362C4A" w:rsidRDefault="00362C4A" w:rsidP="00DB39F0">
            <w:pPr>
              <w:pStyle w:val="Tabletextprimarysource"/>
              <w:numPr>
                <w:ilvl w:val="1"/>
                <w:numId w:val="2"/>
              </w:numPr>
              <w:ind w:left="1094" w:hanging="357"/>
            </w:pPr>
            <w:r>
              <w:t>cited study concludes 25 ppm is the highest satisfactory exposure for an 8</w:t>
            </w:r>
            <w:r w:rsidR="007A5E30">
              <w:t xml:space="preserve"> </w:t>
            </w:r>
            <w:r>
              <w:t>h shift</w:t>
            </w:r>
            <w:r w:rsidR="00142E57">
              <w:t>, i.e. NOAEC</w:t>
            </w:r>
          </w:p>
          <w:p w14:paraId="248ED1B3" w14:textId="01E3A2B5" w:rsidR="00362C4A" w:rsidRDefault="00362C4A" w:rsidP="00362C4A">
            <w:pPr>
              <w:pStyle w:val="Tabletextprimarysource"/>
              <w:numPr>
                <w:ilvl w:val="0"/>
                <w:numId w:val="2"/>
              </w:numPr>
            </w:pPr>
            <w:r>
              <w:t>Dyspnoea, headache and vertigo predicted to occur at 100 ppm (no further information provided)</w:t>
            </w:r>
          </w:p>
          <w:p w14:paraId="34FC141D" w14:textId="10342B2F" w:rsidR="00362C4A" w:rsidRDefault="00362C4A" w:rsidP="00362C4A">
            <w:pPr>
              <w:pStyle w:val="Tabletextprimarysource"/>
              <w:numPr>
                <w:ilvl w:val="0"/>
                <w:numId w:val="2"/>
              </w:numPr>
            </w:pPr>
            <w:r>
              <w:t>Additional citation states 25 ppm as the threshold for comfort in exposed workers although eye irritation is noted at this concentration</w:t>
            </w:r>
          </w:p>
          <w:p w14:paraId="3C6953A9" w14:textId="5F05B8A3" w:rsidR="00362C4A" w:rsidRDefault="00362C4A" w:rsidP="00362C4A">
            <w:pPr>
              <w:pStyle w:val="Tabletextprimarysource"/>
              <w:numPr>
                <w:ilvl w:val="0"/>
                <w:numId w:val="2"/>
              </w:numPr>
            </w:pPr>
            <w:r>
              <w:t>Eye irritation reported at 25 ppm for mesityl oxide may be more severe than that caused by structurally related saturated ketones</w:t>
            </w:r>
            <w:r w:rsidR="007A5E30">
              <w:t>.</w:t>
            </w:r>
          </w:p>
          <w:p w14:paraId="7EBFA201" w14:textId="6EBAB568" w:rsidR="00CC5F84" w:rsidRDefault="00CC5F84" w:rsidP="003365A5">
            <w:pPr>
              <w:pStyle w:val="Tabletextprimarysource"/>
            </w:pPr>
            <w:r>
              <w:t>Animal data:</w:t>
            </w:r>
          </w:p>
          <w:p w14:paraId="64C04E93" w14:textId="14E59F99" w:rsidR="00CC5F84" w:rsidRDefault="00CC5F84" w:rsidP="00CC5F84">
            <w:pPr>
              <w:pStyle w:val="Tabletextprimarysource"/>
              <w:numPr>
                <w:ilvl w:val="0"/>
                <w:numId w:val="1"/>
              </w:numPr>
            </w:pPr>
            <w:r>
              <w:t>Eye and upper respiratory tract irritation at 13,000 ppm (rabbits, 30 or 90 min); lethal at 24,000 ppm (mice, 23 min), symptoms included dyspnoea, convulsions and narcosis</w:t>
            </w:r>
            <w:r w:rsidR="00514743">
              <w:t>:</w:t>
            </w:r>
          </w:p>
          <w:p w14:paraId="7DBE5582" w14:textId="56B3BF8A" w:rsidR="00CC5F84" w:rsidRDefault="00CC5F84" w:rsidP="00DB39F0">
            <w:pPr>
              <w:pStyle w:val="Tabletextprimarysource"/>
              <w:numPr>
                <w:ilvl w:val="1"/>
                <w:numId w:val="1"/>
              </w:numPr>
              <w:ind w:left="1094" w:hanging="357"/>
            </w:pPr>
            <w:r>
              <w:t>no gross changes to organ tissue found in necropsy</w:t>
            </w:r>
          </w:p>
          <w:p w14:paraId="02969470" w14:textId="439EFE9B" w:rsidR="00CC5F84" w:rsidRDefault="00CC5F84" w:rsidP="00CC5F84">
            <w:pPr>
              <w:pStyle w:val="Tabletextprimarysource"/>
              <w:numPr>
                <w:ilvl w:val="0"/>
                <w:numId w:val="1"/>
              </w:numPr>
            </w:pPr>
            <w:r>
              <w:t>Oral LD</w:t>
            </w:r>
            <w:r>
              <w:rPr>
                <w:vertAlign w:val="subscript"/>
              </w:rPr>
              <w:t>50</w:t>
            </w:r>
            <w:r>
              <w:t>: 1,000 mg/kg (rabbits), 1,120 mg/kg (rats)</w:t>
            </w:r>
          </w:p>
          <w:p w14:paraId="459A4CE3" w14:textId="4581D4C0" w:rsidR="00CC5F84" w:rsidRDefault="00CC5F84" w:rsidP="00CC5F84">
            <w:pPr>
              <w:pStyle w:val="Tabletextprimarysource"/>
              <w:numPr>
                <w:ilvl w:val="0"/>
                <w:numId w:val="1"/>
              </w:numPr>
            </w:pPr>
            <w:r>
              <w:t xml:space="preserve">Pulmonary haemorrhage, renal tubular degeneration, distention of </w:t>
            </w:r>
            <w:r w:rsidR="00681380">
              <w:t>GIT</w:t>
            </w:r>
            <w:r w:rsidR="00BB7493">
              <w:t xml:space="preserve"> and liver necrosis at 13,000 ppm in repeat inhalation study (mice, 30 min/d, 6 d); no fatalities at 700 ppm</w:t>
            </w:r>
          </w:p>
          <w:p w14:paraId="0D5E4B70" w14:textId="10A6E4CA" w:rsidR="00BB7493" w:rsidRDefault="00BB7493" w:rsidP="00BB7493">
            <w:pPr>
              <w:pStyle w:val="Tabletextprimarysource"/>
              <w:numPr>
                <w:ilvl w:val="0"/>
                <w:numId w:val="1"/>
              </w:numPr>
            </w:pPr>
            <w:r>
              <w:t>NOAEL: 50 ppm in sub</w:t>
            </w:r>
            <w:r w:rsidR="00142E57">
              <w:t>-</w:t>
            </w:r>
            <w:r>
              <w:t>chronic inhalation study (rats, guinea pigs, 8 h/d, 5 d/wk, 6 wk); eye and upper respiratory irritation reported at 250 and 500 ppm, narcotic effects at 500</w:t>
            </w:r>
            <w:r w:rsidR="001018CD">
              <w:t> </w:t>
            </w:r>
            <w:r>
              <w:t>ppm</w:t>
            </w:r>
          </w:p>
          <w:p w14:paraId="68F6F97E" w14:textId="48286524" w:rsidR="00362C4A" w:rsidRDefault="00362C4A" w:rsidP="00BB7493">
            <w:pPr>
              <w:pStyle w:val="Tabletextprimarysource"/>
              <w:numPr>
                <w:ilvl w:val="0"/>
                <w:numId w:val="1"/>
              </w:numPr>
            </w:pPr>
            <w:r>
              <w:t>No mutagenicity, carcinogenicity or ADME data presented</w:t>
            </w:r>
            <w:r w:rsidR="007A5E30">
              <w:t>.</w:t>
            </w:r>
          </w:p>
          <w:p w14:paraId="1F4B3B04" w14:textId="77777777" w:rsidR="00514743" w:rsidRDefault="00514743" w:rsidP="003365A5">
            <w:pPr>
              <w:pStyle w:val="Tabletextprimarysource"/>
            </w:pPr>
          </w:p>
          <w:p w14:paraId="520F8CDA" w14:textId="50BCFC3E" w:rsidR="00CC5F84" w:rsidRDefault="00CC5F84" w:rsidP="003365A5">
            <w:pPr>
              <w:pStyle w:val="Tabletextprimarysource"/>
            </w:pPr>
            <w:r>
              <w:t>Insufficient data to recommend notations for carcinogenicity, skin absorption or sensitisation.</w:t>
            </w:r>
          </w:p>
          <w:p w14:paraId="484DC967" w14:textId="38EF5EAB" w:rsidR="00514743" w:rsidRPr="00DA352E" w:rsidRDefault="00514743" w:rsidP="003365A5">
            <w:pPr>
              <w:pStyle w:val="Tabletextprimarysource"/>
            </w:pPr>
          </w:p>
        </w:tc>
      </w:tr>
      <w:tr w:rsidR="00C978F0" w:rsidRPr="00DA352E" w14:paraId="355D594A" w14:textId="77777777" w:rsidTr="00DB39F0">
        <w:tc>
          <w:tcPr>
            <w:tcW w:w="5000" w:type="pct"/>
            <w:shd w:val="clear" w:color="auto" w:fill="F2F2F2" w:themeFill="background1" w:themeFillShade="F2"/>
          </w:tcPr>
          <w:p w14:paraId="50325114" w14:textId="0B9C17C2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D03300">
                  <w:t>2015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 w:rsidR="00D03300">
                  <w:t>MAK: 2 ppm (8.1 mg/m</w:t>
                </w:r>
                <w:r w:rsidR="00D03300" w:rsidRPr="00D03300">
                  <w:rPr>
                    <w:vertAlign w:val="superscript"/>
                  </w:rPr>
                  <w:t>3</w:t>
                </w:r>
                <w:r w:rsidR="00D03300">
                  <w:t>)</w:t>
                </w:r>
              </w:sdtContent>
            </w:sdt>
          </w:p>
        </w:tc>
      </w:tr>
      <w:tr w:rsidR="00C978F0" w:rsidRPr="00DA352E" w14:paraId="34616B15" w14:textId="77777777" w:rsidTr="00DB39F0">
        <w:tc>
          <w:tcPr>
            <w:tcW w:w="5000" w:type="pct"/>
          </w:tcPr>
          <w:p w14:paraId="659FBC24" w14:textId="27AB5BE7" w:rsidR="00F1350F" w:rsidRDefault="00F1350F" w:rsidP="003365A5">
            <w:pPr>
              <w:pStyle w:val="Tabletextprimarysource"/>
            </w:pPr>
            <w:r>
              <w:t>Summary of additional data:</w:t>
            </w:r>
          </w:p>
          <w:p w14:paraId="66C5A104" w14:textId="77777777" w:rsidR="004E772D" w:rsidRDefault="00F56599" w:rsidP="003365A5">
            <w:pPr>
              <w:pStyle w:val="Tabletextprimarysource"/>
            </w:pPr>
            <w:r>
              <w:t xml:space="preserve">Local eye, </w:t>
            </w:r>
            <w:r w:rsidR="00362C4A">
              <w:t>skin</w:t>
            </w:r>
            <w:r>
              <w:t xml:space="preserve"> and respiratory tract</w:t>
            </w:r>
            <w:r w:rsidR="00362C4A">
              <w:t xml:space="preserve"> irritation </w:t>
            </w:r>
            <w:r w:rsidR="00205EFC">
              <w:t xml:space="preserve">considered critical effects. </w:t>
            </w:r>
          </w:p>
          <w:p w14:paraId="352A2985" w14:textId="5432C769" w:rsidR="00DB39F0" w:rsidRDefault="00205EFC" w:rsidP="003365A5">
            <w:pPr>
              <w:pStyle w:val="Tabletextprimarysource"/>
            </w:pPr>
            <w:r>
              <w:t xml:space="preserve">Current </w:t>
            </w:r>
            <w:r w:rsidR="002513EF">
              <w:t>MAK based on a LOAE</w:t>
            </w:r>
            <w:r w:rsidR="00681380">
              <w:t>C</w:t>
            </w:r>
            <w:r w:rsidR="002513EF">
              <w:t xml:space="preserve"> of 31 ppm for nasal secretions and inflammatory response in sub</w:t>
            </w:r>
            <w:r w:rsidR="00142E57">
              <w:t>-</w:t>
            </w:r>
            <w:r w:rsidR="002513EF">
              <w:t xml:space="preserve">chronic inhalation study </w:t>
            </w:r>
            <w:r w:rsidR="00142E57">
              <w:t xml:space="preserve">in </w:t>
            </w:r>
            <w:r w:rsidR="002513EF">
              <w:t xml:space="preserve">rats. </w:t>
            </w:r>
            <w:r w:rsidR="00734398">
              <w:t xml:space="preserve">The incidence of these effects is considered low enough to </w:t>
            </w:r>
            <w:r w:rsidR="00734398">
              <w:lastRenderedPageBreak/>
              <w:t xml:space="preserve">extrapolate </w:t>
            </w:r>
            <w:r w:rsidR="002513EF">
              <w:t>a NAE</w:t>
            </w:r>
            <w:r w:rsidR="00681380">
              <w:t>C</w:t>
            </w:r>
            <w:r w:rsidR="00B9366E">
              <w:t xml:space="preserve"> </w:t>
            </w:r>
            <w:r w:rsidR="001B7DAF">
              <w:t>based on</w:t>
            </w:r>
            <w:r w:rsidR="00B9366E">
              <w:t xml:space="preserve"> relationship </w:t>
            </w:r>
            <w:r w:rsidR="00734398">
              <w:t xml:space="preserve">for </w:t>
            </w:r>
            <w:r w:rsidR="00B9366E">
              <w:t xml:space="preserve">signs of upper respiratory tract irritation </w:t>
            </w:r>
            <w:r w:rsidR="00734398">
              <w:t xml:space="preserve">between </w:t>
            </w:r>
            <w:r w:rsidR="00B9366E">
              <w:t>rodents and humans</w:t>
            </w:r>
            <w:r w:rsidR="00585412">
              <w:t xml:space="preserve">. </w:t>
            </w:r>
            <w:r w:rsidR="00DA4B10">
              <w:t>A NAEC is extrapolated using the available LOAEC from sub-chronic study in absence of a NOAEC from chronic toxicity studies</w:t>
            </w:r>
            <w:r w:rsidR="00734398">
              <w:t xml:space="preserve"> (DFG, 2018)</w:t>
            </w:r>
            <w:r w:rsidR="00B9366E">
              <w:t xml:space="preserve">. </w:t>
            </w:r>
            <w:r w:rsidR="00DA4B10">
              <w:t>D</w:t>
            </w:r>
            <w:r w:rsidR="00B9366E">
              <w:t>ivision of the LOAEC by 6</w:t>
            </w:r>
            <w:r w:rsidR="002513EF">
              <w:t xml:space="preserve"> </w:t>
            </w:r>
            <w:r w:rsidR="004E772D">
              <w:t xml:space="preserve">results in </w:t>
            </w:r>
            <w:r w:rsidR="00B9366E">
              <w:t xml:space="preserve">a NAEC of </w:t>
            </w:r>
            <w:r w:rsidR="002513EF">
              <w:t>5</w:t>
            </w:r>
            <w:r w:rsidR="00DB39F0">
              <w:t> </w:t>
            </w:r>
            <w:r w:rsidR="002513EF">
              <w:t xml:space="preserve">ppm </w:t>
            </w:r>
            <w:r w:rsidR="00B9366E">
              <w:t xml:space="preserve">in humans </w:t>
            </w:r>
            <w:r w:rsidR="002513EF">
              <w:t xml:space="preserve">and accounts for </w:t>
            </w:r>
            <w:r w:rsidR="00B9366E">
              <w:t>chronic</w:t>
            </w:r>
            <w:r w:rsidR="002513EF">
              <w:t xml:space="preserve"> exposure. The </w:t>
            </w:r>
            <w:r w:rsidR="007A7518">
              <w:t>NAE</w:t>
            </w:r>
            <w:r w:rsidR="00681380">
              <w:t>C</w:t>
            </w:r>
            <w:r w:rsidR="007A7518">
              <w:t xml:space="preserve"> is </w:t>
            </w:r>
            <w:r w:rsidR="00B9366E">
              <w:t xml:space="preserve">further </w:t>
            </w:r>
            <w:r w:rsidR="007A7518">
              <w:t xml:space="preserve">halved to account for differences in experimental conditions and the workplace and rounded down to arrive at the MAK of 2 ppm. </w:t>
            </w:r>
          </w:p>
          <w:p w14:paraId="74718AFF" w14:textId="41D41134" w:rsidR="00C978F0" w:rsidRDefault="00205EFC" w:rsidP="003365A5">
            <w:pPr>
              <w:pStyle w:val="Tabletextprimarysource"/>
            </w:pPr>
            <w:r>
              <w:t>The previous</w:t>
            </w:r>
            <w:r w:rsidR="001F0D24">
              <w:t xml:space="preserve"> 2007</w:t>
            </w:r>
            <w:r>
              <w:t xml:space="preserve"> MAK of 5 ppm also relied on the </w:t>
            </w:r>
            <w:r w:rsidR="00734398">
              <w:t xml:space="preserve">LAOEC </w:t>
            </w:r>
            <w:r>
              <w:t xml:space="preserve">of this </w:t>
            </w:r>
            <w:r w:rsidR="00142E57">
              <w:t>study but</w:t>
            </w:r>
            <w:r>
              <w:t xml:space="preserve"> was set at 5 ppm and did not account for </w:t>
            </w:r>
            <w:r w:rsidR="007139B1">
              <w:t>differences in experimental conditions and the workplace exposure.</w:t>
            </w:r>
          </w:p>
          <w:p w14:paraId="65A924DB" w14:textId="5EFC260A" w:rsidR="007A7518" w:rsidRDefault="007A7518" w:rsidP="003365A5">
            <w:pPr>
              <w:pStyle w:val="Tabletextprimarysource"/>
            </w:pPr>
            <w:r>
              <w:t>Skin notation recommended based on analogy to structurally relate</w:t>
            </w:r>
            <w:r w:rsidR="00DB39F0">
              <w:t>d</w:t>
            </w:r>
            <w:r>
              <w:t xml:space="preserve"> saturated ketones, such as methyl ethyl ketone, which demonstrate skin penetration and resultant systemic toxicity.</w:t>
            </w:r>
          </w:p>
          <w:p w14:paraId="2CF8DD00" w14:textId="5AF2AA1B" w:rsidR="007A7518" w:rsidRDefault="007A7518" w:rsidP="003365A5">
            <w:pPr>
              <w:pStyle w:val="Tabletextprimarysource"/>
            </w:pPr>
            <w:r>
              <w:t>Negative results in maximisation test with guinea pigs do not warrant a sensitiser notation.</w:t>
            </w:r>
          </w:p>
          <w:p w14:paraId="211C8B25" w14:textId="47BAADAE" w:rsidR="00F1350F" w:rsidRDefault="00F1350F" w:rsidP="003365A5">
            <w:pPr>
              <w:pStyle w:val="Tabletextprimarysource"/>
            </w:pPr>
            <w:r>
              <w:t>Animal data:</w:t>
            </w:r>
          </w:p>
          <w:p w14:paraId="40AD7812" w14:textId="71C8E11D" w:rsidR="00F1350F" w:rsidRDefault="00950502" w:rsidP="00950502">
            <w:pPr>
              <w:pStyle w:val="Tabletextprimarysource"/>
              <w:numPr>
                <w:ilvl w:val="0"/>
                <w:numId w:val="1"/>
              </w:numPr>
            </w:pPr>
            <w:r>
              <w:t>RD</w:t>
            </w:r>
            <w:r>
              <w:rPr>
                <w:vertAlign w:val="subscript"/>
              </w:rPr>
              <w:t>50</w:t>
            </w:r>
            <w:r>
              <w:t>: 61 ppm (mice, 15 min)</w:t>
            </w:r>
          </w:p>
          <w:p w14:paraId="38292C12" w14:textId="3D0FC782" w:rsidR="00950502" w:rsidRDefault="00244375" w:rsidP="00950502">
            <w:pPr>
              <w:pStyle w:val="Tabletextprimarysource"/>
              <w:numPr>
                <w:ilvl w:val="0"/>
                <w:numId w:val="1"/>
              </w:numPr>
            </w:pPr>
            <w:r>
              <w:t>LD</w:t>
            </w:r>
            <w:r>
              <w:rPr>
                <w:vertAlign w:val="subscript"/>
              </w:rPr>
              <w:t>50</w:t>
            </w:r>
            <w:r>
              <w:t>: 5,150 mg/kg (rabbits</w:t>
            </w:r>
            <w:r w:rsidR="00DB39F0">
              <w:t>, dermal</w:t>
            </w:r>
            <w:r>
              <w:t>)</w:t>
            </w:r>
          </w:p>
          <w:p w14:paraId="651F52A2" w14:textId="271FC665" w:rsidR="00244375" w:rsidRDefault="00244375" w:rsidP="00950502">
            <w:pPr>
              <w:pStyle w:val="Tabletextprimarysource"/>
              <w:numPr>
                <w:ilvl w:val="0"/>
                <w:numId w:val="1"/>
              </w:numPr>
            </w:pPr>
            <w:r>
              <w:t>LOAE</w:t>
            </w:r>
            <w:r w:rsidR="00681380">
              <w:t>C</w:t>
            </w:r>
            <w:r>
              <w:t>: 31 ppm for nasal secretion and nasal epithelial exudate in sub</w:t>
            </w:r>
            <w:r w:rsidR="00142E57">
              <w:t>-</w:t>
            </w:r>
            <w:r>
              <w:t xml:space="preserve">chronic inhalation study (rats, </w:t>
            </w:r>
            <w:r w:rsidR="00F56599">
              <w:t xml:space="preserve">n=24/group, </w:t>
            </w:r>
            <w:r>
              <w:t>6 h/d, 7 d/wk, 49 d); adverse effects only reported in 10/24 animals at 31 ppm, exudate from respiratory epithelium at 103 ppm and inflammation of the respiratory tract at 302 ppm</w:t>
            </w:r>
          </w:p>
          <w:p w14:paraId="11A1E9C7" w14:textId="5F0C1FB8" w:rsidR="00F56599" w:rsidRDefault="00F56599" w:rsidP="00950502">
            <w:pPr>
              <w:pStyle w:val="Tabletextprimarysource"/>
              <w:numPr>
                <w:ilvl w:val="0"/>
                <w:numId w:val="1"/>
              </w:numPr>
            </w:pPr>
            <w:r>
              <w:t xml:space="preserve">Reduced </w:t>
            </w:r>
            <w:r w:rsidR="005954CC">
              <w:t xml:space="preserve">body weight </w:t>
            </w:r>
            <w:r>
              <w:t xml:space="preserve">and activity at 125 ppm, lowest tested dose, in repeat inhalation reproductive study (rats, </w:t>
            </w:r>
            <w:r w:rsidR="00681380">
              <w:t>GD</w:t>
            </w:r>
            <w:r>
              <w:t xml:space="preserve"> 0–19); no substance-related pathological findings </w:t>
            </w:r>
          </w:p>
          <w:p w14:paraId="5C4CCB7C" w14:textId="20E1CDD3" w:rsidR="00244375" w:rsidRDefault="00244375" w:rsidP="00950502">
            <w:pPr>
              <w:pStyle w:val="Tabletextprimarysource"/>
              <w:numPr>
                <w:ilvl w:val="0"/>
                <w:numId w:val="1"/>
              </w:numPr>
            </w:pPr>
            <w:r>
              <w:t>0.5 mL of undiluted substance causes irritation to skin (rabbits, semi-occlusive, 4 h); reversible within 15 d</w:t>
            </w:r>
          </w:p>
          <w:p w14:paraId="07CEC6B7" w14:textId="2806E275" w:rsidR="00244375" w:rsidRDefault="00244375" w:rsidP="00950502">
            <w:pPr>
              <w:pStyle w:val="Tabletextprimarysource"/>
              <w:numPr>
                <w:ilvl w:val="0"/>
                <w:numId w:val="1"/>
              </w:numPr>
            </w:pPr>
            <w:r>
              <w:t xml:space="preserve">Negative results in </w:t>
            </w:r>
            <w:r w:rsidR="00F56599">
              <w:t xml:space="preserve">standardised </w:t>
            </w:r>
            <w:r>
              <w:t xml:space="preserve">maximisation test; induction with 10% in paraffin or undiluted </w:t>
            </w:r>
            <w:r w:rsidR="00F56599">
              <w:t>substance, challenge with undiluted substance after 24 and 48 h (guinea pigs)</w:t>
            </w:r>
          </w:p>
          <w:p w14:paraId="5EC34E2F" w14:textId="12402207" w:rsidR="00F56599" w:rsidRDefault="00F56599" w:rsidP="00F56599">
            <w:pPr>
              <w:pStyle w:val="Tabletextprimarysource"/>
              <w:numPr>
                <w:ilvl w:val="0"/>
                <w:numId w:val="1"/>
              </w:numPr>
            </w:pPr>
            <w:r>
              <w:t>Narcosis and death following dermal application of 0.1 mL of substance (mice, 8</w:t>
            </w:r>
            <w:r w:rsidR="007A5E30">
              <w:t xml:space="preserve"> </w:t>
            </w:r>
            <w:r>
              <w:t>h); unclear if observed systemic effects due to dermal absorption or inhalation from evaporated substance</w:t>
            </w:r>
          </w:p>
          <w:p w14:paraId="76556CD1" w14:textId="75872BEC" w:rsidR="00147988" w:rsidRDefault="00147988" w:rsidP="00F56599">
            <w:pPr>
              <w:pStyle w:val="Tabletextprimarysource"/>
              <w:numPr>
                <w:ilvl w:val="0"/>
                <w:numId w:val="1"/>
              </w:numPr>
            </w:pPr>
            <w:r>
              <w:t xml:space="preserve">Negative mutagenicity </w:t>
            </w:r>
            <w:r>
              <w:rPr>
                <w:i/>
              </w:rPr>
              <w:t>in vitro</w:t>
            </w:r>
            <w:r>
              <w:t xml:space="preserve"> in bacteria and </w:t>
            </w:r>
            <w:r>
              <w:rPr>
                <w:i/>
              </w:rPr>
              <w:t>in vivo</w:t>
            </w:r>
            <w:r>
              <w:t xml:space="preserve"> in a micronucleus assay with mice</w:t>
            </w:r>
            <w:r w:rsidR="007A5E30">
              <w:t>.</w:t>
            </w:r>
          </w:p>
          <w:p w14:paraId="5505AE49" w14:textId="77777777" w:rsidR="00514743" w:rsidRDefault="00514743" w:rsidP="003365A5">
            <w:pPr>
              <w:pStyle w:val="Tabletextprimarysource"/>
            </w:pPr>
          </w:p>
          <w:p w14:paraId="57892A42" w14:textId="77777777" w:rsidR="007A7518" w:rsidRDefault="007A7518" w:rsidP="003365A5">
            <w:pPr>
              <w:pStyle w:val="Tabletextprimarysource"/>
            </w:pPr>
            <w:r>
              <w:t>Insufficient data to assign a carcinogenicity notation.</w:t>
            </w:r>
          </w:p>
          <w:p w14:paraId="59372A5F" w14:textId="283A16CB" w:rsidR="00514743" w:rsidRPr="00DA352E" w:rsidRDefault="00514743" w:rsidP="003365A5">
            <w:pPr>
              <w:pStyle w:val="Tabletextprimarysource"/>
            </w:pPr>
          </w:p>
        </w:tc>
      </w:tr>
      <w:tr w:rsidR="00C978F0" w:rsidRPr="00DA352E" w14:paraId="3266C634" w14:textId="77777777" w:rsidTr="00DB39F0">
        <w:tc>
          <w:tcPr>
            <w:tcW w:w="5000" w:type="pct"/>
            <w:shd w:val="clear" w:color="auto" w:fill="F2F2F2" w:themeFill="background1" w:themeFillShade="F2"/>
          </w:tcPr>
          <w:p w14:paraId="1855E60A" w14:textId="39E9FE84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lastRenderedPageBreak/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D03300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r w:rsidR="00D03300">
                  <w:t>NA</w:t>
                </w:r>
              </w:sdtContent>
            </w:sdt>
          </w:p>
        </w:tc>
      </w:tr>
      <w:tr w:rsidR="00C978F0" w:rsidRPr="00DA352E" w14:paraId="2FABF86D" w14:textId="77777777" w:rsidTr="00DB39F0">
        <w:tc>
          <w:tcPr>
            <w:tcW w:w="5000" w:type="pct"/>
          </w:tcPr>
          <w:p w14:paraId="2BCE980D" w14:textId="5DACEACD" w:rsidR="00C978F0" w:rsidRPr="00DA352E" w:rsidRDefault="00D03300" w:rsidP="003365A5">
            <w:pPr>
              <w:pStyle w:val="Tabletextprimarysource"/>
            </w:pPr>
            <w:r>
              <w:t>No report</w:t>
            </w:r>
            <w:r w:rsidR="007A5E30">
              <w:t>.</w:t>
            </w:r>
          </w:p>
        </w:tc>
      </w:tr>
      <w:tr w:rsidR="00DA352E" w:rsidRPr="00DA352E" w14:paraId="32236FA6" w14:textId="77777777" w:rsidTr="00DB39F0">
        <w:tc>
          <w:tcPr>
            <w:tcW w:w="5000" w:type="pct"/>
            <w:shd w:val="clear" w:color="auto" w:fill="F2F2F2" w:themeFill="background1" w:themeFillShade="F2"/>
          </w:tcPr>
          <w:p w14:paraId="73662EEF" w14:textId="1962639D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D03300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r w:rsidR="00D03300">
                  <w:t>NA</w:t>
                </w:r>
              </w:sdtContent>
            </w:sdt>
          </w:p>
        </w:tc>
      </w:tr>
      <w:tr w:rsidR="00DA352E" w:rsidRPr="00DA352E" w14:paraId="69D48E5A" w14:textId="77777777" w:rsidTr="00DB39F0">
        <w:tc>
          <w:tcPr>
            <w:tcW w:w="5000" w:type="pct"/>
          </w:tcPr>
          <w:p w14:paraId="147F11A4" w14:textId="4DB8B43B" w:rsidR="00DA352E" w:rsidRPr="00DA352E" w:rsidRDefault="00D03300" w:rsidP="003365A5">
            <w:pPr>
              <w:pStyle w:val="Tabletextprimarysource"/>
            </w:pPr>
            <w:r w:rsidRPr="00D03300">
              <w:t>No report</w:t>
            </w:r>
            <w:r w:rsidR="007A5E30">
              <w:t>.</w:t>
            </w:r>
          </w:p>
        </w:tc>
      </w:tr>
      <w:tr w:rsidR="00DA352E" w:rsidRPr="00DA352E" w14:paraId="564F317D" w14:textId="77777777" w:rsidTr="00DB39F0">
        <w:tc>
          <w:tcPr>
            <w:tcW w:w="5000" w:type="pct"/>
            <w:shd w:val="clear" w:color="auto" w:fill="F2F2F2" w:themeFill="background1" w:themeFillShade="F2"/>
          </w:tcPr>
          <w:p w14:paraId="1A66015E" w14:textId="622B18B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D03300">
                  <w:t>2004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r w:rsidR="00D03300">
                  <w:t>TWA: 15 ppm (60 mg/m</w:t>
                </w:r>
                <w:r w:rsidR="00D03300" w:rsidRPr="00D03300">
                  <w:rPr>
                    <w:vertAlign w:val="superscript"/>
                  </w:rPr>
                  <w:t>3</w:t>
                </w:r>
                <w:r w:rsidR="00D03300">
                  <w:t>)</w:t>
                </w:r>
              </w:sdtContent>
            </w:sdt>
          </w:p>
        </w:tc>
      </w:tr>
      <w:tr w:rsidR="00DA352E" w:rsidRPr="00DA352E" w14:paraId="70BFFAA4" w14:textId="77777777" w:rsidTr="00DB39F0">
        <w:tc>
          <w:tcPr>
            <w:tcW w:w="5000" w:type="pct"/>
          </w:tcPr>
          <w:p w14:paraId="65591E5D" w14:textId="507BB967" w:rsidR="00DA352E" w:rsidRDefault="00147988" w:rsidP="00147988">
            <w:pPr>
              <w:pStyle w:val="Tabletextprimarysource"/>
              <w:tabs>
                <w:tab w:val="left" w:pos="2295"/>
              </w:tabs>
            </w:pPr>
            <w:r>
              <w:t>Summary of additional data:</w:t>
            </w:r>
          </w:p>
          <w:p w14:paraId="35849350" w14:textId="2E5250A9" w:rsidR="00147988" w:rsidRDefault="00147988" w:rsidP="00147988">
            <w:pPr>
              <w:pStyle w:val="Tabletextprimarysource"/>
              <w:tabs>
                <w:tab w:val="left" w:pos="2295"/>
              </w:tabs>
            </w:pPr>
            <w:r>
              <w:t xml:space="preserve">Insufficient data to derive </w:t>
            </w:r>
            <w:r w:rsidR="005954CC">
              <w:t>HBROEL. B</w:t>
            </w:r>
            <w:r>
              <w:t xml:space="preserve">ased on adverse </w:t>
            </w:r>
            <w:r w:rsidR="00EE6BF8">
              <w:t>haematological</w:t>
            </w:r>
            <w:r>
              <w:t xml:space="preserve"> effects reported in rabbits at </w:t>
            </w:r>
            <w:r w:rsidR="00EE6BF8">
              <w:t xml:space="preserve">25 ppm in a repeat </w:t>
            </w:r>
            <w:r>
              <w:t xml:space="preserve">inhalation </w:t>
            </w:r>
            <w:r w:rsidR="00EE6BF8">
              <w:t>study</w:t>
            </w:r>
            <w:r w:rsidR="005954CC">
              <w:t>.</w:t>
            </w:r>
            <w:r>
              <w:t xml:space="preserve"> </w:t>
            </w:r>
            <w:r w:rsidR="005954CC">
              <w:t xml:space="preserve">The </w:t>
            </w:r>
            <w:r w:rsidR="00EE6BF8">
              <w:t xml:space="preserve">agency considers the </w:t>
            </w:r>
            <w:r>
              <w:t>c</w:t>
            </w:r>
            <w:r w:rsidR="00EE6BF8">
              <w:t>urrent administrative OEL of 15 </w:t>
            </w:r>
            <w:r>
              <w:t>ppm at least an order of magnitude too high.</w:t>
            </w:r>
          </w:p>
          <w:p w14:paraId="46E87E10" w14:textId="77777777" w:rsidR="00147988" w:rsidRDefault="00147988" w:rsidP="00147988">
            <w:pPr>
              <w:pStyle w:val="Tabletextprimarysource"/>
              <w:tabs>
                <w:tab w:val="left" w:pos="2295"/>
              </w:tabs>
            </w:pPr>
            <w:r>
              <w:t>Animal data:</w:t>
            </w:r>
          </w:p>
          <w:p w14:paraId="68F4FCF6" w14:textId="26ED1FF0" w:rsidR="00514743" w:rsidRDefault="00EE6BF8" w:rsidP="00EE6BF8">
            <w:pPr>
              <w:pStyle w:val="Tabletextprimarysource"/>
              <w:numPr>
                <w:ilvl w:val="0"/>
                <w:numId w:val="1"/>
              </w:numPr>
              <w:tabs>
                <w:tab w:val="left" w:pos="2295"/>
              </w:tabs>
            </w:pPr>
            <w:r>
              <w:t>Anaemia and decreased white blood cell count at 25 ppm (rabbits, 4 h/d, 5 d)</w:t>
            </w:r>
            <w:r w:rsidR="007A5E30">
              <w:t>.</w:t>
            </w:r>
          </w:p>
          <w:p w14:paraId="372A670C" w14:textId="6B7B017D" w:rsidR="00147988" w:rsidRPr="00DA352E" w:rsidRDefault="00147988" w:rsidP="00DB39F0">
            <w:pPr>
              <w:pStyle w:val="Tabletextprimarysource"/>
              <w:tabs>
                <w:tab w:val="left" w:pos="2295"/>
              </w:tabs>
            </w:pPr>
            <w:r>
              <w:t xml:space="preserve"> </w:t>
            </w:r>
          </w:p>
        </w:tc>
      </w:tr>
    </w:tbl>
    <w:p w14:paraId="0FFF6A21" w14:textId="77777777" w:rsidR="00A20751" w:rsidRPr="004C23F4" w:rsidRDefault="00A20751" w:rsidP="007A5E30">
      <w:pPr>
        <w:pStyle w:val="Heading3"/>
      </w:pPr>
      <w:bookmarkStart w:id="0" w:name="SecondSource"/>
      <w:r w:rsidRPr="004C23F4">
        <w:lastRenderedPageBreak/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00" w:firstRow="0" w:lastRow="0" w:firstColumn="0" w:lastColumn="0" w:noHBand="1" w:noVBand="1"/>
        <w:tblCaption w:val="Table"/>
        <w:tblDescription w:val="Listing secondary sources with reports"/>
      </w:tblPr>
      <w:tblGrid>
        <w:gridCol w:w="1493"/>
        <w:gridCol w:w="422"/>
        <w:gridCol w:w="661"/>
        <w:gridCol w:w="6450"/>
      </w:tblGrid>
      <w:tr w:rsidR="004966BF" w:rsidRPr="00263255" w14:paraId="1F480F1B" w14:textId="77777777" w:rsidTr="00681380">
        <w:trPr>
          <w:trHeight w:val="393"/>
          <w:tblHeader/>
        </w:trPr>
        <w:tc>
          <w:tcPr>
            <w:tcW w:w="1493" w:type="dxa"/>
            <w:shd w:val="clear" w:color="auto" w:fill="BFBFBF" w:themeFill="background1" w:themeFillShade="BF"/>
            <w:vAlign w:val="center"/>
          </w:tcPr>
          <w:p w14:paraId="549733E7" w14:textId="77777777" w:rsidR="004966BF" w:rsidRPr="00263255" w:rsidRDefault="004966BF" w:rsidP="00136B8B">
            <w:pPr>
              <w:pStyle w:val="Tableheader"/>
              <w:keepNext/>
            </w:pPr>
            <w:r w:rsidRPr="00263255">
              <w:t>Source</w:t>
            </w:r>
          </w:p>
        </w:tc>
        <w:tc>
          <w:tcPr>
            <w:tcW w:w="422" w:type="dxa"/>
            <w:shd w:val="clear" w:color="auto" w:fill="BFBFBF" w:themeFill="background1" w:themeFillShade="BF"/>
            <w:vAlign w:val="center"/>
          </w:tcPr>
          <w:p w14:paraId="47AEFC6F" w14:textId="77777777" w:rsidR="004966BF" w:rsidRPr="00263255" w:rsidRDefault="004966BF" w:rsidP="00136B8B">
            <w:pPr>
              <w:pStyle w:val="Tableheader"/>
              <w:keepNext/>
            </w:pPr>
          </w:p>
        </w:tc>
        <w:tc>
          <w:tcPr>
            <w:tcW w:w="661" w:type="dxa"/>
            <w:shd w:val="clear" w:color="auto" w:fill="BFBFBF" w:themeFill="background1" w:themeFillShade="BF"/>
            <w:vAlign w:val="center"/>
          </w:tcPr>
          <w:p w14:paraId="1F170E29" w14:textId="77777777" w:rsidR="004966BF" w:rsidRPr="00263255" w:rsidRDefault="004966BF" w:rsidP="00136B8B">
            <w:pPr>
              <w:pStyle w:val="Tableheader"/>
              <w:keepNext/>
            </w:pPr>
            <w:r>
              <w:t>Year</w:t>
            </w:r>
          </w:p>
        </w:tc>
        <w:tc>
          <w:tcPr>
            <w:tcW w:w="6450" w:type="dxa"/>
            <w:shd w:val="clear" w:color="auto" w:fill="BFBFBF" w:themeFill="background1" w:themeFillShade="BF"/>
            <w:vAlign w:val="center"/>
          </w:tcPr>
          <w:p w14:paraId="5286FA95" w14:textId="77777777" w:rsidR="004966BF" w:rsidRPr="00263255" w:rsidRDefault="004966BF" w:rsidP="00136B8B">
            <w:pPr>
              <w:pStyle w:val="Tableheader"/>
              <w:keepNext/>
            </w:pPr>
            <w:r>
              <w:t>Additional information</w:t>
            </w:r>
          </w:p>
        </w:tc>
      </w:tr>
      <w:tr w:rsidR="004966BF" w:rsidRPr="004C23F4" w14:paraId="0ABE1956" w14:textId="77777777" w:rsidTr="00681380">
        <w:tc>
          <w:tcPr>
            <w:tcW w:w="1493" w:type="dxa"/>
          </w:tcPr>
          <w:p w14:paraId="1E910A6E" w14:textId="77777777" w:rsidR="004966BF" w:rsidRPr="004C23F4" w:rsidRDefault="004966BF" w:rsidP="00224EE2">
            <w:pPr>
              <w:pStyle w:val="Tablefont"/>
            </w:pPr>
            <w:r>
              <w:t>ECHA</w:t>
            </w:r>
          </w:p>
        </w:tc>
        <w:tc>
          <w:tcPr>
            <w:tcW w:w="422" w:type="dxa"/>
          </w:tcPr>
          <w:p w14:paraId="3D49E598" w14:textId="4676C8B0" w:rsidR="004966BF" w:rsidRPr="00CE617F" w:rsidRDefault="00AB6CB9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-2066787458"/>
                <w:placeholder>
                  <w:docPart w:val="EA32968BF93744FAABC5FC124DBE04BD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7139B1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56F9C492" w14:textId="76635EA6" w:rsidR="004966BF" w:rsidRPr="004C23F4" w:rsidRDefault="007139B1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2019</w:t>
            </w:r>
          </w:p>
        </w:tc>
        <w:tc>
          <w:tcPr>
            <w:tcW w:w="6450" w:type="dxa"/>
          </w:tcPr>
          <w:p w14:paraId="474B8A0C" w14:textId="74F8B04C" w:rsidR="001F0D24" w:rsidRPr="00FC1812" w:rsidRDefault="001F0D24" w:rsidP="00DB39F0">
            <w:pPr>
              <w:pStyle w:val="Tablefont"/>
              <w:numPr>
                <w:ilvl w:val="0"/>
                <w:numId w:val="1"/>
              </w:numPr>
              <w:spacing w:before="60" w:after="60"/>
              <w:ind w:left="714" w:hanging="357"/>
              <w:rPr>
                <w:rStyle w:val="checkbox"/>
                <w:rFonts w:ascii="Arial" w:hAnsi="Arial" w:cs="Arial"/>
                <w:lang w:val="it-IT"/>
              </w:rPr>
            </w:pPr>
            <w:r w:rsidRPr="00FC1812">
              <w:rPr>
                <w:rStyle w:val="checkbox"/>
                <w:rFonts w:ascii="Arial" w:hAnsi="Arial" w:cs="Arial"/>
                <w:lang w:val="it-IT"/>
              </w:rPr>
              <w:t xml:space="preserve">Non-mutagenic </w:t>
            </w:r>
            <w:r w:rsidRPr="00FC1812">
              <w:rPr>
                <w:rStyle w:val="checkbox"/>
                <w:rFonts w:ascii="Arial" w:hAnsi="Arial" w:cs="Arial"/>
                <w:i/>
                <w:lang w:val="it-IT"/>
              </w:rPr>
              <w:t>in vitro</w:t>
            </w:r>
            <w:r w:rsidRPr="00FC1812">
              <w:rPr>
                <w:rStyle w:val="checkbox"/>
                <w:rFonts w:ascii="Arial" w:hAnsi="Arial" w:cs="Arial"/>
                <w:lang w:val="it-IT"/>
              </w:rPr>
              <w:t xml:space="preserve"> in bacteria and </w:t>
            </w:r>
            <w:r w:rsidRPr="00FC1812">
              <w:rPr>
                <w:rStyle w:val="checkbox"/>
                <w:rFonts w:ascii="Arial" w:hAnsi="Arial" w:cs="Arial"/>
                <w:i/>
                <w:lang w:val="it-IT"/>
              </w:rPr>
              <w:t>in vivo</w:t>
            </w:r>
            <w:r w:rsidRPr="00FC1812">
              <w:rPr>
                <w:rStyle w:val="checkbox"/>
                <w:rFonts w:ascii="Arial" w:hAnsi="Arial" w:cs="Arial"/>
                <w:lang w:val="it-IT"/>
              </w:rPr>
              <w:t xml:space="preserve"> in mice</w:t>
            </w:r>
          </w:p>
          <w:p w14:paraId="46F6F266" w14:textId="1C28E807" w:rsidR="004966BF" w:rsidRPr="004C23F4" w:rsidRDefault="007139B1" w:rsidP="00681380">
            <w:pPr>
              <w:pStyle w:val="Tablefont"/>
              <w:numPr>
                <w:ilvl w:val="0"/>
                <w:numId w:val="1"/>
              </w:numPr>
              <w:spacing w:before="60" w:after="60"/>
              <w:ind w:left="714" w:hanging="357"/>
              <w:rPr>
                <w:rStyle w:val="checkbox"/>
                <w:rFonts w:ascii="Arial" w:hAnsi="Arial" w:cs="Arial"/>
              </w:rPr>
            </w:pPr>
            <w:r w:rsidRPr="005954CC">
              <w:rPr>
                <w:rStyle w:val="checkbox"/>
                <w:rFonts w:ascii="Arial" w:hAnsi="Arial" w:cs="Arial"/>
              </w:rPr>
              <w:t xml:space="preserve">DNEL </w:t>
            </w:r>
            <w:r w:rsidR="001F0D24" w:rsidRPr="005954CC">
              <w:rPr>
                <w:rStyle w:val="checkbox"/>
                <w:rFonts w:ascii="Arial" w:hAnsi="Arial" w:cs="Arial"/>
              </w:rPr>
              <w:t>adopted from previous 2007</w:t>
            </w:r>
            <w:r w:rsidR="001F0D24">
              <w:rPr>
                <w:rStyle w:val="checkbox"/>
                <w:rFonts w:ascii="Arial" w:hAnsi="Arial" w:cs="Arial"/>
              </w:rPr>
              <w:t xml:space="preserve"> DFG MAK of 5 ppm, which is supported by a derivation </w:t>
            </w:r>
            <w:r>
              <w:rPr>
                <w:rStyle w:val="checkbox"/>
                <w:rFonts w:ascii="Arial" w:hAnsi="Arial" w:cs="Arial"/>
              </w:rPr>
              <w:t>based on</w:t>
            </w:r>
            <w:r w:rsidR="001F0D24">
              <w:rPr>
                <w:rStyle w:val="checkbox"/>
                <w:rFonts w:ascii="Arial" w:hAnsi="Arial" w:cs="Arial"/>
              </w:rPr>
              <w:t xml:space="preserve"> the</w:t>
            </w:r>
            <w:r>
              <w:rPr>
                <w:rStyle w:val="checkbox"/>
                <w:rFonts w:ascii="Arial" w:hAnsi="Arial" w:cs="Arial"/>
              </w:rPr>
              <w:t xml:space="preserve"> LOAEL of 25 ppm</w:t>
            </w:r>
            <w:r w:rsidR="001F0D24">
              <w:rPr>
                <w:rStyle w:val="checkbox"/>
                <w:rFonts w:ascii="Arial" w:hAnsi="Arial" w:cs="Arial"/>
              </w:rPr>
              <w:t xml:space="preserve"> for irritation in volunteers exposed for &lt;15 min (also cited in ACGIH, 2018); assessment factor of 5 applied to account for intraindividual variation to equally arrive at the inhalation DNEL of 5</w:t>
            </w:r>
            <w:r w:rsidR="007A5E30">
              <w:rPr>
                <w:rStyle w:val="checkbox"/>
                <w:rFonts w:ascii="Arial" w:hAnsi="Arial" w:cs="Arial"/>
              </w:rPr>
              <w:t xml:space="preserve"> </w:t>
            </w:r>
            <w:r w:rsidR="001F0D24">
              <w:rPr>
                <w:rStyle w:val="checkbox"/>
                <w:rFonts w:ascii="Arial" w:hAnsi="Arial" w:cs="Arial"/>
              </w:rPr>
              <w:t>ppm</w:t>
            </w:r>
            <w:r w:rsidR="007A5E30">
              <w:rPr>
                <w:rStyle w:val="checkbox"/>
                <w:rFonts w:ascii="Arial" w:hAnsi="Arial" w:cs="Arial"/>
              </w:rPr>
              <w:t>.</w:t>
            </w:r>
          </w:p>
        </w:tc>
      </w:tr>
      <w:tr w:rsidR="004966BF" w:rsidRPr="004C23F4" w14:paraId="3BBB737A" w14:textId="77777777" w:rsidTr="00681380">
        <w:tc>
          <w:tcPr>
            <w:tcW w:w="1493" w:type="dxa"/>
          </w:tcPr>
          <w:p w14:paraId="39DEA965" w14:textId="77777777" w:rsidR="004966BF" w:rsidRPr="004C23F4" w:rsidRDefault="004966BF" w:rsidP="00224EE2">
            <w:pPr>
              <w:pStyle w:val="Tablefont"/>
            </w:pPr>
            <w:r>
              <w:t>OECD</w:t>
            </w:r>
          </w:p>
        </w:tc>
        <w:tc>
          <w:tcPr>
            <w:tcW w:w="422" w:type="dxa"/>
          </w:tcPr>
          <w:p w14:paraId="2E156787" w14:textId="1B05EF96" w:rsidR="004966BF" w:rsidRPr="00CE617F" w:rsidRDefault="00AB6CB9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-491947220"/>
                <w:placeholder>
                  <w:docPart w:val="320A77D155374054996F168A20882C28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205EFC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063165BC" w14:textId="7FD136CA" w:rsidR="004966BF" w:rsidRPr="004C23F4" w:rsidRDefault="00205EFC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1997</w:t>
            </w:r>
          </w:p>
        </w:tc>
        <w:tc>
          <w:tcPr>
            <w:tcW w:w="6450" w:type="dxa"/>
          </w:tcPr>
          <w:p w14:paraId="30189FE9" w14:textId="1157F735" w:rsidR="004966BF" w:rsidRPr="00205EFC" w:rsidRDefault="00205EFC" w:rsidP="00DB39F0">
            <w:pPr>
              <w:pStyle w:val="Tablefont"/>
              <w:numPr>
                <w:ilvl w:val="0"/>
                <w:numId w:val="3"/>
              </w:numPr>
              <w:spacing w:before="60" w:after="60"/>
              <w:ind w:left="714" w:hanging="357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 xml:space="preserve">Negative mutagenicity results </w:t>
            </w:r>
            <w:r>
              <w:rPr>
                <w:rStyle w:val="checkbox"/>
                <w:rFonts w:ascii="Arial" w:hAnsi="Arial" w:cs="Arial"/>
                <w:i/>
              </w:rPr>
              <w:t>in vitro</w:t>
            </w:r>
            <w:r>
              <w:rPr>
                <w:rStyle w:val="checkbox"/>
                <w:rFonts w:ascii="Arial" w:hAnsi="Arial" w:cs="Arial"/>
              </w:rPr>
              <w:t xml:space="preserve"> in bacteria and </w:t>
            </w:r>
            <w:r>
              <w:rPr>
                <w:rStyle w:val="checkbox"/>
                <w:rFonts w:ascii="Arial" w:hAnsi="Arial" w:cs="Arial"/>
                <w:i/>
              </w:rPr>
              <w:t>in vivo</w:t>
            </w:r>
            <w:r>
              <w:rPr>
                <w:rStyle w:val="checkbox"/>
                <w:rFonts w:ascii="Arial" w:hAnsi="Arial" w:cs="Arial"/>
              </w:rPr>
              <w:t xml:space="preserve"> in mice</w:t>
            </w:r>
            <w:r w:rsidR="007A5E30">
              <w:rPr>
                <w:rStyle w:val="checkbox"/>
                <w:rFonts w:ascii="Arial" w:hAnsi="Arial" w:cs="Arial"/>
              </w:rPr>
              <w:t>.</w:t>
            </w:r>
          </w:p>
        </w:tc>
      </w:tr>
      <w:tr w:rsidR="004966BF" w:rsidRPr="004C23F4" w14:paraId="7117AAC7" w14:textId="77777777" w:rsidTr="00681380">
        <w:tc>
          <w:tcPr>
            <w:tcW w:w="1493" w:type="dxa"/>
          </w:tcPr>
          <w:p w14:paraId="2149F440" w14:textId="77777777" w:rsidR="004966BF" w:rsidRDefault="004966BF" w:rsidP="00224EE2">
            <w:pPr>
              <w:pStyle w:val="Tablefont"/>
            </w:pPr>
            <w:r>
              <w:t>US NIOSH</w:t>
            </w:r>
          </w:p>
        </w:tc>
        <w:tc>
          <w:tcPr>
            <w:tcW w:w="422" w:type="dxa"/>
          </w:tcPr>
          <w:p w14:paraId="2D2C086D" w14:textId="03D700FF" w:rsidR="004966BF" w:rsidRDefault="00AB6CB9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-1814863282"/>
                <w:placeholder>
                  <w:docPart w:val="EA51C8540A4D4F0A9062F5B1698DCBB0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1F0D24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0D4C1AE3" w14:textId="0599BD6B" w:rsidR="004966BF" w:rsidRPr="004C23F4" w:rsidRDefault="001F0D24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1994</w:t>
            </w:r>
          </w:p>
        </w:tc>
        <w:tc>
          <w:tcPr>
            <w:tcW w:w="6450" w:type="dxa"/>
          </w:tcPr>
          <w:p w14:paraId="3BB02F69" w14:textId="76B35935" w:rsidR="004966BF" w:rsidRPr="004C23F4" w:rsidRDefault="00205EFC" w:rsidP="00DB39F0">
            <w:pPr>
              <w:pStyle w:val="Tablefont"/>
              <w:numPr>
                <w:ilvl w:val="0"/>
                <w:numId w:val="3"/>
              </w:numPr>
              <w:spacing w:before="60" w:after="60"/>
              <w:ind w:left="714" w:hanging="357"/>
              <w:rPr>
                <w:rStyle w:val="checkbox"/>
                <w:rFonts w:ascii="Arial" w:hAnsi="Arial" w:cs="Arial"/>
              </w:rPr>
            </w:pPr>
            <w:r w:rsidRPr="00205EFC">
              <w:rPr>
                <w:rFonts w:cs="Arial"/>
              </w:rPr>
              <w:t>IDLH based on being 10% of th</w:t>
            </w:r>
            <w:r>
              <w:rPr>
                <w:rFonts w:cs="Arial"/>
              </w:rPr>
              <w:t>e lower explosive limit of 1.4%</w:t>
            </w:r>
            <w:r w:rsidR="007A5E30">
              <w:rPr>
                <w:rFonts w:cs="Arial"/>
              </w:rPr>
              <w:t>.</w:t>
            </w:r>
          </w:p>
        </w:tc>
      </w:tr>
    </w:tbl>
    <w:bookmarkEnd w:id="0"/>
    <w:p w14:paraId="6FC83442" w14:textId="77777777" w:rsidR="007E2A4B" w:rsidRDefault="007E2A4B" w:rsidP="007E2A4B">
      <w:pPr>
        <w:pStyle w:val="Heading3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603"/>
        <w:gridCol w:w="2423"/>
      </w:tblGrid>
      <w:tr w:rsidR="002E0D61" w14:paraId="17D91C48" w14:textId="77777777" w:rsidTr="001F0D24">
        <w:trPr>
          <w:trHeight w:val="454"/>
          <w:tblHeader/>
        </w:trPr>
        <w:tc>
          <w:tcPr>
            <w:tcW w:w="6603" w:type="dxa"/>
            <w:vAlign w:val="center"/>
          </w:tcPr>
          <w:p w14:paraId="6E89AD21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3" w:type="dxa"/>
                <w:vAlign w:val="center"/>
              </w:tcPr>
              <w:p w14:paraId="32C3AD38" w14:textId="5589DBE4" w:rsidR="002E0D61" w:rsidRDefault="001F0D24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No</w:t>
                </w:r>
              </w:p>
            </w:tc>
          </w:sdtContent>
        </w:sdt>
      </w:tr>
      <w:tr w:rsidR="008A36CF" w14:paraId="1716D68B" w14:textId="77777777" w:rsidTr="001F0D24">
        <w:trPr>
          <w:trHeight w:val="454"/>
        </w:trPr>
        <w:sdt>
          <w:sdtPr>
            <w:rPr>
              <w:b/>
            </w:rPr>
            <w:id w:val="1830936485"/>
            <w:placeholder>
              <w:docPart w:val="CAD2D506A5824AB88D896BC2795BCEDE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6603" w:type="dxa"/>
                <w:vAlign w:val="center"/>
              </w:tcPr>
              <w:p w14:paraId="19003A09" w14:textId="298A1331" w:rsidR="008A36CF" w:rsidRPr="006901A2" w:rsidRDefault="001F0D24" w:rsidP="008A36CF">
                <w:pPr>
                  <w:pStyle w:val="Tablefont"/>
                  <w:keepNext/>
                  <w:keepLines/>
                  <w:spacing w:before="40" w:after="40"/>
                  <w:rPr>
                    <w:b/>
                  </w:rPr>
                </w:pPr>
                <w:r>
                  <w:rPr>
                    <w:b/>
                  </w:rPr>
                  <w:t>The chemical is not a non-threshold based genotoxic carcinogen.</w:t>
                </w:r>
              </w:p>
            </w:tc>
          </w:sdtContent>
        </w:sdt>
        <w:tc>
          <w:tcPr>
            <w:tcW w:w="2423" w:type="dxa"/>
            <w:vAlign w:val="center"/>
          </w:tcPr>
          <w:p w14:paraId="38BF1F0C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</w:p>
        </w:tc>
      </w:tr>
    </w:tbl>
    <w:bookmarkEnd w:id="1"/>
    <w:p w14:paraId="5EBAC739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2BD8B90F" w14:textId="77777777" w:rsidTr="00812887">
        <w:trPr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3E79C8B9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61163413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744E1A2D" w14:textId="77777777" w:rsidTr="00812887">
        <w:trPr>
          <w:cantSplit/>
        </w:trPr>
        <w:tc>
          <w:tcPr>
            <w:tcW w:w="3227" w:type="dxa"/>
          </w:tcPr>
          <w:p w14:paraId="34404D77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21E89FFB" w14:textId="6A76E558" w:rsidR="00687890" w:rsidRPr="00DD2F9B" w:rsidRDefault="00704A8A" w:rsidP="00DD2F9B">
            <w:pPr>
              <w:pStyle w:val="Tablefont"/>
            </w:pPr>
            <w:r w:rsidRPr="00704A8A">
              <w:t>—</w:t>
            </w:r>
          </w:p>
        </w:tc>
      </w:tr>
      <w:tr w:rsidR="007925F0" w:rsidRPr="004C23F4" w14:paraId="5A4CC77C" w14:textId="77777777" w:rsidTr="00812887">
        <w:trPr>
          <w:cantSplit/>
        </w:trPr>
        <w:tc>
          <w:tcPr>
            <w:tcW w:w="3227" w:type="dxa"/>
          </w:tcPr>
          <w:p w14:paraId="734F20D0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3DAABE21" w14:textId="1AEDD266" w:rsidR="007925F0" w:rsidRPr="00DD2F9B" w:rsidRDefault="00704A8A" w:rsidP="00DD2F9B">
            <w:pPr>
              <w:pStyle w:val="Tablefont"/>
            </w:pPr>
            <w:r w:rsidRPr="00704A8A">
              <w:t>—</w:t>
            </w:r>
          </w:p>
        </w:tc>
      </w:tr>
      <w:tr w:rsidR="00AF483F" w:rsidRPr="004C23F4" w14:paraId="3833B8C3" w14:textId="77777777" w:rsidTr="00812887">
        <w:trPr>
          <w:cantSplit/>
        </w:trPr>
        <w:tc>
          <w:tcPr>
            <w:tcW w:w="3227" w:type="dxa"/>
          </w:tcPr>
          <w:p w14:paraId="4E8DD589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3245BB6B" w14:textId="06ED07D1" w:rsidR="00AF483F" w:rsidRPr="00DD2F9B" w:rsidRDefault="00704A8A" w:rsidP="00DD2F9B">
            <w:pPr>
              <w:pStyle w:val="Tablefont"/>
            </w:pPr>
            <w:r>
              <w:t>NA</w:t>
            </w:r>
          </w:p>
        </w:tc>
      </w:tr>
      <w:tr w:rsidR="00687890" w:rsidRPr="004C23F4" w14:paraId="01C430A3" w14:textId="77777777" w:rsidTr="00812887">
        <w:trPr>
          <w:cantSplit/>
        </w:trPr>
        <w:tc>
          <w:tcPr>
            <w:tcW w:w="3227" w:type="dxa"/>
          </w:tcPr>
          <w:p w14:paraId="3343CFDB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4B89D52E" w14:textId="304775C0" w:rsidR="00687890" w:rsidRPr="00DD2F9B" w:rsidRDefault="00205EFC" w:rsidP="00DD2F9B">
            <w:pPr>
              <w:pStyle w:val="Tablefont"/>
            </w:pPr>
            <w:r>
              <w:t>—</w:t>
            </w:r>
          </w:p>
        </w:tc>
      </w:tr>
      <w:tr w:rsidR="00E41A26" w:rsidRPr="004C23F4" w14:paraId="24D68697" w14:textId="77777777" w:rsidTr="00812887">
        <w:trPr>
          <w:cantSplit/>
        </w:trPr>
        <w:tc>
          <w:tcPr>
            <w:tcW w:w="3227" w:type="dxa"/>
          </w:tcPr>
          <w:p w14:paraId="5E8A9868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0605BAA9" w14:textId="47C7D1D9" w:rsidR="00E41A26" w:rsidRPr="00DD2F9B" w:rsidRDefault="00704A8A" w:rsidP="00DD2F9B">
            <w:pPr>
              <w:pStyle w:val="Tablefont"/>
            </w:pPr>
            <w:r w:rsidRPr="00704A8A">
              <w:t>—</w:t>
            </w:r>
          </w:p>
        </w:tc>
      </w:tr>
      <w:tr w:rsidR="002E0D61" w:rsidRPr="004C23F4" w14:paraId="04DCFE7C" w14:textId="77777777" w:rsidTr="00812887">
        <w:trPr>
          <w:cantSplit/>
        </w:trPr>
        <w:tc>
          <w:tcPr>
            <w:tcW w:w="3227" w:type="dxa"/>
          </w:tcPr>
          <w:p w14:paraId="54F6143D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7F7349A3" w14:textId="1F63B29E" w:rsidR="002E0D61" w:rsidRPr="00DD2F9B" w:rsidRDefault="00704A8A" w:rsidP="00DD2F9B">
            <w:pPr>
              <w:pStyle w:val="Tablefont"/>
            </w:pPr>
            <w:r w:rsidRPr="00704A8A">
              <w:t>—</w:t>
            </w:r>
          </w:p>
        </w:tc>
      </w:tr>
      <w:tr w:rsidR="002E0D61" w:rsidRPr="004C23F4" w14:paraId="71110055" w14:textId="77777777" w:rsidTr="00812887">
        <w:trPr>
          <w:cantSplit/>
        </w:trPr>
        <w:tc>
          <w:tcPr>
            <w:tcW w:w="3227" w:type="dxa"/>
          </w:tcPr>
          <w:p w14:paraId="2D1B8FB9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15657A49" w14:textId="77D72093" w:rsidR="002E0D61" w:rsidRPr="00DD2F9B" w:rsidRDefault="00704A8A" w:rsidP="00DD2F9B">
            <w:pPr>
              <w:pStyle w:val="Tablefont"/>
            </w:pPr>
            <w:r w:rsidRPr="00704A8A">
              <w:t>H (skin)</w:t>
            </w:r>
          </w:p>
        </w:tc>
      </w:tr>
      <w:tr w:rsidR="002E0D61" w:rsidRPr="004C23F4" w14:paraId="48017D90" w14:textId="77777777" w:rsidTr="00812887">
        <w:trPr>
          <w:cantSplit/>
        </w:trPr>
        <w:tc>
          <w:tcPr>
            <w:tcW w:w="3227" w:type="dxa"/>
          </w:tcPr>
          <w:p w14:paraId="3446B776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17F90A01" w14:textId="505DF1D1" w:rsidR="002E0D61" w:rsidRPr="00DD2F9B" w:rsidRDefault="00704A8A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5904D376" w14:textId="77777777" w:rsidTr="00812887">
        <w:trPr>
          <w:cantSplit/>
        </w:trPr>
        <w:tc>
          <w:tcPr>
            <w:tcW w:w="3227" w:type="dxa"/>
          </w:tcPr>
          <w:p w14:paraId="7C3AD5CD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7829072A" w14:textId="66693C69" w:rsidR="002E0D61" w:rsidRPr="00DD2F9B" w:rsidRDefault="00704A8A" w:rsidP="00DD2F9B">
            <w:pPr>
              <w:pStyle w:val="Tablefont"/>
            </w:pPr>
            <w:r w:rsidRPr="00704A8A">
              <w:t>—</w:t>
            </w:r>
          </w:p>
        </w:tc>
      </w:tr>
      <w:tr w:rsidR="00386093" w:rsidRPr="004C23F4" w14:paraId="106D7DB0" w14:textId="77777777" w:rsidTr="00812887">
        <w:trPr>
          <w:cantSplit/>
        </w:trPr>
        <w:tc>
          <w:tcPr>
            <w:tcW w:w="3227" w:type="dxa"/>
          </w:tcPr>
          <w:p w14:paraId="293143CA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620261C4" w14:textId="41CDE2C3" w:rsidR="00386093" w:rsidRPr="00DD2F9B" w:rsidRDefault="00704A8A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4C02167F" w14:textId="77777777" w:rsidTr="00812887">
        <w:trPr>
          <w:cantSplit/>
        </w:trPr>
        <w:tc>
          <w:tcPr>
            <w:tcW w:w="3227" w:type="dxa"/>
          </w:tcPr>
          <w:p w14:paraId="537B887A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452F8B5C" w14:textId="0F258B9C" w:rsidR="00386093" w:rsidRPr="00DD2F9B" w:rsidRDefault="00704A8A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0725EA52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549AF9A5" w14:textId="77777777" w:rsidR="00474E33" w:rsidRDefault="00474E33" w:rsidP="00474E33">
      <w:pPr>
        <w:pStyle w:val="Heading3"/>
      </w:pPr>
      <w:r>
        <w:lastRenderedPageBreak/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2B172777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58680F13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08F3F88B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tbl>
            <w:tblPr>
              <w:tblW w:w="9001" w:type="dxa"/>
              <w:tblLook w:val="04A0" w:firstRow="1" w:lastRow="0" w:firstColumn="1" w:lastColumn="0" w:noHBand="0" w:noVBand="1"/>
            </w:tblPr>
            <w:tblGrid>
              <w:gridCol w:w="3663"/>
              <w:gridCol w:w="1082"/>
              <w:gridCol w:w="1082"/>
              <w:gridCol w:w="2983"/>
            </w:tblGrid>
            <w:tr w:rsidR="001F0D24" w:rsidRPr="001F0D24" w14:paraId="2D67C986" w14:textId="77777777" w:rsidTr="001F0D24">
              <w:trPr>
                <w:trHeight w:val="231"/>
              </w:trPr>
              <w:tc>
                <w:tcPr>
                  <w:tcW w:w="37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A65F358" w14:textId="77777777" w:rsidR="001F0D24" w:rsidRPr="001F0D24" w:rsidRDefault="001F0D24" w:rsidP="001F0D24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1F0D2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Adverse effects in human case study:</w:t>
                  </w:r>
                </w:p>
              </w:tc>
              <w:tc>
                <w:tcPr>
                  <w:tcW w:w="110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4354BA3" w14:textId="77777777" w:rsidR="001F0D24" w:rsidRPr="001F0D24" w:rsidRDefault="001F0D24" w:rsidP="001F0D24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1F0D2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0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BA38FCC" w14:textId="77777777" w:rsidR="001F0D24" w:rsidRPr="001F0D24" w:rsidRDefault="001F0D24" w:rsidP="001F0D24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1F0D24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0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CD04806" w14:textId="77777777" w:rsidR="001F0D24" w:rsidRPr="001F0D24" w:rsidRDefault="001F0D24" w:rsidP="001F0D24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1F0D2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1F0D24" w:rsidRPr="001F0D24" w14:paraId="16358703" w14:textId="77777777" w:rsidTr="001F0D24">
              <w:trPr>
                <w:trHeight w:val="231"/>
              </w:trPr>
              <w:tc>
                <w:tcPr>
                  <w:tcW w:w="37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1AAEE21" w14:textId="77777777" w:rsidR="001F0D24" w:rsidRPr="001F0D24" w:rsidRDefault="001F0D24" w:rsidP="001F0D24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1F0D2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1F0D2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1F0D2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≤1000 mg/kg:</w:t>
                  </w:r>
                </w:p>
              </w:tc>
              <w:tc>
                <w:tcPr>
                  <w:tcW w:w="110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57E104D" w14:textId="77777777" w:rsidR="001F0D24" w:rsidRPr="001F0D24" w:rsidRDefault="001F0D24" w:rsidP="001F0D24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1F0D2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no</w:t>
                  </w:r>
                </w:p>
              </w:tc>
              <w:tc>
                <w:tcPr>
                  <w:tcW w:w="110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044292D" w14:textId="77777777" w:rsidR="001F0D24" w:rsidRPr="001F0D24" w:rsidRDefault="001F0D24" w:rsidP="001F0D24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1F0D24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0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1EC6D99" w14:textId="77777777" w:rsidR="001F0D24" w:rsidRPr="001F0D24" w:rsidRDefault="001F0D24" w:rsidP="001F0D24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1F0D2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1F0D24" w:rsidRPr="001F0D24" w14:paraId="47F7D08C" w14:textId="77777777" w:rsidTr="001F0D24">
              <w:trPr>
                <w:trHeight w:val="231"/>
              </w:trPr>
              <w:tc>
                <w:tcPr>
                  <w:tcW w:w="37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E893E75" w14:textId="77777777" w:rsidR="001F0D24" w:rsidRPr="001F0D24" w:rsidRDefault="001F0D24" w:rsidP="001F0D24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1F0D2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repeat-dose NOAEL ≤200 mg/kg:</w:t>
                  </w:r>
                </w:p>
              </w:tc>
              <w:tc>
                <w:tcPr>
                  <w:tcW w:w="110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22DC31B" w14:textId="77777777" w:rsidR="001F0D24" w:rsidRPr="001F0D24" w:rsidRDefault="001F0D24" w:rsidP="001F0D24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1F0D2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0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0A2A9EB" w14:textId="77777777" w:rsidR="001F0D24" w:rsidRPr="001F0D24" w:rsidRDefault="001F0D24" w:rsidP="001F0D24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1F0D24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0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B5D5E4E" w14:textId="77777777" w:rsidR="001F0D24" w:rsidRPr="001F0D24" w:rsidRDefault="001F0D24" w:rsidP="001F0D24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1F0D2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1F0D24" w:rsidRPr="001F0D24" w14:paraId="3E946871" w14:textId="77777777" w:rsidTr="001F0D24">
              <w:trPr>
                <w:trHeight w:val="231"/>
              </w:trPr>
              <w:tc>
                <w:tcPr>
                  <w:tcW w:w="37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90853C5" w14:textId="77777777" w:rsidR="001F0D24" w:rsidRPr="001F0D24" w:rsidRDefault="001F0D24" w:rsidP="001F0D24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1F0D2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1F0D2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1F0D2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/Inhalation LD</w:t>
                  </w:r>
                  <w:r w:rsidRPr="001F0D2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1F0D2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&lt;10:</w:t>
                  </w:r>
                </w:p>
              </w:tc>
              <w:tc>
                <w:tcPr>
                  <w:tcW w:w="110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F8255EE" w14:textId="77777777" w:rsidR="001F0D24" w:rsidRPr="001F0D24" w:rsidRDefault="001F0D24" w:rsidP="001F0D24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1F0D2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0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6274920" w14:textId="77777777" w:rsidR="001F0D24" w:rsidRPr="001F0D24" w:rsidRDefault="001F0D24" w:rsidP="001F0D24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1F0D24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0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C2D3D46" w14:textId="77777777" w:rsidR="001F0D24" w:rsidRPr="001F0D24" w:rsidRDefault="001F0D24" w:rsidP="001F0D24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1F0D2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1F0D24" w:rsidRPr="001F0D24" w14:paraId="1FE844B6" w14:textId="77777777" w:rsidTr="001F0D24">
              <w:trPr>
                <w:trHeight w:val="231"/>
              </w:trPr>
              <w:tc>
                <w:tcPr>
                  <w:tcW w:w="37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E7791DD" w14:textId="77777777" w:rsidR="001F0D24" w:rsidRPr="001F0D24" w:rsidRDefault="001F0D24" w:rsidP="001F0D24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1F0D24"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  <w:t>In vivo</w:t>
                  </w:r>
                  <w:r w:rsidRPr="001F0D2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dermal absorption rate &gt;10%:</w:t>
                  </w:r>
                </w:p>
              </w:tc>
              <w:tc>
                <w:tcPr>
                  <w:tcW w:w="110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C23AAD2" w14:textId="77777777" w:rsidR="001F0D24" w:rsidRPr="001F0D24" w:rsidRDefault="001F0D24" w:rsidP="001F0D24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1F0D2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0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F5D0477" w14:textId="77777777" w:rsidR="001F0D24" w:rsidRPr="001F0D24" w:rsidRDefault="001F0D24" w:rsidP="001F0D24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1F0D24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0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E8142B0" w14:textId="77777777" w:rsidR="001F0D24" w:rsidRPr="001F0D24" w:rsidRDefault="001F0D24" w:rsidP="001F0D24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1F0D2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1F0D24" w:rsidRPr="001F0D24" w14:paraId="0FE31918" w14:textId="77777777" w:rsidTr="001F0D24">
              <w:trPr>
                <w:trHeight w:val="231"/>
              </w:trPr>
              <w:tc>
                <w:tcPr>
                  <w:tcW w:w="37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CA0CDBD" w14:textId="77777777" w:rsidR="001F0D24" w:rsidRPr="001F0D24" w:rsidRDefault="001F0D24" w:rsidP="001F0D24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1F0D2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Estimated dermal exposure at WES &gt;10%:</w:t>
                  </w:r>
                </w:p>
              </w:tc>
              <w:tc>
                <w:tcPr>
                  <w:tcW w:w="110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0019A69" w14:textId="77777777" w:rsidR="001F0D24" w:rsidRPr="001F0D24" w:rsidRDefault="001F0D24" w:rsidP="001F0D24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1F0D2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0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88D8450" w14:textId="77777777" w:rsidR="001F0D24" w:rsidRPr="001F0D24" w:rsidRDefault="001F0D24" w:rsidP="001F0D24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1F0D24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0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819C68D" w14:textId="77777777" w:rsidR="001F0D24" w:rsidRPr="001F0D24" w:rsidRDefault="001F0D24" w:rsidP="001F0D24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1F0D2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1F0D24" w:rsidRPr="001F0D24" w14:paraId="7682FFD8" w14:textId="77777777" w:rsidTr="001F0D24">
              <w:trPr>
                <w:trHeight w:val="231"/>
              </w:trPr>
              <w:tc>
                <w:tcPr>
                  <w:tcW w:w="37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6466997" w14:textId="77777777" w:rsidR="001F0D24" w:rsidRPr="001F0D24" w:rsidRDefault="001F0D24" w:rsidP="001F0D24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1F0D2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0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64D7E5A" w14:textId="77777777" w:rsidR="001F0D24" w:rsidRPr="001F0D24" w:rsidRDefault="001F0D24" w:rsidP="001F0D24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1F0D2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0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5F51AE4" w14:textId="77777777" w:rsidR="001F0D24" w:rsidRPr="001F0D24" w:rsidRDefault="001F0D24" w:rsidP="001F0D24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1F0D24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0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715484A" w14:textId="77777777" w:rsidR="001F0D24" w:rsidRPr="001F0D24" w:rsidRDefault="001F0D24" w:rsidP="001F0D24">
                  <w:pPr>
                    <w:spacing w:after="0" w:line="240" w:lineRule="auto"/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1F0D24"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  <w:t>a skin notation is not warranted</w:t>
                  </w:r>
                </w:p>
              </w:tc>
            </w:tr>
          </w:tbl>
          <w:p w14:paraId="3251D8B9" w14:textId="77777777" w:rsidR="00932DCE" w:rsidRPr="004C23F4" w:rsidRDefault="00932DCE" w:rsidP="00F9496B">
            <w:pPr>
              <w:pStyle w:val="Tablefont"/>
            </w:pPr>
          </w:p>
        </w:tc>
      </w:tr>
    </w:tbl>
    <w:bookmarkEnd w:id="3"/>
    <w:p w14:paraId="12929CFA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6"/>
        <w:gridCol w:w="4760"/>
      </w:tblGrid>
      <w:tr w:rsidR="00EB3D1B" w14:paraId="42535B5A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1D9CEA4E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27D570C1" w14:textId="6ABBEFC2" w:rsidR="00EB3D1B" w:rsidRDefault="0018088B" w:rsidP="00EB3D1B">
                <w:pPr>
                  <w:pStyle w:val="Tablefont"/>
                </w:pPr>
                <w:r>
                  <w:t>Yes, based on LEL</w:t>
                </w:r>
              </w:p>
            </w:tc>
          </w:sdtContent>
        </w:sdt>
      </w:tr>
    </w:tbl>
    <w:p w14:paraId="12E4713A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6"/>
        <w:gridCol w:w="5030"/>
      </w:tblGrid>
      <w:tr w:rsidR="001B79E5" w:rsidRPr="004C23F4" w14:paraId="42621EE8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60D87644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6B3DF162" w14:textId="488A5538" w:rsidR="001B79E5" w:rsidRDefault="00704A8A" w:rsidP="001B79E5">
                <w:pPr>
                  <w:pStyle w:val="Tablefont"/>
                </w:pPr>
                <w:r w:rsidRPr="00704A8A">
                  <w:t>98.14</w:t>
                </w:r>
              </w:p>
            </w:tc>
          </w:sdtContent>
        </w:sdt>
      </w:tr>
      <w:tr w:rsidR="00A31D99" w:rsidRPr="004C23F4" w14:paraId="03725AB9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4948901C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7FCD563D" w14:textId="098C1936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</w:sdtPr>
              <w:sdtEndPr/>
              <w:sdtContent>
                <w:r w:rsidR="00704A8A">
                  <w:t>4.01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704A8A">
                  <w:t>0.250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50C744A0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550F28B9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419A1FEB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665CE67A" w14:textId="77777777" w:rsidTr="00EA6243">
        <w:trPr>
          <w:cantSplit/>
        </w:trPr>
        <w:tc>
          <w:tcPr>
            <w:tcW w:w="4077" w:type="dxa"/>
            <w:vAlign w:val="center"/>
          </w:tcPr>
          <w:p w14:paraId="07A08831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34958004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4AE80164" w14:textId="77777777" w:rsidTr="00EA6243">
        <w:trPr>
          <w:cantSplit/>
        </w:trPr>
        <w:tc>
          <w:tcPr>
            <w:tcW w:w="4077" w:type="dxa"/>
            <w:vAlign w:val="center"/>
          </w:tcPr>
          <w:p w14:paraId="1502CC09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275A3675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23AE6029" w14:textId="77777777" w:rsidTr="00EA6243">
        <w:trPr>
          <w:cantSplit/>
        </w:trPr>
        <w:tc>
          <w:tcPr>
            <w:tcW w:w="4077" w:type="dxa"/>
            <w:vAlign w:val="center"/>
          </w:tcPr>
          <w:p w14:paraId="418A3FD5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6FBF946F" w14:textId="77777777" w:rsidR="00E06F40" w:rsidRPr="00A006A0" w:rsidRDefault="00AB6CB9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73ABC5DB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7C8D31B1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1FD24EE8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6229E6EE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129BE3F0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4FB84F75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6CCD1497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01842411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4568444B" w14:textId="2AE092B6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7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6E7A441B" w14:textId="6055C4CC" w:rsidR="00B9366E" w:rsidRDefault="00B9366E" w:rsidP="00084859">
      <w:r w:rsidRPr="00B9366E">
        <w:t>Deutsche Forschungsgemeinschaft (DFG) (</w:t>
      </w:r>
      <w:r>
        <w:t>2018</w:t>
      </w:r>
      <w:r w:rsidRPr="00B9366E">
        <w:t xml:space="preserve">) </w:t>
      </w:r>
      <w:r>
        <w:t>List of BAT and MAK Values 2018 – Report 54.</w:t>
      </w:r>
    </w:p>
    <w:p w14:paraId="04691C9F" w14:textId="1D375310" w:rsidR="00704A8A" w:rsidRDefault="00704A8A" w:rsidP="00084859">
      <w:r w:rsidRPr="002022B6">
        <w:t>Deutsche Forschungsgemeinschaft (DFG)</w:t>
      </w:r>
      <w:r>
        <w:t xml:space="preserve"> (2016) </w:t>
      </w:r>
      <w:r w:rsidRPr="00704A8A">
        <w:t>4-Methyl-3-penten-2-on</w:t>
      </w:r>
      <w:r w:rsidR="00147988">
        <w:t xml:space="preserve"> – MAK value documentation, German language edition.</w:t>
      </w:r>
    </w:p>
    <w:p w14:paraId="3A667502" w14:textId="308DBFA4" w:rsidR="00B9366E" w:rsidRDefault="00147988" w:rsidP="00084859">
      <w:r w:rsidRPr="00147988">
        <w:t>Deutsche Forschungsgemeinschaft (DFG) (</w:t>
      </w:r>
      <w:r>
        <w:t>2007</w:t>
      </w:r>
      <w:r w:rsidRPr="00147988">
        <w:t>) 4-Methyl-3-penten-2-on – MAK value documentation</w:t>
      </w:r>
      <w:r>
        <w:t>, German language edition</w:t>
      </w:r>
      <w:r w:rsidRPr="00147988">
        <w:t>.</w:t>
      </w:r>
    </w:p>
    <w:p w14:paraId="71F5B043" w14:textId="340376E4" w:rsidR="00704A8A" w:rsidRDefault="00704A8A" w:rsidP="00704A8A">
      <w:r>
        <w:t xml:space="preserve">European Chemicals Agency (ECHA) (2019) </w:t>
      </w:r>
      <w:r w:rsidRPr="00704A8A">
        <w:t>Mesityl oxide</w:t>
      </w:r>
      <w:r>
        <w:t xml:space="preserve"> – REACH assessment.</w:t>
      </w:r>
    </w:p>
    <w:p w14:paraId="4B199CED" w14:textId="3E36A42C" w:rsidR="00704A8A" w:rsidRDefault="00704A8A" w:rsidP="00704A8A">
      <w:r w:rsidRPr="002022B6">
        <w:t>Health Council of the Netherlands</w:t>
      </w:r>
      <w:r>
        <w:t xml:space="preserve"> (HCOTN) (2004) </w:t>
      </w:r>
      <w:r w:rsidRPr="00704A8A">
        <w:t>4-Methylpent-3-en-2-one</w:t>
      </w:r>
      <w:r w:rsidRPr="005F7416">
        <w:t xml:space="preserve">. Health-based calculated occupational cancer risk values. The Hague: Health Council of the Netherlands; publication no. </w:t>
      </w:r>
      <w:r w:rsidR="003610C2" w:rsidRPr="003610C2">
        <w:t>2000/15OSH/104.</w:t>
      </w:r>
    </w:p>
    <w:p w14:paraId="7936B620" w14:textId="77777777" w:rsidR="007A5E30" w:rsidRPr="00351FE0" w:rsidRDefault="007A5E30" w:rsidP="007A5E30">
      <w:r w:rsidRPr="00E819F5">
        <w:lastRenderedPageBreak/>
        <w:t>Organisation for Economic Cooperation and Development (OECD) (</w:t>
      </w:r>
      <w:r>
        <w:t>1997</w:t>
      </w:r>
      <w:r w:rsidRPr="00E819F5">
        <w:t xml:space="preserve">) SIDS initial assessment profile – </w:t>
      </w:r>
      <w:r>
        <w:t>Mesityl Oxide.</w:t>
      </w:r>
    </w:p>
    <w:p w14:paraId="14899912" w14:textId="77777777" w:rsidR="007A5E30" w:rsidRPr="00205EFC" w:rsidRDefault="007A5E30" w:rsidP="007A5E30">
      <w:pPr>
        <w:rPr>
          <w:color w:val="000000"/>
        </w:rPr>
      </w:pPr>
      <w:r w:rsidRPr="00E461B8">
        <w:rPr>
          <w:color w:val="000000"/>
        </w:rPr>
        <w:t>Tenth Adaptation to Technical Progress Commission Regulation (EU Annex) No 2017/776 amending, for the purposes of its adaptation to technical and scientific progress, Regulation (EC) No 1272/2008 of the European Parliament and of the Council on classification, labelling and packaging of substances and mixtures (the CLP Regulation).</w:t>
      </w:r>
    </w:p>
    <w:p w14:paraId="6C704927" w14:textId="41475205" w:rsidR="00704A8A" w:rsidRDefault="00704A8A" w:rsidP="00704A8A">
      <w:r w:rsidRPr="00D86E03">
        <w:t>US National Institute for Occupational Safety and Health (NIOSH)</w:t>
      </w:r>
      <w:r>
        <w:t xml:space="preserve"> (</w:t>
      </w:r>
      <w:r w:rsidR="003610C2" w:rsidRPr="003610C2">
        <w:t>1994</w:t>
      </w:r>
      <w:r>
        <w:t xml:space="preserve">) Immediately dangerous to life or health concentrations – </w:t>
      </w:r>
      <w:r w:rsidR="003610C2" w:rsidRPr="003610C2">
        <w:t>Mesityl oxide</w:t>
      </w:r>
      <w:r>
        <w:t>.</w:t>
      </w:r>
    </w:p>
    <w:p w14:paraId="5C6C1EAA" w14:textId="67EBE1DC" w:rsidR="00704A8A" w:rsidRPr="00351FE0" w:rsidRDefault="00704A8A" w:rsidP="00704A8A"/>
    <w:sectPr w:rsidR="00704A8A" w:rsidRPr="00351FE0" w:rsidSect="00B87D4C">
      <w:headerReference w:type="even" r:id="rId18"/>
      <w:headerReference w:type="default" r:id="rId19"/>
      <w:headerReference w:type="first" r:id="rId20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D2E867" w14:textId="77777777" w:rsidR="00036C44" w:rsidRDefault="00036C44" w:rsidP="00F43AD5">
      <w:pPr>
        <w:spacing w:after="0" w:line="240" w:lineRule="auto"/>
      </w:pPr>
      <w:r>
        <w:separator/>
      </w:r>
    </w:p>
  </w:endnote>
  <w:endnote w:type="continuationSeparator" w:id="0">
    <w:p w14:paraId="7F9745AD" w14:textId="77777777" w:rsidR="00036C44" w:rsidRDefault="00036C44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3DA9B2" w14:textId="77777777" w:rsidR="00F914F3" w:rsidRDefault="00F914F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4FBD8DFD" w14:textId="663A20D3" w:rsidR="00734398" w:rsidRDefault="00734398" w:rsidP="0034744C">
        <w:pPr>
          <w:pStyle w:val="Footer"/>
          <w:rPr>
            <w:sz w:val="18"/>
            <w:szCs w:val="18"/>
          </w:rPr>
        </w:pPr>
        <w:r w:rsidRPr="00B00C3B">
          <w:rPr>
            <w:b/>
            <w:sz w:val="18"/>
            <w:szCs w:val="18"/>
          </w:rPr>
          <w:t>Mesityl oxide</w:t>
        </w:r>
        <w:r>
          <w:rPr>
            <w:b/>
            <w:sz w:val="18"/>
            <w:szCs w:val="18"/>
          </w:rPr>
          <w:t xml:space="preserve"> (</w:t>
        </w:r>
        <w:r w:rsidRPr="00B00C3B">
          <w:rPr>
            <w:b/>
            <w:sz w:val="18"/>
            <w:szCs w:val="18"/>
          </w:rPr>
          <w:t>141-79-7</w:t>
        </w:r>
        <w:r>
          <w:rPr>
            <w:b/>
            <w:sz w:val="18"/>
            <w:szCs w:val="18"/>
          </w:rPr>
          <w:t>)</w:t>
        </w:r>
        <w:r w:rsidRPr="00F43AD5">
          <w:rPr>
            <w:sz w:val="18"/>
            <w:szCs w:val="18"/>
          </w:rPr>
          <w:br/>
          <w:t xml:space="preserve">Safe Work Australia </w:t>
        </w:r>
        <w:r w:rsidRPr="00F43AD5">
          <w:rPr>
            <w:rFonts w:ascii="Courier New" w:hAnsi="Courier New" w:cs="Courier New"/>
            <w:sz w:val="18"/>
            <w:szCs w:val="18"/>
          </w:rPr>
          <w:t>—</w:t>
        </w:r>
        <w:r w:rsidRPr="00F43AD5">
          <w:rPr>
            <w:sz w:val="18"/>
            <w:szCs w:val="18"/>
          </w:rPr>
          <w:t xml:space="preserve"> 201</w:t>
        </w:r>
        <w:r>
          <w:rPr>
            <w:sz w:val="18"/>
            <w:szCs w:val="18"/>
          </w:rPr>
          <w:t>9</w:t>
        </w:r>
      </w:p>
      <w:p w14:paraId="35FD01C5" w14:textId="720A7876" w:rsidR="00734398" w:rsidRPr="00F43AD5" w:rsidRDefault="00734398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7A272D">
          <w:rPr>
            <w:noProof/>
            <w:sz w:val="18"/>
            <w:szCs w:val="18"/>
          </w:rPr>
          <w:t>4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C7F8B8" w14:textId="77777777" w:rsidR="00F914F3" w:rsidRDefault="00F914F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4885D0" w14:textId="77777777" w:rsidR="00036C44" w:rsidRDefault="00036C44" w:rsidP="00F43AD5">
      <w:pPr>
        <w:spacing w:after="0" w:line="240" w:lineRule="auto"/>
      </w:pPr>
      <w:r>
        <w:separator/>
      </w:r>
    </w:p>
  </w:footnote>
  <w:footnote w:type="continuationSeparator" w:id="0">
    <w:p w14:paraId="19B224DB" w14:textId="77777777" w:rsidR="00036C44" w:rsidRDefault="00036C44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76AC25" w14:textId="6A5F8F2D" w:rsidR="00F914F3" w:rsidRDefault="00F914F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1B0D5F" w14:textId="6F048E42" w:rsidR="00734398" w:rsidRDefault="00734398" w:rsidP="00F43AD5">
    <w:pPr>
      <w:pStyle w:val="Header"/>
      <w:jc w:val="right"/>
    </w:pPr>
    <w:r>
      <w:rPr>
        <w:noProof/>
        <w:lang w:eastAsia="en-AU"/>
      </w:rPr>
      <w:drawing>
        <wp:inline distT="0" distB="0" distL="0" distR="0" wp14:anchorId="1F50867D" wp14:editId="6F441983">
          <wp:extent cx="2938272" cy="594360"/>
          <wp:effectExtent l="0" t="0" r="0" b="0"/>
          <wp:docPr id="2" name="Picture 2" descr="Safe Work Australia logo" title="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WA_logo_inline Hi-re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272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F889BB" w14:textId="2DDBF555" w:rsidR="00F914F3" w:rsidRDefault="00F914F3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08CD7A" w14:textId="4D3F3B27" w:rsidR="00F914F3" w:rsidRDefault="00F914F3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B6C5E0" w14:textId="0DCD2BBA" w:rsidR="00734398" w:rsidRDefault="00F914F3" w:rsidP="00F43AD5">
    <w:pPr>
      <w:pStyle w:val="Header"/>
      <w:jc w:val="right"/>
    </w:pPr>
    <w:r>
      <w:rPr>
        <w:noProof/>
        <w:lang w:eastAsia="en-AU"/>
      </w:rPr>
      <w:drawing>
        <wp:inline distT="0" distB="0" distL="0" distR="0" wp14:anchorId="6BAC9B08" wp14:editId="57C4682F">
          <wp:extent cx="2938272" cy="594360"/>
          <wp:effectExtent l="0" t="0" r="0" b="0"/>
          <wp:docPr id="1" name="Picture 1" descr="Safe Work Australia logo" title="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WA_logo_inline Hi-re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272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A77EC9" w14:textId="1CD25CCF" w:rsidR="00F914F3" w:rsidRDefault="00F914F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546C2D"/>
    <w:multiLevelType w:val="hybridMultilevel"/>
    <w:tmpl w:val="A5264BC6"/>
    <w:lvl w:ilvl="0" w:tplc="CEBED07C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631774"/>
    <w:multiLevelType w:val="hybridMultilevel"/>
    <w:tmpl w:val="D7CE93B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FC1B30"/>
    <w:multiLevelType w:val="hybridMultilevel"/>
    <w:tmpl w:val="F85C86E2"/>
    <w:lvl w:ilvl="0" w:tplc="48B6F866">
      <w:start w:val="2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E711093"/>
    <w:multiLevelType w:val="hybridMultilevel"/>
    <w:tmpl w:val="2D904DB0"/>
    <w:lvl w:ilvl="0" w:tplc="4D622CDA">
      <w:start w:val="2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7676981">
    <w:abstractNumId w:val="3"/>
  </w:num>
  <w:num w:numId="2" w16cid:durableId="855119482">
    <w:abstractNumId w:val="2"/>
  </w:num>
  <w:num w:numId="3" w16cid:durableId="1356158091">
    <w:abstractNumId w:val="1"/>
  </w:num>
  <w:num w:numId="4" w16cid:durableId="4505121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20"/>
  <w:characterSpacingControl w:val="doNotCompress"/>
  <w:hdrShapeDefaults>
    <o:shapedefaults v:ext="edit" spidmax="61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3A22"/>
    <w:rsid w:val="00014666"/>
    <w:rsid w:val="00014C3F"/>
    <w:rsid w:val="00017C82"/>
    <w:rsid w:val="00032B88"/>
    <w:rsid w:val="00036C44"/>
    <w:rsid w:val="00044F1F"/>
    <w:rsid w:val="00046DF5"/>
    <w:rsid w:val="00052060"/>
    <w:rsid w:val="0005574A"/>
    <w:rsid w:val="00055FE1"/>
    <w:rsid w:val="00056EC2"/>
    <w:rsid w:val="00060B48"/>
    <w:rsid w:val="00067F32"/>
    <w:rsid w:val="00071807"/>
    <w:rsid w:val="000803E1"/>
    <w:rsid w:val="00084513"/>
    <w:rsid w:val="00084859"/>
    <w:rsid w:val="00092D94"/>
    <w:rsid w:val="000A672C"/>
    <w:rsid w:val="000B0868"/>
    <w:rsid w:val="000B3E12"/>
    <w:rsid w:val="000B3E78"/>
    <w:rsid w:val="000B7B48"/>
    <w:rsid w:val="000C096D"/>
    <w:rsid w:val="000C139A"/>
    <w:rsid w:val="000C2053"/>
    <w:rsid w:val="000C248C"/>
    <w:rsid w:val="000D291C"/>
    <w:rsid w:val="000E5A54"/>
    <w:rsid w:val="000E63D3"/>
    <w:rsid w:val="000E67CF"/>
    <w:rsid w:val="001018CD"/>
    <w:rsid w:val="0010461E"/>
    <w:rsid w:val="00106FAA"/>
    <w:rsid w:val="00113443"/>
    <w:rsid w:val="001269A7"/>
    <w:rsid w:val="00131092"/>
    <w:rsid w:val="00135236"/>
    <w:rsid w:val="00136B8B"/>
    <w:rsid w:val="00140E6A"/>
    <w:rsid w:val="00142E57"/>
    <w:rsid w:val="00146545"/>
    <w:rsid w:val="00146B75"/>
    <w:rsid w:val="00147988"/>
    <w:rsid w:val="0015266D"/>
    <w:rsid w:val="0015288A"/>
    <w:rsid w:val="00160F47"/>
    <w:rsid w:val="00177CA1"/>
    <w:rsid w:val="0018088B"/>
    <w:rsid w:val="00183823"/>
    <w:rsid w:val="00183942"/>
    <w:rsid w:val="001A009E"/>
    <w:rsid w:val="001A1287"/>
    <w:rsid w:val="001A3859"/>
    <w:rsid w:val="001A3C9D"/>
    <w:rsid w:val="001A43F8"/>
    <w:rsid w:val="001B79E5"/>
    <w:rsid w:val="001B7DAF"/>
    <w:rsid w:val="001D56F0"/>
    <w:rsid w:val="001D663B"/>
    <w:rsid w:val="001D7B41"/>
    <w:rsid w:val="001E46DA"/>
    <w:rsid w:val="001E7D80"/>
    <w:rsid w:val="001F0D24"/>
    <w:rsid w:val="001F4B6C"/>
    <w:rsid w:val="001F62CB"/>
    <w:rsid w:val="001F6ED0"/>
    <w:rsid w:val="001F72E6"/>
    <w:rsid w:val="001F73C5"/>
    <w:rsid w:val="002046A6"/>
    <w:rsid w:val="00204956"/>
    <w:rsid w:val="00205EFC"/>
    <w:rsid w:val="00213640"/>
    <w:rsid w:val="00221547"/>
    <w:rsid w:val="002216FC"/>
    <w:rsid w:val="00222533"/>
    <w:rsid w:val="00222F30"/>
    <w:rsid w:val="00224EE2"/>
    <w:rsid w:val="00227EC7"/>
    <w:rsid w:val="00244375"/>
    <w:rsid w:val="00244AD1"/>
    <w:rsid w:val="002463BC"/>
    <w:rsid w:val="002465CE"/>
    <w:rsid w:val="002513EF"/>
    <w:rsid w:val="0025734A"/>
    <w:rsid w:val="00263255"/>
    <w:rsid w:val="00276494"/>
    <w:rsid w:val="00277B0C"/>
    <w:rsid w:val="002873A0"/>
    <w:rsid w:val="002B1A2C"/>
    <w:rsid w:val="002C34F2"/>
    <w:rsid w:val="002C58FF"/>
    <w:rsid w:val="002C7AFE"/>
    <w:rsid w:val="002D05D2"/>
    <w:rsid w:val="002E0D61"/>
    <w:rsid w:val="002E4C7B"/>
    <w:rsid w:val="002F67AB"/>
    <w:rsid w:val="002F7E2C"/>
    <w:rsid w:val="0030740C"/>
    <w:rsid w:val="00315833"/>
    <w:rsid w:val="003215EE"/>
    <w:rsid w:val="003224BF"/>
    <w:rsid w:val="003241A8"/>
    <w:rsid w:val="003253F0"/>
    <w:rsid w:val="00330BF9"/>
    <w:rsid w:val="00332DB9"/>
    <w:rsid w:val="003337DA"/>
    <w:rsid w:val="00334EFB"/>
    <w:rsid w:val="00335CDE"/>
    <w:rsid w:val="003365A5"/>
    <w:rsid w:val="00347192"/>
    <w:rsid w:val="0034744C"/>
    <w:rsid w:val="00351FE0"/>
    <w:rsid w:val="00352615"/>
    <w:rsid w:val="0035412B"/>
    <w:rsid w:val="003567A8"/>
    <w:rsid w:val="003610C2"/>
    <w:rsid w:val="00362895"/>
    <w:rsid w:val="00362C4A"/>
    <w:rsid w:val="00365B94"/>
    <w:rsid w:val="00370DBF"/>
    <w:rsid w:val="00386093"/>
    <w:rsid w:val="003904A4"/>
    <w:rsid w:val="00391841"/>
    <w:rsid w:val="00391B6D"/>
    <w:rsid w:val="00394922"/>
    <w:rsid w:val="003A0E32"/>
    <w:rsid w:val="003A2B94"/>
    <w:rsid w:val="003B387D"/>
    <w:rsid w:val="003C0D58"/>
    <w:rsid w:val="003D4FA3"/>
    <w:rsid w:val="003E0807"/>
    <w:rsid w:val="003E51FB"/>
    <w:rsid w:val="003E6B39"/>
    <w:rsid w:val="003F07E1"/>
    <w:rsid w:val="004030BC"/>
    <w:rsid w:val="00403F7D"/>
    <w:rsid w:val="00406785"/>
    <w:rsid w:val="004079B4"/>
    <w:rsid w:val="00417A56"/>
    <w:rsid w:val="00420957"/>
    <w:rsid w:val="00422A10"/>
    <w:rsid w:val="00430179"/>
    <w:rsid w:val="004414B5"/>
    <w:rsid w:val="00444482"/>
    <w:rsid w:val="00444B42"/>
    <w:rsid w:val="00445E44"/>
    <w:rsid w:val="004509E2"/>
    <w:rsid w:val="004515EE"/>
    <w:rsid w:val="004529F0"/>
    <w:rsid w:val="00460A03"/>
    <w:rsid w:val="00472A11"/>
    <w:rsid w:val="00472AAD"/>
    <w:rsid w:val="00474E33"/>
    <w:rsid w:val="00476803"/>
    <w:rsid w:val="00485BFD"/>
    <w:rsid w:val="004867A2"/>
    <w:rsid w:val="004873F2"/>
    <w:rsid w:val="00490D4C"/>
    <w:rsid w:val="00493A35"/>
    <w:rsid w:val="0049527A"/>
    <w:rsid w:val="004966BF"/>
    <w:rsid w:val="00497984"/>
    <w:rsid w:val="004A5088"/>
    <w:rsid w:val="004C1E3F"/>
    <w:rsid w:val="004C23F4"/>
    <w:rsid w:val="004C3475"/>
    <w:rsid w:val="004C5807"/>
    <w:rsid w:val="004C58B6"/>
    <w:rsid w:val="004D16A3"/>
    <w:rsid w:val="004D4AA1"/>
    <w:rsid w:val="004D6D68"/>
    <w:rsid w:val="004E5EDD"/>
    <w:rsid w:val="004E772D"/>
    <w:rsid w:val="004F448A"/>
    <w:rsid w:val="004F493D"/>
    <w:rsid w:val="004F65E8"/>
    <w:rsid w:val="0050005E"/>
    <w:rsid w:val="00502B88"/>
    <w:rsid w:val="005142C4"/>
    <w:rsid w:val="00514743"/>
    <w:rsid w:val="0051509C"/>
    <w:rsid w:val="005272E2"/>
    <w:rsid w:val="0053108F"/>
    <w:rsid w:val="00532B56"/>
    <w:rsid w:val="00534B10"/>
    <w:rsid w:val="005446A2"/>
    <w:rsid w:val="00544D2F"/>
    <w:rsid w:val="00546502"/>
    <w:rsid w:val="00551BD8"/>
    <w:rsid w:val="00574C35"/>
    <w:rsid w:val="00581055"/>
    <w:rsid w:val="00585412"/>
    <w:rsid w:val="00591E38"/>
    <w:rsid w:val="005954CC"/>
    <w:rsid w:val="00595C7B"/>
    <w:rsid w:val="005A19C5"/>
    <w:rsid w:val="005A3034"/>
    <w:rsid w:val="005A462D"/>
    <w:rsid w:val="005B253B"/>
    <w:rsid w:val="005B771D"/>
    <w:rsid w:val="005C5D16"/>
    <w:rsid w:val="005D05EC"/>
    <w:rsid w:val="005D3193"/>
    <w:rsid w:val="005D4A6E"/>
    <w:rsid w:val="005E6979"/>
    <w:rsid w:val="005E75CB"/>
    <w:rsid w:val="006013C1"/>
    <w:rsid w:val="0060669E"/>
    <w:rsid w:val="00610F2E"/>
    <w:rsid w:val="00611399"/>
    <w:rsid w:val="00615917"/>
    <w:rsid w:val="00624C4E"/>
    <w:rsid w:val="00625200"/>
    <w:rsid w:val="006363A8"/>
    <w:rsid w:val="00636DB7"/>
    <w:rsid w:val="00643911"/>
    <w:rsid w:val="00650905"/>
    <w:rsid w:val="0065301A"/>
    <w:rsid w:val="006532ED"/>
    <w:rsid w:val="006549F2"/>
    <w:rsid w:val="006567B7"/>
    <w:rsid w:val="0065713B"/>
    <w:rsid w:val="00657BFB"/>
    <w:rsid w:val="0066333C"/>
    <w:rsid w:val="006639B4"/>
    <w:rsid w:val="006650FE"/>
    <w:rsid w:val="0067305D"/>
    <w:rsid w:val="00677D9B"/>
    <w:rsid w:val="00681380"/>
    <w:rsid w:val="006867F3"/>
    <w:rsid w:val="00687890"/>
    <w:rsid w:val="006901A2"/>
    <w:rsid w:val="00690368"/>
    <w:rsid w:val="0069079C"/>
    <w:rsid w:val="00690B53"/>
    <w:rsid w:val="00695B72"/>
    <w:rsid w:val="006B160A"/>
    <w:rsid w:val="006B4E6C"/>
    <w:rsid w:val="006B50B6"/>
    <w:rsid w:val="006B67A6"/>
    <w:rsid w:val="006D79EA"/>
    <w:rsid w:val="006E5D05"/>
    <w:rsid w:val="006F1B03"/>
    <w:rsid w:val="00701053"/>
    <w:rsid w:val="00701507"/>
    <w:rsid w:val="00704A8A"/>
    <w:rsid w:val="00712D2A"/>
    <w:rsid w:val="007139B1"/>
    <w:rsid w:val="00714021"/>
    <w:rsid w:val="00716A0F"/>
    <w:rsid w:val="00717D45"/>
    <w:rsid w:val="007208F7"/>
    <w:rsid w:val="007218AF"/>
    <w:rsid w:val="00734398"/>
    <w:rsid w:val="007365D1"/>
    <w:rsid w:val="00740E0E"/>
    <w:rsid w:val="00750212"/>
    <w:rsid w:val="00754779"/>
    <w:rsid w:val="0075716D"/>
    <w:rsid w:val="00765F14"/>
    <w:rsid w:val="00770E31"/>
    <w:rsid w:val="007770F1"/>
    <w:rsid w:val="00783FB1"/>
    <w:rsid w:val="00785CDD"/>
    <w:rsid w:val="00791847"/>
    <w:rsid w:val="007925F0"/>
    <w:rsid w:val="007939B3"/>
    <w:rsid w:val="0079509C"/>
    <w:rsid w:val="00796708"/>
    <w:rsid w:val="007A272D"/>
    <w:rsid w:val="007A5E30"/>
    <w:rsid w:val="007A7518"/>
    <w:rsid w:val="007B1B42"/>
    <w:rsid w:val="007C30EB"/>
    <w:rsid w:val="007E063C"/>
    <w:rsid w:val="007E2A4B"/>
    <w:rsid w:val="007E307D"/>
    <w:rsid w:val="007E6A4E"/>
    <w:rsid w:val="007E6C94"/>
    <w:rsid w:val="007F1005"/>
    <w:rsid w:val="007F25E0"/>
    <w:rsid w:val="007F5328"/>
    <w:rsid w:val="00804F5A"/>
    <w:rsid w:val="00810C6D"/>
    <w:rsid w:val="00810DF1"/>
    <w:rsid w:val="00812887"/>
    <w:rsid w:val="00826F21"/>
    <w:rsid w:val="00834CC8"/>
    <w:rsid w:val="00835E00"/>
    <w:rsid w:val="00837113"/>
    <w:rsid w:val="008414E4"/>
    <w:rsid w:val="00843E21"/>
    <w:rsid w:val="0084508E"/>
    <w:rsid w:val="00857A8A"/>
    <w:rsid w:val="008630EE"/>
    <w:rsid w:val="00864D13"/>
    <w:rsid w:val="00871CD5"/>
    <w:rsid w:val="008745A2"/>
    <w:rsid w:val="008768A8"/>
    <w:rsid w:val="0088798F"/>
    <w:rsid w:val="00887E4B"/>
    <w:rsid w:val="008915C8"/>
    <w:rsid w:val="008A36CF"/>
    <w:rsid w:val="008A3BC4"/>
    <w:rsid w:val="008B403C"/>
    <w:rsid w:val="008B7983"/>
    <w:rsid w:val="008C2511"/>
    <w:rsid w:val="008D026D"/>
    <w:rsid w:val="008D23AB"/>
    <w:rsid w:val="008D4B8B"/>
    <w:rsid w:val="008D5A78"/>
    <w:rsid w:val="008E7B64"/>
    <w:rsid w:val="008F5DCD"/>
    <w:rsid w:val="00900951"/>
    <w:rsid w:val="009118A6"/>
    <w:rsid w:val="00916909"/>
    <w:rsid w:val="00916EC0"/>
    <w:rsid w:val="00920467"/>
    <w:rsid w:val="00921D54"/>
    <w:rsid w:val="00921DE7"/>
    <w:rsid w:val="0093041A"/>
    <w:rsid w:val="00930714"/>
    <w:rsid w:val="00931B03"/>
    <w:rsid w:val="009323B9"/>
    <w:rsid w:val="00932DCE"/>
    <w:rsid w:val="0093327E"/>
    <w:rsid w:val="00934028"/>
    <w:rsid w:val="0093760E"/>
    <w:rsid w:val="00946044"/>
    <w:rsid w:val="0094660B"/>
    <w:rsid w:val="00946A33"/>
    <w:rsid w:val="00950502"/>
    <w:rsid w:val="0095260E"/>
    <w:rsid w:val="009578DD"/>
    <w:rsid w:val="00961124"/>
    <w:rsid w:val="009621B6"/>
    <w:rsid w:val="00974F2D"/>
    <w:rsid w:val="00977524"/>
    <w:rsid w:val="00977E88"/>
    <w:rsid w:val="00984920"/>
    <w:rsid w:val="0099303A"/>
    <w:rsid w:val="009971C2"/>
    <w:rsid w:val="009A1254"/>
    <w:rsid w:val="009B2FF2"/>
    <w:rsid w:val="009B380C"/>
    <w:rsid w:val="009B4843"/>
    <w:rsid w:val="009B5D45"/>
    <w:rsid w:val="009B6543"/>
    <w:rsid w:val="009C199D"/>
    <w:rsid w:val="009C278F"/>
    <w:rsid w:val="009C2B94"/>
    <w:rsid w:val="009C3E72"/>
    <w:rsid w:val="009C5874"/>
    <w:rsid w:val="009D3B5A"/>
    <w:rsid w:val="009E0C05"/>
    <w:rsid w:val="009E0D1C"/>
    <w:rsid w:val="009E2214"/>
    <w:rsid w:val="009E355A"/>
    <w:rsid w:val="009E63E2"/>
    <w:rsid w:val="009F04D2"/>
    <w:rsid w:val="009F05CF"/>
    <w:rsid w:val="009F0F3A"/>
    <w:rsid w:val="00A01D0C"/>
    <w:rsid w:val="00A0643F"/>
    <w:rsid w:val="00A067EE"/>
    <w:rsid w:val="00A10FCE"/>
    <w:rsid w:val="00A16D91"/>
    <w:rsid w:val="00A174CC"/>
    <w:rsid w:val="00A2073D"/>
    <w:rsid w:val="00A20751"/>
    <w:rsid w:val="00A27E2D"/>
    <w:rsid w:val="00A31D99"/>
    <w:rsid w:val="00A357BA"/>
    <w:rsid w:val="00A35ADC"/>
    <w:rsid w:val="00A402A3"/>
    <w:rsid w:val="00A443BD"/>
    <w:rsid w:val="00A53681"/>
    <w:rsid w:val="00A633D4"/>
    <w:rsid w:val="00A6461A"/>
    <w:rsid w:val="00A66D62"/>
    <w:rsid w:val="00A83AD1"/>
    <w:rsid w:val="00A84504"/>
    <w:rsid w:val="00A8672F"/>
    <w:rsid w:val="00A93057"/>
    <w:rsid w:val="00A968B0"/>
    <w:rsid w:val="00AB1041"/>
    <w:rsid w:val="00AB2672"/>
    <w:rsid w:val="00AB2817"/>
    <w:rsid w:val="00AB43C4"/>
    <w:rsid w:val="00AB6CB9"/>
    <w:rsid w:val="00AC32E7"/>
    <w:rsid w:val="00AC3A9F"/>
    <w:rsid w:val="00AC6D2F"/>
    <w:rsid w:val="00AE2674"/>
    <w:rsid w:val="00AE2745"/>
    <w:rsid w:val="00AE2F64"/>
    <w:rsid w:val="00AF42CB"/>
    <w:rsid w:val="00AF483F"/>
    <w:rsid w:val="00AF5E07"/>
    <w:rsid w:val="00AF5F06"/>
    <w:rsid w:val="00B00A25"/>
    <w:rsid w:val="00B00C3B"/>
    <w:rsid w:val="00B1422A"/>
    <w:rsid w:val="00B1765C"/>
    <w:rsid w:val="00B213C4"/>
    <w:rsid w:val="00B329BF"/>
    <w:rsid w:val="00B40C60"/>
    <w:rsid w:val="00B479A9"/>
    <w:rsid w:val="00B52EDF"/>
    <w:rsid w:val="00B71188"/>
    <w:rsid w:val="00B76A41"/>
    <w:rsid w:val="00B87D4C"/>
    <w:rsid w:val="00B93646"/>
    <w:rsid w:val="00B9366E"/>
    <w:rsid w:val="00BA0B38"/>
    <w:rsid w:val="00BA1DBB"/>
    <w:rsid w:val="00BA4510"/>
    <w:rsid w:val="00BA529A"/>
    <w:rsid w:val="00BB612A"/>
    <w:rsid w:val="00BB7493"/>
    <w:rsid w:val="00BD499F"/>
    <w:rsid w:val="00BD56DE"/>
    <w:rsid w:val="00BF2406"/>
    <w:rsid w:val="00C06E43"/>
    <w:rsid w:val="00C12E80"/>
    <w:rsid w:val="00C16315"/>
    <w:rsid w:val="00C17550"/>
    <w:rsid w:val="00C3091E"/>
    <w:rsid w:val="00C40FF1"/>
    <w:rsid w:val="00C419E2"/>
    <w:rsid w:val="00C5020E"/>
    <w:rsid w:val="00C52D08"/>
    <w:rsid w:val="00C57452"/>
    <w:rsid w:val="00C61EDF"/>
    <w:rsid w:val="00C6239D"/>
    <w:rsid w:val="00C6594B"/>
    <w:rsid w:val="00C67FFB"/>
    <w:rsid w:val="00C7155E"/>
    <w:rsid w:val="00C71D1E"/>
    <w:rsid w:val="00C71D7D"/>
    <w:rsid w:val="00C74833"/>
    <w:rsid w:val="00C850A0"/>
    <w:rsid w:val="00C85A86"/>
    <w:rsid w:val="00C978F0"/>
    <w:rsid w:val="00CA58FE"/>
    <w:rsid w:val="00CB1CB1"/>
    <w:rsid w:val="00CB6BC1"/>
    <w:rsid w:val="00CB6CB8"/>
    <w:rsid w:val="00CC1A68"/>
    <w:rsid w:val="00CC2123"/>
    <w:rsid w:val="00CC5F84"/>
    <w:rsid w:val="00CD04DB"/>
    <w:rsid w:val="00CD2BFD"/>
    <w:rsid w:val="00CE5AD6"/>
    <w:rsid w:val="00CE617F"/>
    <w:rsid w:val="00CE78EF"/>
    <w:rsid w:val="00D03300"/>
    <w:rsid w:val="00D048F7"/>
    <w:rsid w:val="00D0517E"/>
    <w:rsid w:val="00D140FC"/>
    <w:rsid w:val="00D21D8C"/>
    <w:rsid w:val="00D31357"/>
    <w:rsid w:val="00D33220"/>
    <w:rsid w:val="00D334D1"/>
    <w:rsid w:val="00D44C89"/>
    <w:rsid w:val="00D516CD"/>
    <w:rsid w:val="00D51716"/>
    <w:rsid w:val="00D668E6"/>
    <w:rsid w:val="00D70670"/>
    <w:rsid w:val="00D74D80"/>
    <w:rsid w:val="00D76624"/>
    <w:rsid w:val="00D87570"/>
    <w:rsid w:val="00D91CB9"/>
    <w:rsid w:val="00D97989"/>
    <w:rsid w:val="00D97D8D"/>
    <w:rsid w:val="00DA352E"/>
    <w:rsid w:val="00DA4B10"/>
    <w:rsid w:val="00DB39F0"/>
    <w:rsid w:val="00DC7694"/>
    <w:rsid w:val="00DD1BF6"/>
    <w:rsid w:val="00DD2F9B"/>
    <w:rsid w:val="00DE2513"/>
    <w:rsid w:val="00DE26E8"/>
    <w:rsid w:val="00DF6F36"/>
    <w:rsid w:val="00E0084C"/>
    <w:rsid w:val="00E025AB"/>
    <w:rsid w:val="00E02B23"/>
    <w:rsid w:val="00E06F40"/>
    <w:rsid w:val="00E07CE8"/>
    <w:rsid w:val="00E17EFE"/>
    <w:rsid w:val="00E2295C"/>
    <w:rsid w:val="00E26A07"/>
    <w:rsid w:val="00E31FAE"/>
    <w:rsid w:val="00E32595"/>
    <w:rsid w:val="00E37CFD"/>
    <w:rsid w:val="00E41A26"/>
    <w:rsid w:val="00E46BCB"/>
    <w:rsid w:val="00E51CAF"/>
    <w:rsid w:val="00E60F04"/>
    <w:rsid w:val="00E62AAC"/>
    <w:rsid w:val="00E67C2F"/>
    <w:rsid w:val="00E67EF5"/>
    <w:rsid w:val="00E804EA"/>
    <w:rsid w:val="00E80A71"/>
    <w:rsid w:val="00E82337"/>
    <w:rsid w:val="00E92499"/>
    <w:rsid w:val="00E949AF"/>
    <w:rsid w:val="00E96077"/>
    <w:rsid w:val="00EA0A06"/>
    <w:rsid w:val="00EA6243"/>
    <w:rsid w:val="00EA74AB"/>
    <w:rsid w:val="00EB3D1B"/>
    <w:rsid w:val="00EB6422"/>
    <w:rsid w:val="00EC10D4"/>
    <w:rsid w:val="00ED1D89"/>
    <w:rsid w:val="00ED66BC"/>
    <w:rsid w:val="00EE6BF8"/>
    <w:rsid w:val="00EF233A"/>
    <w:rsid w:val="00EF303E"/>
    <w:rsid w:val="00EF3A40"/>
    <w:rsid w:val="00EF7F78"/>
    <w:rsid w:val="00F01B08"/>
    <w:rsid w:val="00F01C4D"/>
    <w:rsid w:val="00F053FA"/>
    <w:rsid w:val="00F059DE"/>
    <w:rsid w:val="00F10C97"/>
    <w:rsid w:val="00F11C71"/>
    <w:rsid w:val="00F1350F"/>
    <w:rsid w:val="00F13AD6"/>
    <w:rsid w:val="00F16019"/>
    <w:rsid w:val="00F20E68"/>
    <w:rsid w:val="00F22093"/>
    <w:rsid w:val="00F236DF"/>
    <w:rsid w:val="00F43AD5"/>
    <w:rsid w:val="00F4402E"/>
    <w:rsid w:val="00F56599"/>
    <w:rsid w:val="00F56DD0"/>
    <w:rsid w:val="00F6491C"/>
    <w:rsid w:val="00F66B06"/>
    <w:rsid w:val="00F67BBB"/>
    <w:rsid w:val="00F7406A"/>
    <w:rsid w:val="00F87D92"/>
    <w:rsid w:val="00F90AA7"/>
    <w:rsid w:val="00F914F3"/>
    <w:rsid w:val="00F92498"/>
    <w:rsid w:val="00F9459E"/>
    <w:rsid w:val="00F9496B"/>
    <w:rsid w:val="00F970C9"/>
    <w:rsid w:val="00FA06A8"/>
    <w:rsid w:val="00FA29C7"/>
    <w:rsid w:val="00FA3DF5"/>
    <w:rsid w:val="00FA741F"/>
    <w:rsid w:val="00FB4E07"/>
    <w:rsid w:val="00FB755A"/>
    <w:rsid w:val="00FC1812"/>
    <w:rsid w:val="00FC60A2"/>
    <w:rsid w:val="00FD1871"/>
    <w:rsid w:val="00FD3110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51"/>
    <o:shapelayout v:ext="edit">
      <o:idmap v:ext="edit" data="1"/>
    </o:shapelayout>
  </w:shapeDefaults>
  <w:decimalSymbol w:val="."/>
  <w:listSeparator w:val=","/>
  <w14:docId w14:val="090CACB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table" w:styleId="LightShading-Accent2">
    <w:name w:val="Light Shading Accent 2"/>
    <w:aliases w:val="SWA Table Style"/>
    <w:basedOn w:val="TableNormal"/>
    <w:uiPriority w:val="60"/>
    <w:rsid w:val="00704A8A"/>
    <w:pPr>
      <w:spacing w:before="120" w:after="120" w:line="240" w:lineRule="auto"/>
    </w:pPr>
    <w:rPr>
      <w:sz w:val="22"/>
    </w:rPr>
    <w:tblPr>
      <w:tblStyleRowBandSize w:val="1"/>
      <w:tblStyleColBandSize w:val="1"/>
      <w:tblBorders>
        <w:top w:val="dotted" w:sz="4" w:space="0" w:color="FFFFFF" w:themeColor="background1"/>
        <w:left w:val="dotted" w:sz="4" w:space="0" w:color="FFFFFF" w:themeColor="background1"/>
        <w:bottom w:val="dotted" w:sz="4" w:space="0" w:color="FFFFFF" w:themeColor="background1"/>
        <w:right w:val="dotted" w:sz="4" w:space="0" w:color="FFFFFF" w:themeColor="background1"/>
        <w:insideH w:val="dotted" w:sz="4" w:space="0" w:color="FFFFFF" w:themeColor="background1"/>
        <w:insideV w:val="dotted" w:sz="4" w:space="0" w:color="FFFFFF" w:themeColor="background1"/>
      </w:tblBorders>
    </w:tblPr>
    <w:tcPr>
      <w:shd w:val="clear" w:color="auto" w:fill="FFFFFF" w:themeFill="background1"/>
    </w:tcPr>
    <w:tblStylePr w:type="firstRow">
      <w:pPr>
        <w:wordWrap/>
        <w:spacing w:beforeLines="0" w:before="120" w:beforeAutospacing="0" w:afterLines="0" w:after="120" w:afterAutospacing="0" w:line="240" w:lineRule="auto"/>
      </w:pPr>
      <w:rPr>
        <w:rFonts w:ascii="Arial" w:hAnsi="Arial"/>
        <w:b/>
        <w:bCs/>
        <w:color w:val="FFFFFF" w:themeColor="background1"/>
        <w:sz w:val="22"/>
      </w:rPr>
      <w:tblPr/>
      <w:tcPr>
        <w:shd w:val="clear" w:color="auto" w:fill="AF1E2D"/>
      </w:tcPr>
    </w:tblStylePr>
    <w:tblStylePr w:type="lastRow">
      <w:pPr>
        <w:wordWrap/>
        <w:spacing w:beforeLines="0" w:before="120" w:beforeAutospacing="0" w:afterLines="0" w:after="120" w:afterAutospacing="0" w:line="240" w:lineRule="auto"/>
      </w:pPr>
      <w:rPr>
        <w:rFonts w:ascii="Arial Bold" w:hAnsi="Arial Bold"/>
        <w:b/>
        <w:bCs/>
        <w:color w:val="F8F8F8"/>
        <w:sz w:val="20"/>
      </w:rPr>
      <w:tblPr/>
      <w:tcPr>
        <w:shd w:val="clear" w:color="auto" w:fill="808080" w:themeFill="background1" w:themeFillShade="80"/>
      </w:tcPr>
    </w:tblStylePr>
    <w:tblStylePr w:type="firstCol">
      <w:rPr>
        <w:rFonts w:ascii="Arial" w:hAnsi="Arial"/>
        <w:b/>
        <w:bCs/>
        <w:sz w:val="20"/>
      </w:rPr>
    </w:tblStylePr>
    <w:tblStylePr w:type="lastCol">
      <w:rPr>
        <w:rFonts w:ascii="Arial" w:hAnsi="Arial"/>
        <w:b/>
        <w:bCs/>
        <w:sz w:val="20"/>
      </w:rPr>
      <w:tblPr/>
      <w:tcPr>
        <w:shd w:val="clear" w:color="auto" w:fill="D9D9D9" w:themeFill="background1" w:themeFillShade="D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</w:tcPr>
    </w:tblStylePr>
  </w:style>
  <w:style w:type="paragraph" w:styleId="Revision">
    <w:name w:val="Revision"/>
    <w:hidden/>
    <w:uiPriority w:val="99"/>
    <w:semiHidden/>
    <w:rsid w:val="00136B8B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5D05E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D05EC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D05EC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D05E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D05EC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14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2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yperlink" Target="http://www.acgih.org/tlv-bei-guidelines/policies-procedures-presentations" TargetMode="Externa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eader" Target="header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32968BF93744FAABC5FC124DBE04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3D2459-1556-46A4-AC27-2E79E2305DAC}"/>
      </w:docPartPr>
      <w:docPartBody>
        <w:p w:rsidR="00D21A9F" w:rsidRDefault="00D21A9F">
          <w:pPr>
            <w:pStyle w:val="EA32968BF93744FAABC5FC124DBE04BD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320A77D155374054996F168A20882C2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DC0181-19B2-490D-83F0-D85D1689E2A9}"/>
      </w:docPartPr>
      <w:docPartBody>
        <w:p w:rsidR="00D21A9F" w:rsidRDefault="00D21A9F">
          <w:pPr>
            <w:pStyle w:val="320A77D155374054996F168A20882C28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EA51C8540A4D4F0A9062F5B1698DCB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1D35A6-51B4-4D9C-B1D2-B881B06F755D}"/>
      </w:docPartPr>
      <w:docPartBody>
        <w:p w:rsidR="00D21A9F" w:rsidRDefault="00D21A9F">
          <w:pPr>
            <w:pStyle w:val="EA51C8540A4D4F0A9062F5B1698DCBB0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CAD2D506A5824AB88D896BC2795BCE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9D28C-1B09-4DD0-B83A-09A1AFF622AA}"/>
      </w:docPartPr>
      <w:docPartBody>
        <w:p w:rsidR="00D21A9F" w:rsidRDefault="00D21A9F">
          <w:pPr>
            <w:pStyle w:val="CAD2D506A5824AB88D896BC2795BCEDE"/>
          </w:pPr>
          <w:r w:rsidRPr="001D56F0">
            <w:rPr>
              <w:rStyle w:val="PlaceholderText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E322769F3F354FCDAAA41A7F8D4EFC2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F723B3D-A8D6-4DCB-B11D-F90211BA4D91}"/>
      </w:docPartPr>
      <w:docPartBody>
        <w:p w:rsidR="002C3CFA" w:rsidRDefault="00D81EFB" w:rsidP="00D81EFB">
          <w:pPr>
            <w:pStyle w:val="E322769F3F354FCDAAA41A7F8D4EFC20"/>
          </w:pPr>
          <w:r>
            <w:rPr>
              <w:rStyle w:val="PlaceholderText"/>
            </w:rPr>
            <w:t>Has this value changed?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0F07A8"/>
    <w:rsid w:val="002B5937"/>
    <w:rsid w:val="002C3CFA"/>
    <w:rsid w:val="005815AF"/>
    <w:rsid w:val="00652DED"/>
    <w:rsid w:val="0065713B"/>
    <w:rsid w:val="00D21A9F"/>
    <w:rsid w:val="00D81EFB"/>
    <w:rsid w:val="00F92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81EFB"/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EA32968BF93744FAABC5FC124DBE04BD">
    <w:name w:val="EA32968BF93744FAABC5FC124DBE04BD"/>
  </w:style>
  <w:style w:type="paragraph" w:customStyle="1" w:styleId="320A77D155374054996F168A20882C28">
    <w:name w:val="320A77D155374054996F168A20882C28"/>
  </w:style>
  <w:style w:type="paragraph" w:customStyle="1" w:styleId="EA51C8540A4D4F0A9062F5B1698DCBB0">
    <w:name w:val="EA51C8540A4D4F0A9062F5B1698DCBB0"/>
  </w:style>
  <w:style w:type="paragraph" w:customStyle="1" w:styleId="0168237C60E6479CAFA3D9A1A8409B78">
    <w:name w:val="0168237C60E6479CAFA3D9A1A8409B78"/>
  </w:style>
  <w:style w:type="paragraph" w:customStyle="1" w:styleId="CAD2D506A5824AB88D896BC2795BCEDE">
    <w:name w:val="CAD2D506A5824AB88D896BC2795BCEDE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E322769F3F354FCDAAA41A7F8D4EFC20">
    <w:name w:val="E322769F3F354FCDAAA41A7F8D4EFC20"/>
    <w:rsid w:val="00D81EF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A530B5A-1235-4C64-9D17-AF6FC8DA115C}"/>
</file>

<file path=customXml/itemProps2.xml><?xml version="1.0" encoding="utf-8"?>
<ds:datastoreItem xmlns:ds="http://schemas.openxmlformats.org/officeDocument/2006/customXml" ds:itemID="{194960E3-A7C3-4AEB-8D4A-20DC9CF2D46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CDB8B2B-B0AC-48F9-85E8-50001A24EBE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17FA3F6-F875-441D-943B-1FAE4D9F55E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1616</Words>
  <Characters>9212</Characters>
  <Application>Microsoft Office Word</Application>
  <DocSecurity>0</DocSecurity>
  <Lines>76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2019-12-17T22:38:00Z</dcterms:created>
  <dcterms:modified xsi:type="dcterms:W3CDTF">2025-12-24T00:08:00Z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2025-12-24T00:08:23Z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638d321e-6888-4a0c-a74f-4d93863f09bf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</Properties>
</file>