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4D8D428" w14:textId="05900EC5" w:rsidR="00BD499F" w:rsidRPr="004C23F4" w:rsidRDefault="0035751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mercury</w:t>
          </w:r>
          <w:r w:rsidR="005B21BE" w:rsidRPr="005B21BE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</w:rPr>
            <w:t xml:space="preserve">and compOUNDs (excluding alKYLS) </w:t>
          </w:r>
          <w:r w:rsidR="005B21BE" w:rsidRPr="005B21BE">
            <w:rPr>
              <w:rFonts w:ascii="Arial" w:hAnsi="Arial" w:cs="Arial"/>
            </w:rPr>
            <w:t>(as hg)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2FB630BF" w14:textId="77777777" w:rsidTr="00B76A41">
        <w:trPr>
          <w:cantSplit/>
          <w:tblHeader/>
        </w:trPr>
        <w:tc>
          <w:tcPr>
            <w:tcW w:w="4077" w:type="dxa"/>
          </w:tcPr>
          <w:p w14:paraId="2D4FBE0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739CE8F" w14:textId="23BB3B5D" w:rsidR="00F43AD5" w:rsidRPr="00717D45" w:rsidRDefault="005B21BE" w:rsidP="00B76A41">
            <w:pPr>
              <w:pStyle w:val="Tablefont"/>
            </w:pPr>
            <w:r w:rsidRPr="005B21BE">
              <w:t>7439-97-6</w:t>
            </w:r>
            <w:r w:rsidR="00357512">
              <w:t xml:space="preserve">  (elemental)</w:t>
            </w:r>
          </w:p>
        </w:tc>
      </w:tr>
      <w:tr w:rsidR="00F43AD5" w:rsidRPr="004C23F4" w14:paraId="53EAE3FF" w14:textId="77777777" w:rsidTr="00B76A41">
        <w:trPr>
          <w:cantSplit/>
        </w:trPr>
        <w:tc>
          <w:tcPr>
            <w:tcW w:w="4077" w:type="dxa"/>
          </w:tcPr>
          <w:p w14:paraId="7B78DF5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71CB8D0" w14:textId="77777777" w:rsidR="00F43AD5" w:rsidRPr="00717D45" w:rsidRDefault="001D51DB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8DC9887" w14:textId="77777777" w:rsidTr="00B76A41">
        <w:trPr>
          <w:cantSplit/>
        </w:trPr>
        <w:tc>
          <w:tcPr>
            <w:tcW w:w="4077" w:type="dxa"/>
          </w:tcPr>
          <w:p w14:paraId="75397EB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9BED420" w14:textId="77777777" w:rsidR="00F43AD5" w:rsidRPr="00717D45" w:rsidRDefault="001D51DB" w:rsidP="00B76A41">
            <w:pPr>
              <w:pStyle w:val="Tablefont"/>
            </w:pPr>
            <w:r>
              <w:t>Hg</w:t>
            </w:r>
          </w:p>
        </w:tc>
      </w:tr>
      <w:tr w:rsidR="00F43AD5" w:rsidRPr="004C23F4" w14:paraId="1E97B52D" w14:textId="77777777" w:rsidTr="00B76A41">
        <w:trPr>
          <w:cantSplit/>
        </w:trPr>
        <w:tc>
          <w:tcPr>
            <w:tcW w:w="4077" w:type="dxa"/>
          </w:tcPr>
          <w:p w14:paraId="71D4692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CD1FB04" w14:textId="77777777" w:rsidR="00F43AD5" w:rsidRPr="00B40C60" w:rsidRDefault="001D51DB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3D0E4867" w14:textId="011C8FD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50877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1CEC4C1F" w14:textId="77777777" w:rsidTr="001D51DB">
        <w:trPr>
          <w:cantSplit/>
          <w:tblHeader/>
        </w:trPr>
        <w:tc>
          <w:tcPr>
            <w:tcW w:w="4010" w:type="dxa"/>
            <w:vAlign w:val="center"/>
          </w:tcPr>
          <w:p w14:paraId="67FC751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51ABA60C" w14:textId="7ABACDA8" w:rsidR="0038542A" w:rsidRDefault="0055087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0.02</w:t>
            </w:r>
            <w:r w:rsidR="00107764">
              <w:rPr>
                <w:b/>
              </w:rPr>
              <w:t>5</w:t>
            </w:r>
            <w:r>
              <w:rPr>
                <w:b/>
              </w:rPr>
              <w:t xml:space="preserve"> mg/m</w:t>
            </w:r>
            <w:r>
              <w:rPr>
                <w:b/>
                <w:vertAlign w:val="superscript"/>
              </w:rPr>
              <w:t>3</w:t>
            </w:r>
            <w:r w:rsidR="00107764">
              <w:rPr>
                <w:b/>
              </w:rPr>
              <w:t xml:space="preserve"> (elemental and inorganic)</w:t>
            </w:r>
          </w:p>
          <w:p w14:paraId="5B245C0D" w14:textId="3379F811" w:rsidR="002C7AFE" w:rsidRPr="00107764" w:rsidRDefault="00107764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 xml:space="preserve">3 </w:t>
            </w:r>
            <w:r w:rsidRPr="0038542A">
              <w:rPr>
                <w:b/>
              </w:rPr>
              <w:t>(aryl compounds)</w:t>
            </w:r>
          </w:p>
        </w:tc>
      </w:tr>
      <w:tr w:rsidR="001D51DB" w:rsidRPr="004C23F4" w14:paraId="2E789B56" w14:textId="77777777" w:rsidTr="001D51DB">
        <w:trPr>
          <w:cantSplit/>
        </w:trPr>
        <w:tc>
          <w:tcPr>
            <w:tcW w:w="4010" w:type="dxa"/>
            <w:vAlign w:val="center"/>
          </w:tcPr>
          <w:p w14:paraId="3030FC3B" w14:textId="77777777" w:rsidR="001D51DB" w:rsidRPr="002C58FF" w:rsidRDefault="001D51DB" w:rsidP="001D51DB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62493B66" w14:textId="77777777" w:rsidR="001D51DB" w:rsidRPr="00EB3D1B" w:rsidRDefault="001D51DB" w:rsidP="001D51DB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D51DB" w:rsidRPr="004C23F4" w14:paraId="0BD176A0" w14:textId="77777777" w:rsidTr="001D51DB">
        <w:trPr>
          <w:cantSplit/>
        </w:trPr>
        <w:tc>
          <w:tcPr>
            <w:tcW w:w="4010" w:type="dxa"/>
            <w:vAlign w:val="center"/>
          </w:tcPr>
          <w:p w14:paraId="63EBFF91" w14:textId="77777777" w:rsidR="001D51DB" w:rsidRPr="002C58FF" w:rsidRDefault="001D51DB" w:rsidP="001D51DB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FB848E5" w14:textId="77777777" w:rsidR="001D51DB" w:rsidRPr="00EB3D1B" w:rsidRDefault="001D51DB" w:rsidP="001D51DB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D51DB" w:rsidRPr="004C23F4" w14:paraId="64DFBF00" w14:textId="77777777" w:rsidTr="001D51DB">
        <w:trPr>
          <w:cantSplit/>
        </w:trPr>
        <w:tc>
          <w:tcPr>
            <w:tcW w:w="4010" w:type="dxa"/>
          </w:tcPr>
          <w:p w14:paraId="7DC08E4B" w14:textId="77777777" w:rsidR="001D51DB" w:rsidRPr="002C58FF" w:rsidRDefault="001D51DB" w:rsidP="001D51DB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F1FDFF6" w14:textId="402C4EFB" w:rsidR="001D51DB" w:rsidRPr="00EB3D1B" w:rsidRDefault="00357512" w:rsidP="001D51DB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1D51DB" w:rsidRPr="004C23F4" w14:paraId="60C853B0" w14:textId="77777777" w:rsidTr="001D51DB">
        <w:trPr>
          <w:cantSplit/>
        </w:trPr>
        <w:tc>
          <w:tcPr>
            <w:tcW w:w="4010" w:type="dxa"/>
            <w:vAlign w:val="center"/>
          </w:tcPr>
          <w:p w14:paraId="76AF4CA5" w14:textId="77777777" w:rsidR="001D51DB" w:rsidRPr="002C58FF" w:rsidRDefault="001D51DB" w:rsidP="001D51DB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3E1C5A7D" w14:textId="1A68EB34" w:rsidR="001D51DB" w:rsidRPr="00A772FB" w:rsidRDefault="00A84D60" w:rsidP="004A15B5">
            <w:pPr>
              <w:pStyle w:val="Tablefont"/>
              <w:rPr>
                <w:highlight w:val="yellow"/>
              </w:rPr>
            </w:pPr>
            <w:r w:rsidRPr="00A84D60">
              <w:rPr>
                <w:b/>
              </w:rPr>
              <w:t>10 mg/m</w:t>
            </w:r>
            <w:r w:rsidRPr="00357512">
              <w:rPr>
                <w:b/>
                <w:vertAlign w:val="superscript"/>
              </w:rPr>
              <w:t>3</w:t>
            </w:r>
            <w:r w:rsidRPr="00A84D60">
              <w:rPr>
                <w:b/>
              </w:rPr>
              <w:t xml:space="preserve"> (</w:t>
            </w:r>
            <w:r w:rsidR="00357512">
              <w:rPr>
                <w:b/>
              </w:rPr>
              <w:t xml:space="preserve">except </w:t>
            </w:r>
            <w:r w:rsidRPr="00A84D60">
              <w:rPr>
                <w:b/>
              </w:rPr>
              <w:t>alkyls</w:t>
            </w:r>
            <w:r w:rsidR="00357512">
              <w:rPr>
                <w:b/>
              </w:rPr>
              <w:t>)</w:t>
            </w:r>
            <w:r w:rsidR="00883977">
              <w:rPr>
                <w:b/>
              </w:rPr>
              <w:t>, (as Hg)</w:t>
            </w:r>
          </w:p>
        </w:tc>
      </w:tr>
      <w:tr w:rsidR="00357512" w:rsidRPr="004C23F4" w14:paraId="0EFCA184" w14:textId="77777777" w:rsidTr="004A52E4">
        <w:trPr>
          <w:cantSplit/>
        </w:trPr>
        <w:tc>
          <w:tcPr>
            <w:tcW w:w="9026" w:type="dxa"/>
            <w:gridSpan w:val="2"/>
            <w:vAlign w:val="center"/>
          </w:tcPr>
          <w:p w14:paraId="1A1767FA" w14:textId="0C87AE02" w:rsidR="00357512" w:rsidRPr="00EB3D1B" w:rsidRDefault="00357512" w:rsidP="001D51DB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CE92B3129BD4F1E9274E550E10F8F9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CCCEF9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D0F7CED" w14:textId="705CE8AA" w:rsidR="006639B4" w:rsidRDefault="00550877" w:rsidP="000C139A">
      <w:pPr>
        <w:rPr>
          <w:rFonts w:cs="Arial"/>
        </w:rPr>
      </w:pPr>
      <w:r>
        <w:rPr>
          <w:rFonts w:cs="Arial"/>
        </w:rPr>
        <w:t>A TWA of 0.02</w:t>
      </w:r>
      <w:r w:rsidR="00107764">
        <w:rPr>
          <w:rFonts w:cs="Arial"/>
        </w:rPr>
        <w:t>5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="00107764">
        <w:rPr>
          <w:rFonts w:cs="Arial"/>
        </w:rPr>
        <w:t>(elemental and inorganic forms) and 0.1 mg/m</w:t>
      </w:r>
      <w:r w:rsidR="00107764">
        <w:rPr>
          <w:rFonts w:cs="Arial"/>
          <w:vertAlign w:val="superscript"/>
        </w:rPr>
        <w:t>3</w:t>
      </w:r>
      <w:r w:rsidR="00107764">
        <w:rPr>
          <w:rFonts w:cs="Arial"/>
        </w:rPr>
        <w:t xml:space="preserve"> (aryl compounds) </w:t>
      </w:r>
      <w:r>
        <w:rPr>
          <w:rFonts w:cs="Arial"/>
        </w:rPr>
        <w:t>is recommended to protect for central nervous system</w:t>
      </w:r>
      <w:r w:rsidR="00357512">
        <w:rPr>
          <w:rFonts w:cs="Arial"/>
        </w:rPr>
        <w:t xml:space="preserve"> (CNS)</w:t>
      </w:r>
      <w:r>
        <w:rPr>
          <w:rFonts w:cs="Arial"/>
        </w:rPr>
        <w:t xml:space="preserve"> and kidney effects in exposed</w:t>
      </w:r>
      <w:r w:rsidR="0086061D">
        <w:rPr>
          <w:rFonts w:cs="Arial"/>
        </w:rPr>
        <w:t xml:space="preserve"> workers and to reduce the risk of developmental effects in the progeny of exposed workers.</w:t>
      </w:r>
    </w:p>
    <w:p w14:paraId="1B24262D" w14:textId="77777777" w:rsidR="00637F7C" w:rsidRDefault="00637F7C" w:rsidP="00637F7C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463867A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9820460" w14:textId="6D43204F" w:rsidR="005B782B" w:rsidRPr="009979D2" w:rsidRDefault="00124023" w:rsidP="006639B4">
      <w:r>
        <w:rPr>
          <w:rFonts w:cs="Arial"/>
        </w:rPr>
        <w:t>Mercury</w:t>
      </w:r>
      <w:r w:rsidR="005B782B">
        <w:rPr>
          <w:rFonts w:cs="Arial"/>
        </w:rPr>
        <w:t xml:space="preserve"> (Hg)</w:t>
      </w:r>
      <w:r>
        <w:rPr>
          <w:rFonts w:cs="Arial"/>
        </w:rPr>
        <w:t xml:space="preserve"> is </w:t>
      </w:r>
      <w:r w:rsidR="00357512">
        <w:rPr>
          <w:rFonts w:cs="Arial"/>
        </w:rPr>
        <w:t>extensive</w:t>
      </w:r>
      <w:r w:rsidR="00883977">
        <w:rPr>
          <w:rFonts w:cs="Arial"/>
        </w:rPr>
        <w:t>ly</w:t>
      </w:r>
      <w:r w:rsidR="00357512">
        <w:rPr>
          <w:rFonts w:cs="Arial"/>
        </w:rPr>
        <w:t xml:space="preserve"> use</w:t>
      </w:r>
      <w:r w:rsidR="00883977">
        <w:rPr>
          <w:rFonts w:cs="Arial"/>
        </w:rPr>
        <w:t>d</w:t>
      </w:r>
      <w:r>
        <w:t xml:space="preserve"> in thermometers, barometers, gauges and valves and </w:t>
      </w:r>
      <w:r w:rsidR="005B782B">
        <w:t xml:space="preserve">is </w:t>
      </w:r>
      <w:r>
        <w:t xml:space="preserve">heavily used in dry cell batteries, lamps, wiring and switching devices and electronic equipment. Mercury is produced as by-product of gold and </w:t>
      </w:r>
      <w:r w:rsidRPr="009979D2">
        <w:t xml:space="preserve">bauxite mining. </w:t>
      </w:r>
    </w:p>
    <w:p w14:paraId="2EE5A090" w14:textId="1BAD3211" w:rsidR="00357B00" w:rsidRDefault="00F67678" w:rsidP="00887D06">
      <w:r w:rsidRPr="009979D2">
        <w:t xml:space="preserve">The critical effects of </w:t>
      </w:r>
      <w:r w:rsidR="005B782B" w:rsidRPr="009979D2">
        <w:t xml:space="preserve">exposure </w:t>
      </w:r>
      <w:r w:rsidRPr="009979D2">
        <w:t xml:space="preserve">include systemic short- and long-term effects </w:t>
      </w:r>
      <w:r w:rsidR="00637F7C">
        <w:t>including</w:t>
      </w:r>
      <w:r w:rsidRPr="009979D2">
        <w:t xml:space="preserve"> </w:t>
      </w:r>
      <w:r w:rsidRPr="009979D2">
        <w:rPr>
          <w:rFonts w:cs="Arial"/>
        </w:rPr>
        <w:t xml:space="preserve">reproductive and developmental toxicity, </w:t>
      </w:r>
      <w:r w:rsidR="00530F00" w:rsidRPr="009979D2">
        <w:rPr>
          <w:rFonts w:cs="Arial"/>
        </w:rPr>
        <w:t xml:space="preserve">hepatotoxicity, </w:t>
      </w:r>
      <w:r w:rsidRPr="009979D2">
        <w:rPr>
          <w:rFonts w:cs="Arial"/>
        </w:rPr>
        <w:t>neurotoxicity and cumulative effects</w:t>
      </w:r>
      <w:r w:rsidR="00530F00" w:rsidRPr="009979D2">
        <w:rPr>
          <w:rFonts w:cs="Arial"/>
        </w:rPr>
        <w:t>.</w:t>
      </w:r>
      <w:r w:rsidR="005B782B" w:rsidRPr="009979D2">
        <w:t xml:space="preserve"> </w:t>
      </w:r>
      <w:r w:rsidR="00FC4610">
        <w:t>N</w:t>
      </w:r>
      <w:r w:rsidR="00FC4610" w:rsidRPr="009979D2">
        <w:t xml:space="preserve">o abnormalities in perceptual, motor, memory or learning abilities </w:t>
      </w:r>
      <w:r w:rsidR="00637F7C">
        <w:t>is</w:t>
      </w:r>
      <w:r w:rsidR="00FC4610" w:rsidRPr="009979D2">
        <w:t xml:space="preserve"> reported in workers exposed at a long-term average concentration of 25 </w:t>
      </w:r>
      <w:r w:rsidR="00FC4610" w:rsidRPr="009979D2">
        <w:rPr>
          <w:rFonts w:cs="Arial"/>
        </w:rPr>
        <w:t>µ</w:t>
      </w:r>
      <w:r w:rsidR="00FC4610" w:rsidRPr="009979D2">
        <w:t>g/m</w:t>
      </w:r>
      <w:r w:rsidR="00FC4610" w:rsidRPr="009979D2">
        <w:rPr>
          <w:vertAlign w:val="superscript"/>
        </w:rPr>
        <w:t>3</w:t>
      </w:r>
      <w:r w:rsidR="00FC4610">
        <w:rPr>
          <w:vertAlign w:val="superscript"/>
        </w:rPr>
        <w:t xml:space="preserve"> </w:t>
      </w:r>
      <w:r w:rsidR="000E3060" w:rsidRPr="009979D2">
        <w:t xml:space="preserve">(ACGIH, </w:t>
      </w:r>
      <w:r w:rsidR="009979D2" w:rsidRPr="009979D2">
        <w:t>2018</w:t>
      </w:r>
      <w:r w:rsidR="000E3060" w:rsidRPr="009979D2">
        <w:t>)</w:t>
      </w:r>
      <w:r w:rsidR="00330261" w:rsidRPr="009979D2">
        <w:t xml:space="preserve">. </w:t>
      </w:r>
      <w:r w:rsidR="00FC4610">
        <w:t>H</w:t>
      </w:r>
      <w:r w:rsidR="00357B00" w:rsidRPr="009979D2">
        <w:t>and tremor</w:t>
      </w:r>
      <w:r w:rsidR="00296F50" w:rsidRPr="009979D2">
        <w:t>s</w:t>
      </w:r>
      <w:r w:rsidR="00357B00" w:rsidRPr="009979D2">
        <w:t xml:space="preserve"> </w:t>
      </w:r>
      <w:r w:rsidR="00E66499" w:rsidRPr="009979D2">
        <w:t xml:space="preserve">in </w:t>
      </w:r>
      <w:r w:rsidR="00330261" w:rsidRPr="009979D2">
        <w:t xml:space="preserve">26 workers exposed </w:t>
      </w:r>
      <w:r w:rsidR="00E66499" w:rsidRPr="009979D2">
        <w:t xml:space="preserve">to </w:t>
      </w:r>
      <w:r w:rsidR="00B5469F" w:rsidRPr="009979D2">
        <w:t xml:space="preserve">an </w:t>
      </w:r>
      <w:r w:rsidR="00330261" w:rsidRPr="009979D2">
        <w:t xml:space="preserve">average </w:t>
      </w:r>
      <w:r w:rsidR="00B5469F" w:rsidRPr="009979D2">
        <w:t xml:space="preserve">of </w:t>
      </w:r>
      <w:r w:rsidR="00637F7C">
        <w:t>26 </w:t>
      </w:r>
      <w:r w:rsidR="00330261" w:rsidRPr="009979D2">
        <w:rPr>
          <w:rFonts w:cs="Arial"/>
        </w:rPr>
        <w:t>µg/m</w:t>
      </w:r>
      <w:r w:rsidR="00330261" w:rsidRPr="009979D2">
        <w:rPr>
          <w:rFonts w:cs="Arial"/>
          <w:vertAlign w:val="superscript"/>
        </w:rPr>
        <w:t>3</w:t>
      </w:r>
      <w:r w:rsidR="00330261" w:rsidRPr="009979D2">
        <w:rPr>
          <w:rFonts w:cs="Arial"/>
        </w:rPr>
        <w:t xml:space="preserve"> </w:t>
      </w:r>
      <w:r w:rsidR="00330261" w:rsidRPr="009979D2">
        <w:t xml:space="preserve">differed significantly from controls and </w:t>
      </w:r>
      <w:r w:rsidR="00637F7C">
        <w:t>is</w:t>
      </w:r>
      <w:r w:rsidR="00357B00" w:rsidRPr="009979D2">
        <w:t xml:space="preserve"> </w:t>
      </w:r>
      <w:r w:rsidR="00330261" w:rsidRPr="009979D2">
        <w:t xml:space="preserve">considered </w:t>
      </w:r>
      <w:r w:rsidR="00357B00" w:rsidRPr="009979D2">
        <w:t xml:space="preserve">an effect of </w:t>
      </w:r>
      <w:r w:rsidR="00330261" w:rsidRPr="009979D2">
        <w:t>duration of exposure</w:t>
      </w:r>
      <w:r w:rsidR="00B93CA8" w:rsidRPr="009979D2">
        <w:t xml:space="preserve"> (DFG, 2011)</w:t>
      </w:r>
      <w:r w:rsidR="00330261" w:rsidRPr="009979D2">
        <w:t>.</w:t>
      </w:r>
      <w:r w:rsidR="000E3060" w:rsidRPr="009979D2">
        <w:t xml:space="preserve"> </w:t>
      </w:r>
      <w:r w:rsidR="00330261" w:rsidRPr="009979D2">
        <w:t>The World Health Organization</w:t>
      </w:r>
      <w:r w:rsidR="0094199E" w:rsidRPr="009979D2">
        <w:t xml:space="preserve"> (WHO)</w:t>
      </w:r>
      <w:r w:rsidR="00330261" w:rsidRPr="009979D2">
        <w:t xml:space="preserve"> recommend</w:t>
      </w:r>
      <w:r w:rsidR="00A85BA4" w:rsidRPr="009979D2">
        <w:t>s</w:t>
      </w:r>
      <w:r w:rsidR="00330261" w:rsidRPr="009979D2">
        <w:t xml:space="preserve"> </w:t>
      </w:r>
      <w:r w:rsidR="003C6D4F" w:rsidRPr="009979D2">
        <w:t>a</w:t>
      </w:r>
      <w:r w:rsidR="00330261" w:rsidRPr="009979D2">
        <w:t xml:space="preserve"> maximum </w:t>
      </w:r>
      <w:r w:rsidR="003C6D4F" w:rsidRPr="009979D2">
        <w:t xml:space="preserve">exposure </w:t>
      </w:r>
      <w:r w:rsidR="00330261">
        <w:t xml:space="preserve">of 25 </w:t>
      </w:r>
      <w:r w:rsidR="00330261">
        <w:rPr>
          <w:rFonts w:cs="Arial"/>
        </w:rPr>
        <w:t>µ</w:t>
      </w:r>
      <w:r w:rsidR="00330261">
        <w:t>g/m</w:t>
      </w:r>
      <w:r w:rsidR="00330261" w:rsidRPr="00682638">
        <w:rPr>
          <w:vertAlign w:val="superscript"/>
        </w:rPr>
        <w:t>3</w:t>
      </w:r>
      <w:r w:rsidR="00330261">
        <w:t xml:space="preserve"> </w:t>
      </w:r>
      <w:r w:rsidR="00A1565F">
        <w:t>which</w:t>
      </w:r>
      <w:r w:rsidR="00330261">
        <w:t xml:space="preserve"> is considered protective for </w:t>
      </w:r>
      <w:r w:rsidR="00F97050">
        <w:t xml:space="preserve">the </w:t>
      </w:r>
      <w:r w:rsidR="00357B00">
        <w:t xml:space="preserve">general population </w:t>
      </w:r>
      <w:r w:rsidR="00330261">
        <w:t>including sensitive subgroups (ACGIH,</w:t>
      </w:r>
      <w:r w:rsidR="00D4361C">
        <w:t> </w:t>
      </w:r>
      <w:r w:rsidR="00330261">
        <w:t>2018).</w:t>
      </w:r>
      <w:r w:rsidR="00D55095">
        <w:t xml:space="preserve"> </w:t>
      </w:r>
      <w:r w:rsidR="00887D06">
        <w:t>N</w:t>
      </w:r>
      <w:r w:rsidR="00887D06" w:rsidRPr="00887D06">
        <w:t xml:space="preserve">o histological changes </w:t>
      </w:r>
      <w:r w:rsidR="005B782B">
        <w:t xml:space="preserve">are reported </w:t>
      </w:r>
      <w:r w:rsidR="00887D06" w:rsidRPr="00887D06">
        <w:t xml:space="preserve">in </w:t>
      </w:r>
      <w:r w:rsidR="00A1565F">
        <w:t xml:space="preserve">the </w:t>
      </w:r>
      <w:r w:rsidR="00887D06" w:rsidRPr="00887D06">
        <w:t>brain, kidneys, liver or lungs</w:t>
      </w:r>
      <w:r w:rsidR="00D55095">
        <w:t xml:space="preserve"> </w:t>
      </w:r>
      <w:r w:rsidR="00A1565F">
        <w:t>of</w:t>
      </w:r>
      <w:r w:rsidR="00D55095">
        <w:t xml:space="preserve"> rats, rabbits and dogs exposed at</w:t>
      </w:r>
      <w:r w:rsidR="00887D06" w:rsidRPr="00887D06">
        <w:t xml:space="preserve"> 0.</w:t>
      </w:r>
      <w:r w:rsidR="005B782B" w:rsidRPr="00887D06">
        <w:t>1</w:t>
      </w:r>
      <w:r w:rsidR="005B782B">
        <w:t> </w:t>
      </w:r>
      <w:r w:rsidR="00887D06" w:rsidRPr="00887D06">
        <w:t>mg/m</w:t>
      </w:r>
      <w:r w:rsidR="00887D06" w:rsidRPr="00D55095">
        <w:rPr>
          <w:vertAlign w:val="superscript"/>
        </w:rPr>
        <w:t>3</w:t>
      </w:r>
      <w:r w:rsidR="00887D06" w:rsidRPr="00887D06">
        <w:t xml:space="preserve"> </w:t>
      </w:r>
      <w:r w:rsidR="00357B00">
        <w:t>(</w:t>
      </w:r>
      <w:r w:rsidR="00887D06" w:rsidRPr="00887D06">
        <w:t>mercury vapour</w:t>
      </w:r>
      <w:r w:rsidR="00357B00">
        <w:t>)</w:t>
      </w:r>
      <w:r w:rsidR="00D55095">
        <w:t xml:space="preserve"> for up to 83 weeks</w:t>
      </w:r>
      <w:r w:rsidR="00A1565F">
        <w:t xml:space="preserve">. </w:t>
      </w:r>
    </w:p>
    <w:p w14:paraId="3A5CB0D1" w14:textId="325E9762" w:rsidR="00887D06" w:rsidRDefault="00A1565F" w:rsidP="00887D06">
      <w:r>
        <w:lastRenderedPageBreak/>
        <w:t>A developmental study in rats report</w:t>
      </w:r>
      <w:r w:rsidR="00637F7C">
        <w:t>s</w:t>
      </w:r>
      <w:r>
        <w:t xml:space="preserve"> a NOAEC for offspring of 4 mg/m</w:t>
      </w:r>
      <w:r>
        <w:rPr>
          <w:vertAlign w:val="superscript"/>
        </w:rPr>
        <w:t>3</w:t>
      </w:r>
      <w:r>
        <w:t xml:space="preserve"> </w:t>
      </w:r>
      <w:r w:rsidR="00357B00">
        <w:t>(</w:t>
      </w:r>
      <w:r>
        <w:t>mercury vapour</w:t>
      </w:r>
      <w:r w:rsidR="00357B00">
        <w:t>)</w:t>
      </w:r>
      <w:r>
        <w:t xml:space="preserve"> in relation to mercury </w:t>
      </w:r>
      <w:r w:rsidR="0068580D">
        <w:t>levels in</w:t>
      </w:r>
      <w:r>
        <w:t xml:space="preserve"> brain, liver</w:t>
      </w:r>
      <w:r w:rsidR="005B782B">
        <w:t xml:space="preserve"> and</w:t>
      </w:r>
      <w:r>
        <w:t xml:space="preserve"> kidney</w:t>
      </w:r>
      <w:r w:rsidR="00D55095">
        <w:t xml:space="preserve"> (DFG, 2011). One study in multiple animal species </w:t>
      </w:r>
      <w:r w:rsidR="00637F7C">
        <w:t xml:space="preserve"> r</w:t>
      </w:r>
      <w:r w:rsidR="00D55095">
        <w:t>eport</w:t>
      </w:r>
      <w:r w:rsidR="00637F7C">
        <w:t>s</w:t>
      </w:r>
      <w:r w:rsidR="00D55095">
        <w:t xml:space="preserve"> a NOAE</w:t>
      </w:r>
      <w:r w:rsidR="005B782B">
        <w:t>C</w:t>
      </w:r>
      <w:r w:rsidR="00D55095">
        <w:t xml:space="preserve"> of 0.1</w:t>
      </w:r>
      <w:r w:rsidR="00057B8C">
        <w:t> </w:t>
      </w:r>
      <w:r w:rsidR="00D55095">
        <w:t>mg/m</w:t>
      </w:r>
      <w:r w:rsidR="00D55095">
        <w:rPr>
          <w:vertAlign w:val="superscript"/>
        </w:rPr>
        <w:t>3</w:t>
      </w:r>
      <w:r w:rsidR="00D55095">
        <w:t xml:space="preserve"> </w:t>
      </w:r>
      <w:r w:rsidR="00357B00">
        <w:t>(</w:t>
      </w:r>
      <w:r w:rsidR="00D55095">
        <w:t>mercury vapour</w:t>
      </w:r>
      <w:r w:rsidR="00357B00">
        <w:t>)</w:t>
      </w:r>
      <w:r w:rsidR="00D55095">
        <w:t xml:space="preserve"> in relation to kidney and </w:t>
      </w:r>
      <w:r w:rsidR="00357512">
        <w:t>CNS</w:t>
      </w:r>
      <w:r w:rsidR="00D55095">
        <w:t xml:space="preserve"> effects (SCOEL,</w:t>
      </w:r>
      <w:r w:rsidR="00157813">
        <w:t> </w:t>
      </w:r>
      <w:r w:rsidR="00D55095">
        <w:t>2007).</w:t>
      </w:r>
    </w:p>
    <w:p w14:paraId="2CCBD2DB" w14:textId="721D631C" w:rsidR="00B26B5D" w:rsidRPr="00B26B5D" w:rsidRDefault="00B26B5D" w:rsidP="00887D06">
      <w:r>
        <w:t>ACGIH (2018) recommend a TWA of</w:t>
      </w:r>
      <w:r w:rsidR="00107764">
        <w:t xml:space="preserve"> 0.025 mg/m</w:t>
      </w:r>
      <w:r w:rsidR="00107764">
        <w:rPr>
          <w:vertAlign w:val="superscript"/>
        </w:rPr>
        <w:t>3</w:t>
      </w:r>
      <w:r w:rsidR="00107764">
        <w:t xml:space="preserve"> for elemental and inorganic forms and</w:t>
      </w:r>
      <w:r>
        <w:t xml:space="preserve"> 0.1</w:t>
      </w:r>
      <w:r w:rsidR="0022022D">
        <w:t> </w:t>
      </w:r>
      <w:r>
        <w:t>mg/m</w:t>
      </w:r>
      <w:r>
        <w:rPr>
          <w:vertAlign w:val="superscript"/>
        </w:rPr>
        <w:t>3</w:t>
      </w:r>
      <w:r>
        <w:t xml:space="preserve"> for aryl compounds.</w:t>
      </w:r>
      <w:r w:rsidR="00107764">
        <w:t xml:space="preserve"> No explanation </w:t>
      </w:r>
      <w:r w:rsidR="005B782B">
        <w:t>i</w:t>
      </w:r>
      <w:r w:rsidR="00107764">
        <w:t xml:space="preserve">s provided </w:t>
      </w:r>
      <w:r w:rsidR="00357B00">
        <w:t xml:space="preserve">about </w:t>
      </w:r>
      <w:r w:rsidR="00296F50">
        <w:t xml:space="preserve">the derivation of </w:t>
      </w:r>
      <w:r w:rsidR="00357B00">
        <w:t>the</w:t>
      </w:r>
      <w:r w:rsidR="00E66499">
        <w:t xml:space="preserve"> </w:t>
      </w:r>
      <w:r w:rsidR="00107764">
        <w:t>TWA concentrations.</w:t>
      </w:r>
    </w:p>
    <w:p w14:paraId="3440AA6C" w14:textId="2884CDCE" w:rsidR="000105EA" w:rsidRDefault="0094199E" w:rsidP="00887D06">
      <w:r>
        <w:t xml:space="preserve">The available evidence does not provide clear separation of the </w:t>
      </w:r>
      <w:r w:rsidR="00393209">
        <w:t>toxicological</w:t>
      </w:r>
      <w:r>
        <w:t xml:space="preserve"> data for the various mercury containing compounds. </w:t>
      </w:r>
      <w:r w:rsidR="00107764">
        <w:t>Given the limited data</w:t>
      </w:r>
      <w:r>
        <w:t>, a TWA of 0.02</w:t>
      </w:r>
      <w:r w:rsidR="00107764">
        <w:t>5</w:t>
      </w:r>
      <w:r>
        <w:t xml:space="preserve"> mg/m</w:t>
      </w:r>
      <w:r>
        <w:rPr>
          <w:vertAlign w:val="superscript"/>
        </w:rPr>
        <w:t>3</w:t>
      </w:r>
      <w:r>
        <w:t xml:space="preserve"> </w:t>
      </w:r>
      <w:r w:rsidR="00550877">
        <w:t xml:space="preserve">(as Hg) </w:t>
      </w:r>
      <w:r>
        <w:t>is recommended for elemental mercury, inorganic forms of mercury compound</w:t>
      </w:r>
      <w:r w:rsidR="00B0517D">
        <w:t xml:space="preserve">s and </w:t>
      </w:r>
      <w:r w:rsidR="00107764">
        <w:t>a TWA of 0.1</w:t>
      </w:r>
      <w:r w:rsidR="0022022D">
        <w:t> </w:t>
      </w:r>
      <w:r w:rsidR="00107764">
        <w:t>mg/m</w:t>
      </w:r>
      <w:r w:rsidR="00107764">
        <w:rPr>
          <w:vertAlign w:val="superscript"/>
        </w:rPr>
        <w:t>3</w:t>
      </w:r>
      <w:r w:rsidR="00107764">
        <w:t xml:space="preserve"> </w:t>
      </w:r>
      <w:r w:rsidR="005B782B">
        <w:t xml:space="preserve">is recommended for </w:t>
      </w:r>
      <w:r w:rsidR="00B0517D">
        <w:t>aryl mercurial compounds</w:t>
      </w:r>
      <w:r w:rsidR="00107764">
        <w:t xml:space="preserve"> </w:t>
      </w:r>
      <w:r w:rsidR="00B0517D">
        <w:t>to limit the symptoms associated with the critical effects.</w:t>
      </w:r>
    </w:p>
    <w:p w14:paraId="3018E7C4" w14:textId="4CC6CAAB" w:rsidR="00A1565F" w:rsidRPr="00550877" w:rsidRDefault="00550877" w:rsidP="00887D06">
      <w:r>
        <w:t>A priority review is recommended</w:t>
      </w:r>
      <w:r w:rsidR="0086061D">
        <w:t xml:space="preserve"> to identify any differences between the health effects, dose-response data and exposure to the different mercury containing compounds.</w:t>
      </w:r>
    </w:p>
    <w:p w14:paraId="50949F1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0A7EDA0" w14:textId="70F388BC" w:rsidR="001D51DB" w:rsidRPr="0086061D" w:rsidRDefault="001D51DB" w:rsidP="001D51DB">
      <w:pPr>
        <w:rPr>
          <w:rFonts w:cs="Arial"/>
        </w:rPr>
      </w:pPr>
      <w:r w:rsidRPr="0086061D">
        <w:rPr>
          <w:rFonts w:cs="Arial"/>
        </w:rPr>
        <w:t>Not classified as a carcinogen according to the Globally Harmonized System of Classification and Labelling o</w:t>
      </w:r>
      <w:r w:rsidR="00F97050">
        <w:rPr>
          <w:rFonts w:cs="Arial"/>
        </w:rPr>
        <w:t>f</w:t>
      </w:r>
      <w:r w:rsidRPr="0086061D">
        <w:rPr>
          <w:rFonts w:cs="Arial"/>
        </w:rPr>
        <w:t xml:space="preserve"> Chemicals (GHS). </w:t>
      </w:r>
    </w:p>
    <w:p w14:paraId="7553FCC5" w14:textId="434A6A4D" w:rsidR="001D51DB" w:rsidRPr="0086061D" w:rsidRDefault="00601BA8" w:rsidP="00601BA8">
      <w:pPr>
        <w:keepNext/>
        <w:rPr>
          <w:rFonts w:cs="Arial"/>
        </w:rPr>
      </w:pPr>
      <w:r w:rsidRPr="00D764E3">
        <w:rPr>
          <w:rFonts w:cs="Arial"/>
        </w:rPr>
        <w:t>Not classified as a skin sensitiser or respiratory sensitiser according to the GHS</w:t>
      </w:r>
      <w:r w:rsidRPr="00633C1B">
        <w:rPr>
          <w:rFonts w:cs="Arial"/>
        </w:rPr>
        <w:t>.</w:t>
      </w:r>
      <w:r>
        <w:rPr>
          <w:rFonts w:cs="Arial"/>
        </w:rPr>
        <w:t xml:space="preserve"> </w:t>
      </w:r>
      <w:r w:rsidR="005B782B">
        <w:rPr>
          <w:rFonts w:cs="Arial"/>
        </w:rPr>
        <w:t>A review of the classification for skin sensitisation is recommended as there is e</w:t>
      </w:r>
      <w:r>
        <w:rPr>
          <w:rFonts w:cs="Arial"/>
        </w:rPr>
        <w:t>vidence of dermal sensitisation reported in the primary sources.</w:t>
      </w:r>
    </w:p>
    <w:p w14:paraId="32151644" w14:textId="15398A96" w:rsidR="004529F0" w:rsidRPr="004C23F4" w:rsidRDefault="0086061D" w:rsidP="001D51DB">
      <w:pPr>
        <w:rPr>
          <w:rFonts w:cs="Arial"/>
        </w:rPr>
      </w:pPr>
      <w:r>
        <w:rPr>
          <w:rFonts w:cs="Arial"/>
        </w:rPr>
        <w:t>A skin notation is recommended based on evidence of dermal uptake in humans, systemic effects and the severity of potential health outcomes.</w:t>
      </w:r>
    </w:p>
    <w:p w14:paraId="6E03FC8D" w14:textId="77777777" w:rsidR="0025734A" w:rsidRPr="004C23F4" w:rsidRDefault="0025734A">
      <w:pPr>
        <w:rPr>
          <w:rFonts w:cs="Arial"/>
        </w:rPr>
      </w:pPr>
    </w:p>
    <w:p w14:paraId="29FCA2DD" w14:textId="3F616CAF" w:rsidR="005E6979" w:rsidRDefault="005E6979">
      <w:pPr>
        <w:rPr>
          <w:rFonts w:cs="Arial"/>
        </w:rPr>
      </w:pPr>
    </w:p>
    <w:p w14:paraId="17935676" w14:textId="63F84103" w:rsidR="005B21BE" w:rsidRPr="004C23F4" w:rsidRDefault="005B21BE">
      <w:pPr>
        <w:rPr>
          <w:rFonts w:cs="Arial"/>
        </w:rPr>
        <w:sectPr w:rsidR="005B21BE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C00B2A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1D29D9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D86C111" w14:textId="77777777" w:rsidTr="00357512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7F56DE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E6837ED" w14:textId="77777777" w:rsidTr="0035751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5A963D9" w14:textId="5D15BE8A" w:rsidR="00A84D60" w:rsidRPr="003365A5" w:rsidRDefault="00DE26E8" w:rsidP="00922A1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7035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F3857" w:rsidRPr="000F3857">
                  <w:t>2001</w:t>
                </w:r>
              </w:sdtContent>
            </w:sdt>
            <w:r w:rsidR="0040008E">
              <w:t xml:space="preserve">            </w:t>
            </w:r>
            <w:r w:rsidR="00601BA8">
              <w:t xml:space="preserve">      </w:t>
            </w:r>
            <w:r w:rsidR="008B019A" w:rsidRPr="008B019A">
              <w:t>TWA: 0.025 mg/m</w:t>
            </w:r>
            <w:r w:rsidR="008B019A" w:rsidRPr="0040008E">
              <w:rPr>
                <w:vertAlign w:val="superscript"/>
              </w:rPr>
              <w:t>3</w:t>
            </w:r>
            <w:r w:rsidR="0040008E">
              <w:t xml:space="preserve"> </w:t>
            </w:r>
            <w:r w:rsidR="008B019A" w:rsidRPr="008B019A">
              <w:t>as Hg (Elemental a</w:t>
            </w:r>
            <w:r w:rsidR="0040008E">
              <w:t xml:space="preserve">nd inorganic forms)     </w:t>
            </w:r>
            <w:r w:rsidR="0040008E">
              <w:tab/>
              <w:t xml:space="preserve">1991           </w:t>
            </w:r>
            <w:r w:rsidR="00601BA8">
              <w:t xml:space="preserve">      </w:t>
            </w:r>
            <w:r w:rsidR="0040008E">
              <w:t xml:space="preserve"> </w:t>
            </w:r>
            <w:r w:rsidR="008B019A" w:rsidRPr="008B019A">
              <w:t>TWA: 0.1 mg/m</w:t>
            </w:r>
            <w:r w:rsidR="008B019A" w:rsidRPr="0040008E">
              <w:rPr>
                <w:vertAlign w:val="superscript"/>
              </w:rPr>
              <w:t>3</w:t>
            </w:r>
            <w:r w:rsidR="008B019A" w:rsidRPr="008B019A">
              <w:t xml:space="preserve"> as Hg (Aryl Compounds)</w:t>
            </w:r>
          </w:p>
        </w:tc>
      </w:tr>
      <w:tr w:rsidR="00C978F0" w:rsidRPr="00DA352E" w14:paraId="31219654" w14:textId="77777777" w:rsidTr="00357512">
        <w:trPr>
          <w:gridAfter w:val="1"/>
          <w:wAfter w:w="8" w:type="pct"/>
        </w:trPr>
        <w:tc>
          <w:tcPr>
            <w:tcW w:w="4992" w:type="pct"/>
          </w:tcPr>
          <w:p w14:paraId="0F364C80" w14:textId="3F250B7C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20C76A2" w14:textId="77777777" w:rsidTr="0035751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090E775" w14:textId="6656F0F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F3857" w:rsidRPr="000F385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914609311"/>
                    <w:placeholder>
                      <w:docPart w:val="CE1881E48B884022A2CB551087E01CF9"/>
                    </w:placeholder>
                  </w:sdtPr>
                  <w:sdtEndPr/>
                  <w:sdtContent>
                    <w:r w:rsidR="002A6542">
                      <w:t>TLV-TWA: 0.</w:t>
                    </w:r>
                    <w:r w:rsidR="006D2654">
                      <w:t>025</w:t>
                    </w:r>
                    <w:r w:rsidR="006C2C93">
                      <w:t xml:space="preserve"> mg/m</w:t>
                    </w:r>
                    <w:r w:rsidR="006C2C93" w:rsidRPr="00092AF5">
                      <w:rPr>
                        <w:vertAlign w:val="superscript"/>
                      </w:rPr>
                      <w:t>3</w:t>
                    </w:r>
                    <w:r w:rsidR="006D2654">
                      <w:t xml:space="preserve"> </w:t>
                    </w:r>
                    <w:r w:rsidR="003A267E">
                      <w:t xml:space="preserve">as Hg </w:t>
                    </w:r>
                    <w:r w:rsidR="006D2654">
                      <w:t>(Elemental and inorganic forms)</w:t>
                    </w:r>
                    <w:r w:rsidR="003A267E">
                      <w:t xml:space="preserve">      </w:t>
                    </w:r>
                    <w:r w:rsidR="003A267E">
                      <w:tab/>
                    </w:r>
                    <w:r w:rsidR="00922A17">
                      <w:t>2018</w:t>
                    </w:r>
                    <w:r w:rsidR="003A267E">
                      <w:tab/>
                    </w:r>
                    <w:r w:rsidR="003A267E">
                      <w:tab/>
                      <w:t>TLV-TWA: 0.1 mg/m</w:t>
                    </w:r>
                    <w:r w:rsidR="003A267E">
                      <w:rPr>
                        <w:vertAlign w:val="superscript"/>
                      </w:rPr>
                      <w:t>3</w:t>
                    </w:r>
                    <w:r w:rsidR="003A267E">
                      <w:t xml:space="preserve"> as Hg (Aryl Compounds)</w:t>
                    </w:r>
                  </w:sdtContent>
                </w:sdt>
              </w:sdtContent>
            </w:sdt>
          </w:p>
        </w:tc>
      </w:tr>
      <w:tr w:rsidR="00C978F0" w:rsidRPr="00DA352E" w14:paraId="4CD2E877" w14:textId="77777777" w:rsidTr="00357512">
        <w:trPr>
          <w:gridAfter w:val="1"/>
          <w:wAfter w:w="8" w:type="pct"/>
        </w:trPr>
        <w:tc>
          <w:tcPr>
            <w:tcW w:w="4992" w:type="pct"/>
          </w:tcPr>
          <w:p w14:paraId="0612F0C5" w14:textId="29D72741" w:rsidR="00C978F0" w:rsidRDefault="00DC05C1" w:rsidP="003365A5">
            <w:pPr>
              <w:pStyle w:val="Tabletextprimarysource"/>
            </w:pPr>
            <w:r>
              <w:t xml:space="preserve">TLV-TWA recommended to minimise the potential for preclinical CNS changes and kidney effects, and to reduce the risk of reproductive and development effects </w:t>
            </w:r>
            <w:r w:rsidR="00E7098A">
              <w:t xml:space="preserve">of </w:t>
            </w:r>
            <w:r>
              <w:t>exposed workers.</w:t>
            </w:r>
          </w:p>
          <w:p w14:paraId="0D407741" w14:textId="66F0751D" w:rsidR="00107764" w:rsidRDefault="00DC05C1" w:rsidP="00107764">
            <w:pPr>
              <w:pStyle w:val="Tabletextprimarysource"/>
            </w:pPr>
            <w:r>
              <w:t>Summary of data:</w:t>
            </w:r>
          </w:p>
          <w:p w14:paraId="18DBF6FC" w14:textId="77777777" w:rsidR="00DC05C1" w:rsidRDefault="00DC05C1" w:rsidP="003365A5">
            <w:pPr>
              <w:pStyle w:val="Tabletextprimarysource"/>
            </w:pPr>
            <w:r>
              <w:t>Human data:</w:t>
            </w:r>
          </w:p>
          <w:p w14:paraId="243D9804" w14:textId="3E09A23C" w:rsidR="00525194" w:rsidRPr="00601BA8" w:rsidRDefault="00525194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 w:rsidRPr="00601BA8">
              <w:t xml:space="preserve">Numerous cases of individual poisonings of adults and children in literature; </w:t>
            </w:r>
            <w:r w:rsidR="00883977" w:rsidRPr="00601BA8">
              <w:t>including</w:t>
            </w:r>
            <w:r w:rsidRPr="00601BA8">
              <w:t xml:space="preserve"> exposure from clothing contaminated with </w:t>
            </w:r>
            <w:r w:rsidR="005B782B">
              <w:t>Hg</w:t>
            </w:r>
            <w:r w:rsidR="005B782B" w:rsidRPr="00601BA8">
              <w:t xml:space="preserve"> </w:t>
            </w:r>
            <w:r w:rsidRPr="00601BA8">
              <w:t>brought home from work</w:t>
            </w:r>
          </w:p>
          <w:p w14:paraId="5FFE9024" w14:textId="12A1A56D" w:rsidR="005B782B" w:rsidRDefault="00812EF4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 w:rsidRPr="00601BA8">
              <w:t xml:space="preserve">Symptoms of toxicity may include tremors, emotional instability and irritability, peripheral neuropathy, gingivitis, </w:t>
            </w:r>
            <w:r w:rsidR="00883977" w:rsidRPr="00601BA8">
              <w:t>stomatitis</w:t>
            </w:r>
            <w:r w:rsidRPr="00601BA8">
              <w:t>, ocular and vision changes, hearing loss and renal impairment</w:t>
            </w:r>
          </w:p>
          <w:p w14:paraId="173741BE" w14:textId="0B4A0B10" w:rsidR="00DC05C1" w:rsidRPr="00601BA8" w:rsidRDefault="00B26B5D" w:rsidP="00A96D21">
            <w:pPr>
              <w:pStyle w:val="ListBullet"/>
              <w:numPr>
                <w:ilvl w:val="0"/>
                <w:numId w:val="7"/>
              </w:numPr>
              <w:spacing w:before="60" w:after="60"/>
              <w:ind w:left="1094" w:hanging="357"/>
              <w:contextualSpacing w:val="0"/>
            </w:pPr>
            <w:r>
              <w:t xml:space="preserve">effects observed in persons exposed to metallic </w:t>
            </w:r>
            <w:r w:rsidR="005B782B">
              <w:t>Hg</w:t>
            </w:r>
            <w:r>
              <w:t xml:space="preserve">, inorganic </w:t>
            </w:r>
            <w:r w:rsidR="005B782B">
              <w:t>Hg</w:t>
            </w:r>
            <w:r>
              <w:t xml:space="preserve"> compounds and organic </w:t>
            </w:r>
            <w:r w:rsidR="005B782B">
              <w:t>Hg</w:t>
            </w:r>
            <w:r>
              <w:t xml:space="preserve"> compounds, including aryl compounds</w:t>
            </w:r>
          </w:p>
          <w:p w14:paraId="1A64C870" w14:textId="1EC00A01" w:rsidR="00812EF4" w:rsidRPr="00601BA8" w:rsidRDefault="00812EF4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 w:rsidRPr="00601BA8">
              <w:t xml:space="preserve">Skin absorption </w:t>
            </w:r>
            <w:r w:rsidR="00525194" w:rsidRPr="00601BA8">
              <w:t>is a recognised route of exposure</w:t>
            </w:r>
          </w:p>
          <w:p w14:paraId="456B3233" w14:textId="585AB064" w:rsidR="00714E98" w:rsidRPr="00601BA8" w:rsidRDefault="00714E98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 w:rsidRPr="00601BA8">
              <w:t>Study of 40 exposed workers</w:t>
            </w:r>
            <w:r w:rsidR="003646E6">
              <w:t xml:space="preserve"> </w:t>
            </w:r>
            <w:r w:rsidRPr="00601BA8">
              <w:t>80% &lt;5 yr exposure</w:t>
            </w:r>
            <w:r w:rsidR="003646E6">
              <w:t xml:space="preserve">, </w:t>
            </w:r>
            <w:r w:rsidRPr="00601BA8">
              <w:t xml:space="preserve">42% exposed &lt;10 </w:t>
            </w:r>
            <w:r w:rsidRPr="003646E6">
              <w:rPr>
                <w:rFonts w:cs="Arial"/>
              </w:rPr>
              <w:t>µ</w:t>
            </w:r>
            <w:r w:rsidRPr="00601BA8">
              <w:t>g/m</w:t>
            </w:r>
            <w:r w:rsidRPr="003646E6">
              <w:rPr>
                <w:vertAlign w:val="superscript"/>
              </w:rPr>
              <w:t>3</w:t>
            </w:r>
            <w:r w:rsidR="003646E6">
              <w:t>,</w:t>
            </w:r>
            <w:r w:rsidRPr="00601BA8">
              <w:t xml:space="preserve"> 80% exposed &lt;40 </w:t>
            </w:r>
            <w:r w:rsidRPr="003646E6">
              <w:rPr>
                <w:rFonts w:cs="Arial"/>
              </w:rPr>
              <w:t>µ</w:t>
            </w:r>
            <w:r w:rsidRPr="00601BA8">
              <w:t>g/m</w:t>
            </w:r>
            <w:r w:rsidRPr="003646E6">
              <w:rPr>
                <w:vertAlign w:val="superscript"/>
              </w:rPr>
              <w:t>3</w:t>
            </w:r>
            <w:r w:rsidR="002D5BAA">
              <w:t>:</w:t>
            </w:r>
          </w:p>
          <w:p w14:paraId="7CC2B9CD" w14:textId="094D8CD5" w:rsidR="00714E98" w:rsidRPr="00601BA8" w:rsidRDefault="00E66499" w:rsidP="00BF4005">
            <w:pPr>
              <w:pStyle w:val="ListBullet"/>
              <w:numPr>
                <w:ilvl w:val="0"/>
                <w:numId w:val="7"/>
              </w:numPr>
              <w:spacing w:before="60" w:after="60"/>
              <w:ind w:left="1094" w:hanging="357"/>
              <w:contextualSpacing w:val="0"/>
            </w:pPr>
            <w:r w:rsidRPr="00601BA8">
              <w:t xml:space="preserve">elevated </w:t>
            </w:r>
            <w:r w:rsidR="00714E98" w:rsidRPr="00601BA8">
              <w:t xml:space="preserve">mean urine and blood levels </w:t>
            </w:r>
          </w:p>
          <w:p w14:paraId="3529CCEE" w14:textId="55CBDF97" w:rsidR="007675BD" w:rsidRPr="00601BA8" w:rsidRDefault="007675BD" w:rsidP="00BF4005">
            <w:pPr>
              <w:pStyle w:val="ListBullet"/>
              <w:numPr>
                <w:ilvl w:val="0"/>
                <w:numId w:val="7"/>
              </w:numPr>
              <w:spacing w:before="60" w:after="60"/>
              <w:ind w:left="1094" w:hanging="357"/>
              <w:contextualSpacing w:val="0"/>
            </w:pPr>
            <w:r w:rsidRPr="00601BA8">
              <w:t>increased plasma galactosidase and catalase activity</w:t>
            </w:r>
            <w:r w:rsidR="00E66499" w:rsidRPr="00601BA8">
              <w:t xml:space="preserve"> </w:t>
            </w:r>
          </w:p>
          <w:p w14:paraId="5F7B374A" w14:textId="6B772A70" w:rsidR="0030779C" w:rsidRPr="00601BA8" w:rsidRDefault="0030779C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 w:rsidRPr="00601BA8">
              <w:t xml:space="preserve">Workers exposed </w:t>
            </w:r>
            <w:r w:rsidR="005B782B">
              <w:t>at</w:t>
            </w:r>
            <w:r w:rsidRPr="00601BA8">
              <w:t xml:space="preserve"> 0.06 to 0.3 mg/m</w:t>
            </w:r>
            <w:r w:rsidRPr="00601BA8">
              <w:rPr>
                <w:vertAlign w:val="superscript"/>
              </w:rPr>
              <w:t>3</w:t>
            </w:r>
            <w:r w:rsidRPr="00601BA8">
              <w:t xml:space="preserve"> (no duration or frequency provided)</w:t>
            </w:r>
            <w:r w:rsidR="002D5BAA">
              <w:t>:</w:t>
            </w:r>
            <w:r w:rsidRPr="00601BA8">
              <w:t xml:space="preserve"> </w:t>
            </w:r>
          </w:p>
          <w:p w14:paraId="59F86A4D" w14:textId="267AF313" w:rsidR="0030779C" w:rsidRPr="00601BA8" w:rsidRDefault="0030779C" w:rsidP="00BF4005">
            <w:pPr>
              <w:pStyle w:val="ListBullet"/>
              <w:numPr>
                <w:ilvl w:val="0"/>
                <w:numId w:val="17"/>
              </w:numPr>
              <w:spacing w:before="60" w:after="60"/>
              <w:ind w:left="1094" w:hanging="357"/>
              <w:contextualSpacing w:val="0"/>
            </w:pPr>
            <w:r w:rsidRPr="00601BA8">
              <w:t>increased plasma enzymes correlated with exposure</w:t>
            </w:r>
          </w:p>
          <w:p w14:paraId="0F4164C5" w14:textId="26911262" w:rsidR="0030779C" w:rsidRPr="00601BA8" w:rsidRDefault="00E66499" w:rsidP="00BF4005">
            <w:pPr>
              <w:pStyle w:val="ListBullet"/>
              <w:numPr>
                <w:ilvl w:val="0"/>
                <w:numId w:val="17"/>
              </w:numPr>
              <w:spacing w:before="60" w:after="60"/>
              <w:ind w:left="1094" w:hanging="357"/>
              <w:contextualSpacing w:val="0"/>
            </w:pPr>
            <w:r w:rsidRPr="00601BA8">
              <w:t xml:space="preserve">marked glomerular proteinuria </w:t>
            </w:r>
            <w:r>
              <w:t xml:space="preserve">in </w:t>
            </w:r>
            <w:r w:rsidR="0030779C" w:rsidRPr="00601BA8">
              <w:t xml:space="preserve">15 cases </w:t>
            </w:r>
          </w:p>
          <w:p w14:paraId="08660152" w14:textId="1ED6358C" w:rsidR="0030779C" w:rsidRPr="00601BA8" w:rsidRDefault="00E66499" w:rsidP="00BF4005">
            <w:pPr>
              <w:pStyle w:val="ListBullet"/>
              <w:numPr>
                <w:ilvl w:val="0"/>
                <w:numId w:val="17"/>
              </w:numPr>
              <w:spacing w:before="60" w:after="60"/>
              <w:ind w:left="1094" w:hanging="357"/>
              <w:contextualSpacing w:val="0"/>
            </w:pPr>
            <w:r w:rsidRPr="00601BA8">
              <w:t xml:space="preserve">previous neuropathy </w:t>
            </w:r>
            <w:r>
              <w:t xml:space="preserve">in </w:t>
            </w:r>
            <w:r w:rsidR="0030779C" w:rsidRPr="00601BA8">
              <w:t xml:space="preserve">5 cases </w:t>
            </w:r>
          </w:p>
          <w:p w14:paraId="69BB98D6" w14:textId="6C702D91" w:rsidR="0030779C" w:rsidRPr="00601BA8" w:rsidRDefault="00E66499" w:rsidP="00BF4005">
            <w:pPr>
              <w:pStyle w:val="ListBullet"/>
              <w:numPr>
                <w:ilvl w:val="0"/>
                <w:numId w:val="17"/>
              </w:numPr>
              <w:spacing w:before="60" w:after="60"/>
              <w:ind w:left="1094" w:hanging="357"/>
              <w:contextualSpacing w:val="0"/>
            </w:pPr>
            <w:r w:rsidRPr="00601BA8">
              <w:t xml:space="preserve">hypertension and glomerular proteinuria </w:t>
            </w:r>
            <w:r>
              <w:t xml:space="preserve">in </w:t>
            </w:r>
            <w:r w:rsidR="0030779C" w:rsidRPr="00601BA8">
              <w:t xml:space="preserve">4 cases </w:t>
            </w:r>
          </w:p>
          <w:p w14:paraId="6781E95F" w14:textId="3B7A1DEE" w:rsidR="00BB391E" w:rsidRPr="00601BA8" w:rsidRDefault="00A85BA4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C</w:t>
            </w:r>
            <w:r w:rsidRPr="00601BA8">
              <w:t xml:space="preserve">orrelation </w:t>
            </w:r>
            <w:r w:rsidR="00BB391E" w:rsidRPr="00601BA8">
              <w:t>between increased glomerular dysfunction and exposure</w:t>
            </w:r>
            <w:r w:rsidR="00242C89">
              <w:t xml:space="preserve">, </w:t>
            </w:r>
            <w:r w:rsidR="00BB391E" w:rsidRPr="00601BA8">
              <w:t xml:space="preserve">elevated excretion of high </w:t>
            </w:r>
            <w:r w:rsidR="00F16609">
              <w:t>molecular weight</w:t>
            </w:r>
            <w:r w:rsidR="00F16609" w:rsidRPr="00601BA8">
              <w:t xml:space="preserve"> </w:t>
            </w:r>
            <w:r w:rsidR="00BB391E" w:rsidRPr="00601BA8">
              <w:t>protein</w:t>
            </w:r>
            <w:r w:rsidR="00E36B2A">
              <w:t>,</w:t>
            </w:r>
            <w:r w:rsidR="00BB391E" w:rsidRPr="00601BA8">
              <w:t xml:space="preserve"> higher prevalence of β2u-globulin in plasma without concomitant change in urinary β2u-globulin concentration;</w:t>
            </w:r>
            <w:r w:rsidR="00F115DC">
              <w:t xml:space="preserve"> </w:t>
            </w:r>
            <w:r w:rsidR="00156F2D">
              <w:t>stronger correlation</w:t>
            </w:r>
            <w:r w:rsidR="00634E03" w:rsidRPr="00601BA8">
              <w:t xml:space="preserve"> in workers with Hg urine levels &gt;50 μg/g creatinine</w:t>
            </w:r>
            <w:r w:rsidR="00F115DC">
              <w:t xml:space="preserve"> (study on </w:t>
            </w:r>
            <w:r w:rsidR="00F115DC" w:rsidRPr="00601BA8">
              <w:t>63 workers</w:t>
            </w:r>
            <w:r w:rsidR="00F115DC">
              <w:t>)</w:t>
            </w:r>
          </w:p>
          <w:p w14:paraId="5DFE3EDD" w14:textId="298A4368" w:rsidR="00634E03" w:rsidRPr="00601BA8" w:rsidRDefault="00634E03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 w:rsidRPr="00601BA8">
              <w:t xml:space="preserve">Study of tremors in 21 workers; finger </w:t>
            </w:r>
            <w:r w:rsidR="0043507A" w:rsidRPr="00601BA8">
              <w:t>tremor</w:t>
            </w:r>
            <w:r w:rsidR="00034626">
              <w:t>s</w:t>
            </w:r>
            <w:r w:rsidR="0043507A" w:rsidRPr="00601BA8">
              <w:t xml:space="preserve"> </w:t>
            </w:r>
            <w:r w:rsidRPr="00601BA8">
              <w:t xml:space="preserve">correlated with </w:t>
            </w:r>
            <w:r w:rsidR="00296F50">
              <w:t xml:space="preserve">urinary </w:t>
            </w:r>
            <w:r w:rsidR="00296F50" w:rsidRPr="00601BA8">
              <w:t xml:space="preserve">Hg </w:t>
            </w:r>
            <w:r w:rsidR="00296F50">
              <w:t xml:space="preserve">concentrations and </w:t>
            </w:r>
            <w:r w:rsidRPr="00601BA8">
              <w:t xml:space="preserve">exposure; 20 </w:t>
            </w:r>
            <w:r w:rsidRPr="00601BA8">
              <w:rPr>
                <w:rFonts w:cs="Arial"/>
              </w:rPr>
              <w:t>µ</w:t>
            </w:r>
            <w:r w:rsidRPr="00601BA8">
              <w:t>mol/mol creatinine (</w:t>
            </w:r>
            <w:r w:rsidR="00883977" w:rsidRPr="00601BA8">
              <w:t>~</w:t>
            </w:r>
            <w:r w:rsidRPr="00601BA8">
              <w:t xml:space="preserve">36 </w:t>
            </w:r>
            <w:r w:rsidRPr="00601BA8">
              <w:rPr>
                <w:rFonts w:cs="Arial"/>
              </w:rPr>
              <w:t>µ</w:t>
            </w:r>
            <w:r w:rsidRPr="00601BA8">
              <w:t xml:space="preserve">g/L) </w:t>
            </w:r>
            <w:r w:rsidR="00883977" w:rsidRPr="00601BA8">
              <w:rPr>
                <w:rFonts w:cs="Arial"/>
              </w:rPr>
              <w:t>≡</w:t>
            </w:r>
            <w:r w:rsidRPr="00601BA8">
              <w:t xml:space="preserve"> </w:t>
            </w:r>
            <w:r w:rsidR="00883977" w:rsidRPr="00601BA8">
              <w:t>~</w:t>
            </w:r>
            <w:r w:rsidRPr="00601BA8">
              <w:t xml:space="preserve">17 </w:t>
            </w:r>
            <w:r w:rsidRPr="00601BA8">
              <w:rPr>
                <w:rFonts w:cs="Arial"/>
              </w:rPr>
              <w:t>µ</w:t>
            </w:r>
            <w:r w:rsidRPr="00601BA8">
              <w:t>g/m</w:t>
            </w:r>
            <w:r w:rsidRPr="00601BA8">
              <w:rPr>
                <w:vertAlign w:val="superscript"/>
              </w:rPr>
              <w:t>3</w:t>
            </w:r>
            <w:r w:rsidRPr="00601BA8">
              <w:t xml:space="preserve"> exposure</w:t>
            </w:r>
          </w:p>
          <w:p w14:paraId="19E09A98" w14:textId="234A79BC" w:rsidR="00634E03" w:rsidRPr="00601BA8" w:rsidRDefault="00634E03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 w:rsidRPr="00601BA8">
              <w:t xml:space="preserve">Study of 26 workers exposed to average 26 </w:t>
            </w:r>
            <w:r w:rsidRPr="00601BA8">
              <w:rPr>
                <w:rFonts w:cs="Arial"/>
              </w:rPr>
              <w:t>µg/m</w:t>
            </w:r>
            <w:r w:rsidRPr="00601BA8">
              <w:rPr>
                <w:rFonts w:cs="Arial"/>
                <w:vertAlign w:val="superscript"/>
              </w:rPr>
              <w:t>3</w:t>
            </w:r>
            <w:r w:rsidRPr="00601BA8">
              <w:rPr>
                <w:rFonts w:cs="Arial"/>
              </w:rPr>
              <w:t xml:space="preserve">; </w:t>
            </w:r>
            <w:r w:rsidRPr="00601BA8">
              <w:t>exposed workers differed significantly from controls in the spectrum of hand tremor; duration of exposure important indicator; no further information</w:t>
            </w:r>
          </w:p>
          <w:p w14:paraId="7B2CEFAB" w14:textId="3D48610E" w:rsidR="00275EFC" w:rsidRPr="00601BA8" w:rsidRDefault="00275EFC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 w:rsidRPr="00601BA8">
              <w:t>Study of 231 workers for signs of overt related symptoms; exposed to 0.05</w:t>
            </w:r>
            <w:r w:rsidR="00057B8C">
              <w:t>–</w:t>
            </w:r>
            <w:r w:rsidRPr="00601BA8">
              <w:t>0.10 mg/m</w:t>
            </w:r>
            <w:r w:rsidRPr="00601BA8">
              <w:rPr>
                <w:vertAlign w:val="superscript"/>
              </w:rPr>
              <w:t>3</w:t>
            </w:r>
            <w:r w:rsidRPr="00601BA8">
              <w:t>; no evident cases of intoxication identified</w:t>
            </w:r>
          </w:p>
          <w:p w14:paraId="16075536" w14:textId="1D40BAEA" w:rsidR="00682638" w:rsidRPr="00601BA8" w:rsidRDefault="00682638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 w:rsidRPr="00601BA8">
              <w:t xml:space="preserve">Study of cardiovascular reflexes in male workers; long-term exposure at 30 </w:t>
            </w:r>
            <w:r w:rsidRPr="00601BA8">
              <w:rPr>
                <w:rFonts w:cs="Arial"/>
              </w:rPr>
              <w:t>µ</w:t>
            </w:r>
            <w:r w:rsidRPr="00601BA8">
              <w:t>g/m</w:t>
            </w:r>
            <w:r w:rsidRPr="00601BA8">
              <w:rPr>
                <w:vertAlign w:val="superscript"/>
              </w:rPr>
              <w:t xml:space="preserve">3 </w:t>
            </w:r>
            <w:r w:rsidRPr="00601BA8">
              <w:t>did not cause adverse effects on the autonomic nervous system</w:t>
            </w:r>
          </w:p>
          <w:p w14:paraId="574F562F" w14:textId="4E6C2BBA" w:rsidR="005A4738" w:rsidRPr="00601BA8" w:rsidRDefault="005A4738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 w:rsidRPr="00601BA8">
              <w:t xml:space="preserve">No abnormalities in perceptual, motor, memory, or learning abilities in workers exposed at a long-term average concentration of 25 </w:t>
            </w:r>
            <w:r w:rsidRPr="00601BA8">
              <w:rPr>
                <w:rFonts w:cs="Arial"/>
              </w:rPr>
              <w:t>µ</w:t>
            </w:r>
            <w:r w:rsidRPr="00601BA8">
              <w:t>g/m</w:t>
            </w:r>
            <w:r w:rsidRPr="00601BA8">
              <w:rPr>
                <w:vertAlign w:val="superscript"/>
              </w:rPr>
              <w:t>3</w:t>
            </w:r>
          </w:p>
          <w:p w14:paraId="5ED7411A" w14:textId="3F7EEC08" w:rsidR="00682638" w:rsidRPr="00601BA8" w:rsidRDefault="00682638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 w:rsidRPr="00601BA8">
              <w:t xml:space="preserve">WHO recommend an exposure maximum of 25 </w:t>
            </w:r>
            <w:r w:rsidRPr="00601BA8">
              <w:rPr>
                <w:rFonts w:cs="Arial"/>
              </w:rPr>
              <w:t>µ</w:t>
            </w:r>
            <w:r w:rsidRPr="00601BA8">
              <w:t>g/m</w:t>
            </w:r>
            <w:r w:rsidRPr="00601BA8">
              <w:rPr>
                <w:vertAlign w:val="superscript"/>
              </w:rPr>
              <w:t>3</w:t>
            </w:r>
            <w:r w:rsidR="00330261" w:rsidRPr="00601BA8">
              <w:t>; protective for public including sensitive sub</w:t>
            </w:r>
            <w:r w:rsidR="00C55796">
              <w:t>-</w:t>
            </w:r>
            <w:r w:rsidR="00330261" w:rsidRPr="00601BA8">
              <w:t>groups</w:t>
            </w:r>
            <w:r w:rsidR="00F115DC">
              <w:t>.</w:t>
            </w:r>
          </w:p>
          <w:p w14:paraId="46D70AFC" w14:textId="1CC02CDB" w:rsidR="005A4738" w:rsidRPr="00601BA8" w:rsidRDefault="005A4738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 w:rsidRPr="00601BA8">
              <w:lastRenderedPageBreak/>
              <w:t>Urine levels of 500</w:t>
            </w:r>
            <w:r w:rsidR="00057B8C">
              <w:t>–</w:t>
            </w:r>
            <w:r w:rsidRPr="00601BA8">
              <w:t xml:space="preserve">850 </w:t>
            </w:r>
            <w:r w:rsidRPr="00601BA8">
              <w:rPr>
                <w:rFonts w:cs="Arial"/>
              </w:rPr>
              <w:t>µ</w:t>
            </w:r>
            <w:r w:rsidRPr="00601BA8">
              <w:t>g/L considered good predictor of polyneuropathy</w:t>
            </w:r>
          </w:p>
          <w:p w14:paraId="2FC9EC58" w14:textId="37734581" w:rsidR="00634E03" w:rsidRPr="00601BA8" w:rsidRDefault="0043507A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In stu</w:t>
            </w:r>
            <w:r w:rsidR="00B36335">
              <w:t xml:space="preserve">dies of attempted or successful </w:t>
            </w:r>
            <w:r w:rsidR="009979D2">
              <w:t xml:space="preserve">suicides, </w:t>
            </w:r>
            <w:r w:rsidR="009979D2" w:rsidRPr="00601BA8">
              <w:t>urine</w:t>
            </w:r>
            <w:r w:rsidR="00E36B2A">
              <w:t xml:space="preserve"> Hg</w:t>
            </w:r>
            <w:r w:rsidR="00634E03" w:rsidRPr="00601BA8">
              <w:t xml:space="preserve"> </w:t>
            </w:r>
            <w:r w:rsidR="009979D2">
              <w:t>was not found to be</w:t>
            </w:r>
            <w:r w:rsidR="00634E03" w:rsidRPr="00601BA8">
              <w:t xml:space="preserve"> a reliable indicator of the absorbed dose</w:t>
            </w:r>
          </w:p>
          <w:p w14:paraId="6873CA4B" w14:textId="207D7AEB" w:rsidR="002D5BAA" w:rsidRPr="00601BA8" w:rsidRDefault="00E53D7A" w:rsidP="00BF400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 w:rsidRPr="00601BA8">
              <w:t>Limited</w:t>
            </w:r>
            <w:r w:rsidR="005A4738" w:rsidRPr="00601BA8">
              <w:t xml:space="preserve"> human data on reproductive effects</w:t>
            </w:r>
            <w:r w:rsidR="00057B8C">
              <w:t>,</w:t>
            </w:r>
            <w:r w:rsidR="005A4738" w:rsidRPr="00601BA8">
              <w:t xml:space="preserve"> </w:t>
            </w:r>
            <w:r w:rsidR="002D5BAA">
              <w:t>n</w:t>
            </w:r>
            <w:r w:rsidR="00812EF4" w:rsidRPr="00601BA8">
              <w:t>ot possible to clearly establish an exposure level for absolute protection of reproduction function in male or female workers</w:t>
            </w:r>
            <w:r w:rsidRPr="00601BA8">
              <w:t>.</w:t>
            </w:r>
          </w:p>
          <w:p w14:paraId="3F7F8889" w14:textId="77777777" w:rsidR="005D6217" w:rsidRDefault="005D6217" w:rsidP="00BF4005">
            <w:pPr>
              <w:pStyle w:val="ListBullet"/>
            </w:pPr>
            <w:r>
              <w:t>Animal data:</w:t>
            </w:r>
          </w:p>
          <w:p w14:paraId="544C5479" w14:textId="77777777" w:rsidR="005D6217" w:rsidRDefault="005D6217" w:rsidP="00BF4005">
            <w:pPr>
              <w:pStyle w:val="ListBullet"/>
              <w:numPr>
                <w:ilvl w:val="0"/>
                <w:numId w:val="9"/>
              </w:numPr>
              <w:spacing w:before="60" w:after="60"/>
              <w:ind w:left="714" w:hanging="357"/>
              <w:contextualSpacing w:val="0"/>
            </w:pPr>
            <w:r>
              <w:t>Extensive toxicological literature on animals; clear evidence elemental and inorganic mercury compounds in several animal species producing effects parallel to those observed in humans</w:t>
            </w:r>
          </w:p>
          <w:p w14:paraId="522950C9" w14:textId="08E14C10" w:rsidR="005D6217" w:rsidRDefault="005D6217" w:rsidP="00BF4005">
            <w:pPr>
              <w:pStyle w:val="ListBullet"/>
              <w:numPr>
                <w:ilvl w:val="0"/>
                <w:numId w:val="9"/>
              </w:numPr>
              <w:spacing w:before="60" w:after="60"/>
              <w:ind w:left="714" w:hanging="357"/>
              <w:contextualSpacing w:val="0"/>
            </w:pPr>
            <w:r>
              <w:t xml:space="preserve">exposed animals </w:t>
            </w:r>
            <w:r w:rsidR="002F1D30">
              <w:t>display</w:t>
            </w:r>
            <w:r>
              <w:t xml:space="preserve"> neurophysiological, kidney, behavioural, morphological, electrophysical, reproductive and biochemical effects</w:t>
            </w:r>
          </w:p>
          <w:p w14:paraId="12E931F9" w14:textId="48D0B61B" w:rsidR="00A538BF" w:rsidRDefault="00A538BF" w:rsidP="00BF4005">
            <w:pPr>
              <w:pStyle w:val="ListBullet"/>
              <w:numPr>
                <w:ilvl w:val="0"/>
                <w:numId w:val="9"/>
              </w:numPr>
              <w:spacing w:before="60" w:after="60"/>
              <w:ind w:left="714" w:hanging="357"/>
              <w:contextualSpacing w:val="0"/>
            </w:pPr>
            <w:r>
              <w:t>Rats injected</w:t>
            </w:r>
            <w:r w:rsidR="00E36B2A">
              <w:t xml:space="preserve"> IP</w:t>
            </w:r>
            <w:r>
              <w:t xml:space="preserve"> developed spindle-shaped sarcomas containing fine droplets of </w:t>
            </w:r>
            <w:r w:rsidR="00E36B2A">
              <w:t xml:space="preserve">Hg </w:t>
            </w:r>
            <w:r>
              <w:t xml:space="preserve">after </w:t>
            </w:r>
            <w:r w:rsidR="00E36B2A">
              <w:t>2 </w:t>
            </w:r>
            <w:r>
              <w:t xml:space="preserve">yr; no </w:t>
            </w:r>
            <w:r w:rsidR="00C079ED">
              <w:t>evidence of carcinogenic potential in humans</w:t>
            </w:r>
          </w:p>
          <w:p w14:paraId="16844E39" w14:textId="09E6F33E" w:rsidR="002F1D30" w:rsidRDefault="002F1D30" w:rsidP="00BF4005">
            <w:pPr>
              <w:pStyle w:val="ListBullet"/>
              <w:numPr>
                <w:ilvl w:val="0"/>
                <w:numId w:val="9"/>
              </w:numPr>
              <w:spacing w:before="60" w:after="60"/>
              <w:ind w:left="714" w:hanging="357"/>
              <w:contextualSpacing w:val="0"/>
            </w:pPr>
            <w:r>
              <w:t>Inorganic</w:t>
            </w:r>
            <w:r w:rsidR="00E36B2A">
              <w:t xml:space="preserve"> Hg</w:t>
            </w:r>
            <w:r>
              <w:t xml:space="preserve"> affected the endocrine and gonadal function with a considerable reduction in fertility in both male and female rodents</w:t>
            </w:r>
          </w:p>
          <w:p w14:paraId="35846AF0" w14:textId="7C0E454C" w:rsidR="00A538BF" w:rsidRDefault="00A538BF" w:rsidP="00BF4005">
            <w:pPr>
              <w:pStyle w:val="ListBullet"/>
              <w:numPr>
                <w:ilvl w:val="0"/>
                <w:numId w:val="9"/>
              </w:numPr>
              <w:spacing w:before="60" w:after="60"/>
              <w:ind w:left="714" w:hanging="357"/>
              <w:contextualSpacing w:val="0"/>
            </w:pPr>
            <w:r>
              <w:t xml:space="preserve">Placental transfer of elemental </w:t>
            </w:r>
            <w:r w:rsidR="00E36B2A">
              <w:t xml:space="preserve">Hg </w:t>
            </w:r>
            <w:r>
              <w:t>more rapid following inhalation than by other routes</w:t>
            </w:r>
          </w:p>
          <w:p w14:paraId="54278B34" w14:textId="7B2C8AD0" w:rsidR="00601BA8" w:rsidRDefault="002F1D30" w:rsidP="00BF4005">
            <w:pPr>
              <w:pStyle w:val="ListBullet"/>
              <w:numPr>
                <w:ilvl w:val="0"/>
                <w:numId w:val="9"/>
              </w:numPr>
              <w:spacing w:before="60" w:after="60"/>
              <w:ind w:left="714" w:hanging="357"/>
              <w:contextualSpacing w:val="0"/>
            </w:pPr>
            <w:r>
              <w:t>Refers to ATSDR</w:t>
            </w:r>
            <w:r w:rsidR="00D453FA">
              <w:t xml:space="preserve"> (1989)</w:t>
            </w:r>
            <w:r>
              <w:t xml:space="preserve"> and WHO</w:t>
            </w:r>
            <w:r w:rsidR="00D453FA">
              <w:t xml:space="preserve"> (1991)</w:t>
            </w:r>
            <w:r>
              <w:t>; no further information presented</w:t>
            </w:r>
            <w:r w:rsidR="00A538BF">
              <w:t>.</w:t>
            </w:r>
          </w:p>
          <w:p w14:paraId="3AA826F0" w14:textId="26102350" w:rsidR="00A538BF" w:rsidRDefault="00A538BF" w:rsidP="00BF4005">
            <w:pPr>
              <w:pStyle w:val="ListBullet"/>
              <w:numPr>
                <w:ilvl w:val="0"/>
                <w:numId w:val="9"/>
              </w:numPr>
              <w:spacing w:before="60" w:after="60"/>
              <w:ind w:left="714" w:hanging="357"/>
              <w:contextualSpacing w:val="0"/>
            </w:pPr>
            <w:r>
              <w:t xml:space="preserve">Mercuric chloride negative in </w:t>
            </w:r>
            <w:r w:rsidR="0022274D" w:rsidRPr="00601BA8">
              <w:rPr>
                <w:i/>
              </w:rPr>
              <w:t>Salmonella</w:t>
            </w:r>
            <w:r w:rsidR="0022274D">
              <w:t xml:space="preserve"> assay</w:t>
            </w:r>
            <w:r w:rsidR="00E53D7A">
              <w:t>.</w:t>
            </w:r>
          </w:p>
          <w:p w14:paraId="37305FC5" w14:textId="77777777" w:rsidR="002D5BAA" w:rsidRDefault="002D5BAA" w:rsidP="00A538BF">
            <w:pPr>
              <w:pStyle w:val="Tabletextprimarysource"/>
            </w:pPr>
          </w:p>
          <w:p w14:paraId="62508FD8" w14:textId="59E166C4" w:rsidR="003A267E" w:rsidRDefault="003A267E" w:rsidP="00A538BF">
            <w:pPr>
              <w:pStyle w:val="Tabletextprimarysource"/>
            </w:pPr>
            <w:r>
              <w:t>No explanation as to how different TLV-TWA concentrations for elemental, inorganic mercury compounds and aryl mercury compounds were derived</w:t>
            </w:r>
            <w:r w:rsidR="00E53D7A">
              <w:t>.</w:t>
            </w:r>
          </w:p>
          <w:p w14:paraId="332FD388" w14:textId="6B9A9AEB" w:rsidR="00A538BF" w:rsidRPr="00DA352E" w:rsidRDefault="00A538BF" w:rsidP="00A538BF">
            <w:pPr>
              <w:pStyle w:val="Tabletextprimarysource"/>
            </w:pPr>
          </w:p>
        </w:tc>
      </w:tr>
      <w:tr w:rsidR="00C978F0" w:rsidRPr="00DA352E" w14:paraId="24B88090" w14:textId="77777777" w:rsidTr="0035751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22D08D4" w14:textId="3AC15EBC" w:rsidR="00922A17" w:rsidRPr="00DA352E" w:rsidRDefault="00DA352E" w:rsidP="00922A1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  <w:tab w:val="left" w:pos="3600"/>
                <w:tab w:val="left" w:pos="4875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D7F3F">
                  <w:t>201</w:t>
                </w:r>
                <w:r w:rsidR="006F3CC7">
                  <w:t>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B019A">
                  <w:t>MAK</w:t>
                </w:r>
                <w:r w:rsidR="008B019A" w:rsidRPr="008B019A">
                  <w:t xml:space="preserve">: </w:t>
                </w:r>
                <w:r w:rsidR="008B019A">
                  <w:t>0.02</w:t>
                </w:r>
                <w:r w:rsidR="008B019A" w:rsidRPr="008B019A">
                  <w:t xml:space="preserve"> mg/m</w:t>
                </w:r>
                <w:r w:rsidR="008B019A" w:rsidRPr="008B019A">
                  <w:rPr>
                    <w:vertAlign w:val="superscript"/>
                  </w:rPr>
                  <w:t>3</w:t>
                </w:r>
                <w:r w:rsidR="008B019A" w:rsidRPr="008B019A">
                  <w:t xml:space="preserve"> as Hg (Elemental and inorganic forms)      </w:t>
                </w:r>
                <w:r w:rsidR="008B019A" w:rsidRPr="008B019A">
                  <w:tab/>
                </w:r>
                <w:r w:rsidR="008B019A">
                  <w:t>2001</w:t>
                </w:r>
                <w:r w:rsidR="008B019A" w:rsidRPr="008B019A">
                  <w:tab/>
                </w:r>
                <w:r w:rsidR="008B019A" w:rsidRPr="008B019A">
                  <w:tab/>
                </w:r>
                <w:r w:rsidR="008B019A">
                  <w:t xml:space="preserve">Not assigned </w:t>
                </w:r>
                <w:r w:rsidR="008B019A" w:rsidRPr="008B019A">
                  <w:t>as Hg (Aryl Compounds)</w:t>
                </w:r>
              </w:sdtContent>
            </w:sdt>
            <w:r w:rsidR="00922A17">
              <w:tab/>
            </w:r>
          </w:p>
        </w:tc>
      </w:tr>
      <w:tr w:rsidR="00C978F0" w:rsidRPr="00DA352E" w14:paraId="1B905F03" w14:textId="77777777" w:rsidTr="00357512">
        <w:trPr>
          <w:gridAfter w:val="1"/>
          <w:wAfter w:w="8" w:type="pct"/>
        </w:trPr>
        <w:tc>
          <w:tcPr>
            <w:tcW w:w="4992" w:type="pct"/>
          </w:tcPr>
          <w:p w14:paraId="497B4106" w14:textId="2757A5B9" w:rsidR="00C978F0" w:rsidRDefault="000E7B1D" w:rsidP="003365A5">
            <w:pPr>
              <w:pStyle w:val="Tabletextprimarysource"/>
            </w:pPr>
            <w:r>
              <w:t>MAK recommended to protect for effects on the kidneys and the nervous system in exposed workers.</w:t>
            </w:r>
          </w:p>
          <w:p w14:paraId="687D7A3A" w14:textId="68765A38" w:rsidR="003A267E" w:rsidRDefault="003A267E" w:rsidP="003365A5">
            <w:pPr>
              <w:pStyle w:val="Tabletextprimarysource"/>
            </w:pPr>
            <w:r>
              <w:t xml:space="preserve">Elemental and inorganic </w:t>
            </w:r>
            <w:r w:rsidR="00E36B2A">
              <w:t xml:space="preserve">Hg </w:t>
            </w:r>
            <w:r>
              <w:t>compounds.</w:t>
            </w:r>
          </w:p>
          <w:p w14:paraId="73C554AD" w14:textId="3EDBD76C" w:rsidR="00B26B5D" w:rsidRDefault="00107764" w:rsidP="003365A5">
            <w:pPr>
              <w:pStyle w:val="Tabletextprimarysource"/>
            </w:pPr>
            <w:r>
              <w:t>No evidence provided regarding aryl compounds</w:t>
            </w:r>
          </w:p>
          <w:p w14:paraId="7C6DDFB6" w14:textId="77777777" w:rsidR="000E7B1D" w:rsidRDefault="000E7B1D" w:rsidP="003365A5">
            <w:pPr>
              <w:pStyle w:val="Tabletextprimarysource"/>
            </w:pPr>
            <w:r>
              <w:t>Summary of additional data:</w:t>
            </w:r>
          </w:p>
          <w:p w14:paraId="3FDC57C1" w14:textId="248B8F85" w:rsidR="000E7B1D" w:rsidRDefault="000C0636" w:rsidP="00BF4005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hanging="357"/>
              <w:contextualSpacing w:val="0"/>
            </w:pPr>
            <w:r w:rsidRPr="000C0636">
              <w:t xml:space="preserve">Studies with volunteers </w:t>
            </w:r>
            <w:r w:rsidR="00E53D7A">
              <w:t xml:space="preserve">indicates </w:t>
            </w:r>
            <w:r w:rsidRPr="000C0636">
              <w:t>absorbed through the skin from vapour phase</w:t>
            </w:r>
          </w:p>
          <w:p w14:paraId="193181B6" w14:textId="51AADE08" w:rsidR="000C0636" w:rsidRDefault="000C0636" w:rsidP="00BF4005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hanging="357"/>
              <w:contextualSpacing w:val="0"/>
            </w:pPr>
            <w:r>
              <w:t xml:space="preserve">Exposure of rats, rabbits and dogs </w:t>
            </w:r>
            <w:r w:rsidR="00E36B2A">
              <w:t>at</w:t>
            </w:r>
            <w:r>
              <w:t xml:space="preserve"> 0.1 mg/</w:t>
            </w:r>
            <w:r w:rsidRPr="000C0636">
              <w:t>m</w:t>
            </w:r>
            <w:r w:rsidRPr="00CE3D01">
              <w:rPr>
                <w:vertAlign w:val="superscript"/>
              </w:rPr>
              <w:t>3</w:t>
            </w:r>
            <w:r w:rsidR="00CE3D01" w:rsidRPr="006F5F76">
              <w:t xml:space="preserve"> </w:t>
            </w:r>
            <w:r w:rsidR="00B93CA8" w:rsidRPr="006F5F76">
              <w:t>(</w:t>
            </w:r>
            <w:r w:rsidR="00B93CA8">
              <w:t xml:space="preserve">Hg </w:t>
            </w:r>
            <w:r w:rsidR="00CE3D01">
              <w:t>vapour</w:t>
            </w:r>
            <w:r w:rsidR="00B93CA8">
              <w:t>)</w:t>
            </w:r>
            <w:r>
              <w:t xml:space="preserve"> </w:t>
            </w:r>
            <w:r w:rsidR="00E36B2A">
              <w:t>(</w:t>
            </w:r>
            <w:r w:rsidRPr="000C0636">
              <w:t>7</w:t>
            </w:r>
            <w:r>
              <w:t xml:space="preserve"> h/d, 5 d/wk</w:t>
            </w:r>
            <w:r w:rsidR="00724672">
              <w:t xml:space="preserve"> for up to 83</w:t>
            </w:r>
            <w:r w:rsidR="00B93CA8">
              <w:t> </w:t>
            </w:r>
            <w:r w:rsidR="00724672">
              <w:t xml:space="preserve">wk); no </w:t>
            </w:r>
            <w:r>
              <w:t>histological changes in brain, kidneys, liver or lungs</w:t>
            </w:r>
          </w:p>
          <w:p w14:paraId="5706BCF8" w14:textId="6ACD4E00" w:rsidR="00724672" w:rsidRDefault="00724672" w:rsidP="00BF4005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hanging="357"/>
              <w:contextualSpacing w:val="0"/>
            </w:pPr>
            <w:r>
              <w:t>NOEL 5 mg/kg in female mice, 2.5 mg/kg in male mice</w:t>
            </w:r>
            <w:r w:rsidR="00CE3D01">
              <w:t>; mercury(II) chloride</w:t>
            </w:r>
            <w:r>
              <w:t>; kidney damage; sub</w:t>
            </w:r>
            <w:r w:rsidR="00B93CA8">
              <w:t>-</w:t>
            </w:r>
            <w:r>
              <w:t>chronic or chronic oral study (no further information)</w:t>
            </w:r>
          </w:p>
          <w:p w14:paraId="4FAC383F" w14:textId="0D929BD7" w:rsidR="00434899" w:rsidRDefault="00434899" w:rsidP="00BF4005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hanging="357"/>
              <w:contextualSpacing w:val="0"/>
            </w:pPr>
            <w:r>
              <w:t xml:space="preserve">Pregnant rats exposed for 2 h/d </w:t>
            </w:r>
            <w:r w:rsidR="00E36B2A">
              <w:t>GD</w:t>
            </w:r>
            <w:r>
              <w:t xml:space="preserve"> 6</w:t>
            </w:r>
            <w:r w:rsidR="00057B8C">
              <w:t>–</w:t>
            </w:r>
            <w:r>
              <w:t>15:</w:t>
            </w:r>
          </w:p>
          <w:p w14:paraId="4D250269" w14:textId="12C34B6E" w:rsidR="00434899" w:rsidRDefault="00B74F6B" w:rsidP="00BF4005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m</w:t>
            </w:r>
            <w:r w:rsidR="00D530B6">
              <w:t>aternal NOAEC 2 mg/m</w:t>
            </w:r>
            <w:r w:rsidR="00D530B6">
              <w:rPr>
                <w:vertAlign w:val="superscript"/>
              </w:rPr>
              <w:t>3</w:t>
            </w:r>
            <w:r w:rsidR="00912D49">
              <w:t xml:space="preserve"> </w:t>
            </w:r>
            <w:r w:rsidR="00B93CA8">
              <w:t xml:space="preserve">(Hg </w:t>
            </w:r>
            <w:r w:rsidR="00912D49">
              <w:t>vapour</w:t>
            </w:r>
            <w:r w:rsidR="00B93CA8">
              <w:t>)</w:t>
            </w:r>
            <w:r w:rsidR="00912D49">
              <w:t xml:space="preserve"> </w:t>
            </w:r>
          </w:p>
          <w:p w14:paraId="38E2C556" w14:textId="2314B4D8" w:rsidR="00434899" w:rsidRDefault="00B74F6B" w:rsidP="00BF4005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o</w:t>
            </w:r>
            <w:r w:rsidR="00434899">
              <w:t>ffspring NOAEC 4 mg/m</w:t>
            </w:r>
            <w:r w:rsidR="00434899">
              <w:rPr>
                <w:vertAlign w:val="superscript"/>
              </w:rPr>
              <w:t>3</w:t>
            </w:r>
            <w:r w:rsidR="00434899">
              <w:t xml:space="preserve"> </w:t>
            </w:r>
            <w:r w:rsidR="00B93CA8">
              <w:t>(</w:t>
            </w:r>
            <w:r w:rsidR="00434899">
              <w:t>brain, liver</w:t>
            </w:r>
            <w:r w:rsidR="00E36B2A">
              <w:t>,</w:t>
            </w:r>
            <w:r w:rsidR="00434899">
              <w:t xml:space="preserve"> kidney</w:t>
            </w:r>
            <w:r w:rsidR="00B93CA8">
              <w:t xml:space="preserve"> effects)</w:t>
            </w:r>
          </w:p>
          <w:p w14:paraId="074667CB" w14:textId="50407CC7" w:rsidR="00D530B6" w:rsidRDefault="00434899" w:rsidP="00BF4005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 xml:space="preserve">number of resorptions was increased </w:t>
            </w:r>
            <w:r w:rsidR="00B93CA8">
              <w:t>at 8 mg/m</w:t>
            </w:r>
            <w:r w:rsidR="00B93CA8">
              <w:rPr>
                <w:vertAlign w:val="superscript"/>
              </w:rPr>
              <w:t xml:space="preserve">3 </w:t>
            </w:r>
            <w:r>
              <w:t xml:space="preserve">on </w:t>
            </w:r>
            <w:r w:rsidR="00E36B2A">
              <w:t>GD</w:t>
            </w:r>
            <w:r>
              <w:t xml:space="preserve"> 15, litter size and weight at birth of the offspring were decreased</w:t>
            </w:r>
          </w:p>
          <w:p w14:paraId="0787B9E2" w14:textId="3D47801C" w:rsidR="00CE3D01" w:rsidRDefault="00D1075D" w:rsidP="00BF4005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t xml:space="preserve">Embryotoxicity or foetal toxicity of </w:t>
            </w:r>
            <w:r w:rsidR="00E53D7A">
              <w:t xml:space="preserve">Hg </w:t>
            </w:r>
            <w:r>
              <w:t>vapour increases with exposure duration</w:t>
            </w:r>
            <w:r w:rsidR="00D44C46">
              <w:t xml:space="preserve"> </w:t>
            </w:r>
          </w:p>
          <w:p w14:paraId="1336DA8C" w14:textId="708C5414" w:rsidR="00B74F6B" w:rsidRDefault="00B74F6B" w:rsidP="00BF4005">
            <w:pPr>
              <w:pStyle w:val="ListBullet"/>
              <w:numPr>
                <w:ilvl w:val="0"/>
                <w:numId w:val="11"/>
              </w:numPr>
              <w:spacing w:before="60" w:after="60"/>
              <w:ind w:left="714" w:hanging="357"/>
              <w:contextualSpacing w:val="0"/>
            </w:pPr>
            <w:r>
              <w:t>Human case studies on skin sensitisation indicate positive responses:</w:t>
            </w:r>
          </w:p>
          <w:p w14:paraId="52827C93" w14:textId="7A88657C" w:rsidR="00B74F6B" w:rsidRDefault="00B74F6B" w:rsidP="00BF4005">
            <w:pPr>
              <w:pStyle w:val="ListBullet"/>
              <w:numPr>
                <w:ilvl w:val="0"/>
                <w:numId w:val="1"/>
              </w:numPr>
              <w:spacing w:before="60" w:after="60"/>
              <w:ind w:left="1094" w:hanging="357"/>
              <w:contextualSpacing w:val="0"/>
            </w:pPr>
            <w:r w:rsidRPr="00B74F6B">
              <w:t>mercuric amidochloride</w:t>
            </w:r>
            <w:r w:rsidR="00601BA8">
              <w:t xml:space="preserve"> (concentration not reported); </w:t>
            </w:r>
            <w:r>
              <w:t>3% of patients (n=8</w:t>
            </w:r>
            <w:r w:rsidR="00601BA8">
              <w:t>,</w:t>
            </w:r>
            <w:r>
              <w:t>743)</w:t>
            </w:r>
          </w:p>
          <w:p w14:paraId="29DF879E" w14:textId="54FFB715" w:rsidR="00B74F6B" w:rsidRDefault="00B74F6B" w:rsidP="00BF4005">
            <w:pPr>
              <w:pStyle w:val="ListBullet"/>
              <w:numPr>
                <w:ilvl w:val="0"/>
                <w:numId w:val="1"/>
              </w:numPr>
              <w:spacing w:before="60" w:after="60"/>
              <w:ind w:left="1094" w:hanging="357"/>
              <w:contextualSpacing w:val="0"/>
            </w:pPr>
            <w:r w:rsidRPr="00B74F6B">
              <w:t>mercuric amidochloride</w:t>
            </w:r>
            <w:r w:rsidR="00601BA8">
              <w:t xml:space="preserve"> </w:t>
            </w:r>
            <w:r w:rsidR="003E7F21">
              <w:t>solution</w:t>
            </w:r>
            <w:r w:rsidR="001C0710">
              <w:t xml:space="preserve"> (1%)</w:t>
            </w:r>
            <w:r w:rsidR="003E7F21">
              <w:t>; 2.5</w:t>
            </w:r>
            <w:r w:rsidR="00601BA8">
              <w:t>% (n=35,082)</w:t>
            </w:r>
          </w:p>
          <w:p w14:paraId="14B5BA78" w14:textId="4159C313" w:rsidR="00601BA8" w:rsidRDefault="00601BA8" w:rsidP="00BF4005">
            <w:pPr>
              <w:pStyle w:val="ListBullet"/>
              <w:numPr>
                <w:ilvl w:val="0"/>
                <w:numId w:val="1"/>
              </w:numPr>
              <w:spacing w:before="60" w:after="60"/>
              <w:ind w:left="1094" w:hanging="357"/>
              <w:contextualSpacing w:val="0"/>
            </w:pPr>
            <w:r>
              <w:t>Hg in petroleum</w:t>
            </w:r>
            <w:r w:rsidR="001C0710">
              <w:t xml:space="preserve"> (0.5%)</w:t>
            </w:r>
            <w:r>
              <w:t>; 8.9% (n=2,766)</w:t>
            </w:r>
          </w:p>
          <w:p w14:paraId="36C5E369" w14:textId="17563533" w:rsidR="00811572" w:rsidRDefault="00811572" w:rsidP="00BF4005">
            <w:pPr>
              <w:pStyle w:val="ListNumber"/>
              <w:numPr>
                <w:ilvl w:val="0"/>
                <w:numId w:val="12"/>
              </w:numPr>
              <w:spacing w:before="60" w:after="60"/>
              <w:ind w:left="714" w:hanging="357"/>
              <w:contextualSpacing w:val="0"/>
            </w:pPr>
            <w:r>
              <w:t xml:space="preserve">MAK based on correlation to </w:t>
            </w:r>
            <w:r w:rsidR="00D453FA">
              <w:t>Biological Tolerance Value</w:t>
            </w:r>
            <w:r w:rsidR="009979D2">
              <w:t xml:space="preserve"> </w:t>
            </w:r>
            <w:r>
              <w:t>and inner burden</w:t>
            </w:r>
            <w:r w:rsidR="00D44C46">
              <w:t xml:space="preserve">; 25 </w:t>
            </w:r>
            <w:r w:rsidR="00D44C46">
              <w:rPr>
                <w:rFonts w:cs="Arial"/>
              </w:rPr>
              <w:t>µ</w:t>
            </w:r>
            <w:r w:rsidR="00D44C46">
              <w:t>g/g creatinine in humans; no nephrotoxic or clinically relevant neurotoxic effect is to be expected</w:t>
            </w:r>
          </w:p>
          <w:p w14:paraId="6470E116" w14:textId="77777777" w:rsidR="002D5BAA" w:rsidRDefault="00D44C46" w:rsidP="00BF4005">
            <w:pPr>
              <w:pStyle w:val="ListNumber"/>
              <w:numPr>
                <w:ilvl w:val="0"/>
                <w:numId w:val="12"/>
              </w:numPr>
              <w:spacing w:before="60" w:after="60"/>
              <w:ind w:left="714" w:hanging="357"/>
              <w:contextualSpacing w:val="0"/>
            </w:pPr>
            <w:r>
              <w:lastRenderedPageBreak/>
              <w:t>C</w:t>
            </w:r>
            <w:r w:rsidRPr="00D44C46">
              <w:t xml:space="preserve">lastogenic </w:t>
            </w:r>
            <w:r w:rsidRPr="00D44C46">
              <w:rPr>
                <w:i/>
              </w:rPr>
              <w:t>in vitro</w:t>
            </w:r>
            <w:r>
              <w:t xml:space="preserve">; confirmed in one animal study; genotoxic dose level obtained in animal studies </w:t>
            </w:r>
            <w:r w:rsidR="00E53D7A">
              <w:t>&gt;</w:t>
            </w:r>
            <w:r>
              <w:t>2 mg/kg</w:t>
            </w:r>
            <w:r w:rsidR="00E53D7A">
              <w:t>.</w:t>
            </w:r>
          </w:p>
          <w:p w14:paraId="5528DC18" w14:textId="2F5ED728" w:rsidR="00811572" w:rsidRPr="00DA352E" w:rsidRDefault="008B019A" w:rsidP="00BF4005">
            <w:pPr>
              <w:pStyle w:val="ListNumber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 xml:space="preserve"> </w:t>
            </w:r>
          </w:p>
        </w:tc>
      </w:tr>
      <w:tr w:rsidR="00C978F0" w:rsidRPr="00DA352E" w14:paraId="7D55D97E" w14:textId="77777777" w:rsidTr="0035751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C99A4D9" w14:textId="5936A36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753C4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rPr>
                  <w:highlight w:val="yellow"/>
                </w:r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7753C4" w:rsidRPr="00DD7F3F">
                  <w:t>TWA: 0.02 mg/m</w:t>
                </w:r>
                <w:r w:rsidR="007753C4" w:rsidRPr="00DD7F3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06216CE" w14:textId="77777777" w:rsidTr="00357512">
        <w:trPr>
          <w:gridAfter w:val="1"/>
          <w:wAfter w:w="8" w:type="pct"/>
        </w:trPr>
        <w:tc>
          <w:tcPr>
            <w:tcW w:w="4992" w:type="pct"/>
          </w:tcPr>
          <w:p w14:paraId="3E60FF1D" w14:textId="4CC7A044" w:rsidR="00C978F0" w:rsidRDefault="007F4468" w:rsidP="003365A5">
            <w:pPr>
              <w:pStyle w:val="Tabletextprimarysource"/>
            </w:pPr>
            <w:r>
              <w:t>TWA recommended to protect for systemic and developmental effects in exposed workers.</w:t>
            </w:r>
          </w:p>
          <w:p w14:paraId="3B55062A" w14:textId="381EEF23" w:rsidR="007F4468" w:rsidRDefault="007F4468" w:rsidP="003365A5">
            <w:pPr>
              <w:pStyle w:val="Tabletextprimarysource"/>
            </w:pPr>
            <w:r>
              <w:t>Summary of additional information</w:t>
            </w:r>
          </w:p>
          <w:p w14:paraId="7674E127" w14:textId="08EC96DD" w:rsidR="007F4468" w:rsidRDefault="007F4468" w:rsidP="00BF4005">
            <w:pPr>
              <w:pStyle w:val="ListBullet"/>
              <w:numPr>
                <w:ilvl w:val="0"/>
                <w:numId w:val="13"/>
              </w:numPr>
              <w:spacing w:before="60" w:after="60"/>
              <w:ind w:left="714" w:hanging="357"/>
              <w:contextualSpacing w:val="0"/>
            </w:pPr>
            <w:r>
              <w:t xml:space="preserve">TWA for elemental </w:t>
            </w:r>
            <w:r w:rsidR="003E7F21">
              <w:t>Hg</w:t>
            </w:r>
            <w:r>
              <w:t xml:space="preserve"> and its inorganic divalent compounds; does not include inorganic monovalent compounds or organic mercury compounds</w:t>
            </w:r>
          </w:p>
          <w:p w14:paraId="2F6736EB" w14:textId="2D0FCBBD" w:rsidR="007F4468" w:rsidRDefault="007F4468" w:rsidP="00BF4005">
            <w:pPr>
              <w:pStyle w:val="ListBullet"/>
              <w:numPr>
                <w:ilvl w:val="0"/>
                <w:numId w:val="13"/>
              </w:numPr>
              <w:spacing w:before="60" w:after="60"/>
              <w:ind w:left="714" w:hanging="357"/>
              <w:contextualSpacing w:val="0"/>
            </w:pPr>
            <w:r>
              <w:t xml:space="preserve">Common OEL derived for elemental and divalent inorganic </w:t>
            </w:r>
            <w:r w:rsidR="00E36B2A">
              <w:t>Hg</w:t>
            </w:r>
            <w:r>
              <w:t>, based on the interchangeability of individual chemical forms</w:t>
            </w:r>
          </w:p>
          <w:p w14:paraId="74DD99A8" w14:textId="1FB5BFEE" w:rsidR="007F4468" w:rsidRDefault="007F4468" w:rsidP="00BF4005">
            <w:pPr>
              <w:pStyle w:val="ListBullet"/>
              <w:numPr>
                <w:ilvl w:val="0"/>
                <w:numId w:val="13"/>
              </w:numPr>
              <w:spacing w:before="60" w:after="60"/>
              <w:ind w:left="714" w:hanging="357"/>
              <w:contextualSpacing w:val="0"/>
            </w:pPr>
            <w:r>
              <w:t>A critical level of 30 µg</w:t>
            </w:r>
            <w:r w:rsidRPr="007F4468">
              <w:t>/g creatinine can be recommended to avoid possible</w:t>
            </w:r>
            <w:r>
              <w:t xml:space="preserve"> neurobehavioural effects</w:t>
            </w:r>
            <w:r w:rsidR="009B3B3E">
              <w:t xml:space="preserve">; </w:t>
            </w:r>
          </w:p>
          <w:p w14:paraId="66ACA7EE" w14:textId="65B025D3" w:rsidR="007F4468" w:rsidRDefault="007F4468" w:rsidP="00BF4005">
            <w:pPr>
              <w:pStyle w:val="ListBullet"/>
              <w:numPr>
                <w:ilvl w:val="0"/>
                <w:numId w:val="13"/>
              </w:numPr>
              <w:spacing w:before="60" w:after="60"/>
              <w:ind w:left="714" w:hanging="357"/>
              <w:contextualSpacing w:val="0"/>
            </w:pPr>
            <w:r>
              <w:t xml:space="preserve">35 </w:t>
            </w:r>
            <w:r>
              <w:rPr>
                <w:rFonts w:cs="Arial"/>
              </w:rPr>
              <w:t>µ</w:t>
            </w:r>
            <w:r>
              <w:t>g/g creatinine predicted</w:t>
            </w:r>
            <w:r w:rsidR="00E53D7A">
              <w:t xml:space="preserve"> as</w:t>
            </w:r>
            <w:r>
              <w:t xml:space="preserve"> </w:t>
            </w:r>
            <w:r w:rsidR="00E53D7A">
              <w:rPr>
                <w:rFonts w:cs="Arial"/>
              </w:rPr>
              <w:t>≡</w:t>
            </w:r>
            <w:r>
              <w:t xml:space="preserve">25 </w:t>
            </w:r>
            <w:r>
              <w:rPr>
                <w:rFonts w:cs="Arial"/>
              </w:rPr>
              <w:t>µ</w:t>
            </w:r>
            <w:r>
              <w:t>g/m</w:t>
            </w:r>
            <w:r>
              <w:rPr>
                <w:vertAlign w:val="superscript"/>
              </w:rPr>
              <w:t>3</w:t>
            </w:r>
            <w:r w:rsidR="009B3B3E">
              <w:t>; using mean value for extrapolating from urinary mercury of 0.7</w:t>
            </w:r>
            <w:r w:rsidR="00034626">
              <w:t xml:space="preserve"> µg/m</w:t>
            </w:r>
            <w:r w:rsidR="00034626" w:rsidRPr="009B3B3E">
              <w:rPr>
                <w:vertAlign w:val="superscript"/>
              </w:rPr>
              <w:t>3</w:t>
            </w:r>
          </w:p>
          <w:p w14:paraId="72B5C94C" w14:textId="7A4DC880" w:rsidR="009B3B3E" w:rsidRDefault="002B4013" w:rsidP="00BF4005">
            <w:pPr>
              <w:pStyle w:val="ListBullet"/>
              <w:numPr>
                <w:ilvl w:val="0"/>
                <w:numId w:val="13"/>
              </w:numPr>
              <w:spacing w:before="60" w:after="60"/>
              <w:ind w:left="714" w:hanging="357"/>
              <w:contextualSpacing w:val="0"/>
            </w:pPr>
            <w:r>
              <w:t>Repeated i</w:t>
            </w:r>
            <w:r w:rsidR="009B3B3E">
              <w:t>nhalation</w:t>
            </w:r>
            <w:r>
              <w:t xml:space="preserve"> exposure of animals to elemental </w:t>
            </w:r>
            <w:r w:rsidR="00E36B2A">
              <w:t xml:space="preserve">Hg </w:t>
            </w:r>
            <w:r>
              <w:t xml:space="preserve">vapour; </w:t>
            </w:r>
            <w:r w:rsidR="009B3B3E">
              <w:t xml:space="preserve">kidney and </w:t>
            </w:r>
            <w:r w:rsidR="00E53D7A">
              <w:t>CNS</w:t>
            </w:r>
            <w:r>
              <w:t xml:space="preserve"> toxicity;</w:t>
            </w:r>
            <w:r w:rsidR="009B3B3E">
              <w:t xml:space="preserve"> rabbits at 0.86 mg/m</w:t>
            </w:r>
            <w:r w:rsidR="009B3B3E" w:rsidRPr="002B4013">
              <w:rPr>
                <w:vertAlign w:val="superscript"/>
              </w:rPr>
              <w:t>3</w:t>
            </w:r>
            <w:r>
              <w:t xml:space="preserve">; </w:t>
            </w:r>
            <w:r w:rsidR="009B3B3E">
              <w:t>rats at 3 mg/m</w:t>
            </w:r>
            <w:r w:rsidR="009B3B3E" w:rsidRPr="002B4013">
              <w:rPr>
                <w:vertAlign w:val="superscript"/>
              </w:rPr>
              <w:t>3</w:t>
            </w:r>
            <w:r>
              <w:t>; 1 study</w:t>
            </w:r>
            <w:r w:rsidR="009B3B3E">
              <w:t xml:space="preserve"> </w:t>
            </w:r>
            <w:r w:rsidR="00034626">
              <w:t xml:space="preserve">reported </w:t>
            </w:r>
            <w:r>
              <w:t>NOAE</w:t>
            </w:r>
            <w:r w:rsidR="00E36B2A">
              <w:t>C</w:t>
            </w:r>
            <w:r>
              <w:t xml:space="preserve"> </w:t>
            </w:r>
            <w:r w:rsidR="009B3B3E">
              <w:t>in several species at 0.</w:t>
            </w:r>
            <w:r w:rsidR="00E36B2A">
              <w:t>1 </w:t>
            </w:r>
            <w:r w:rsidR="009B3B3E">
              <w:t>mg/m</w:t>
            </w:r>
            <w:r w:rsidR="009B3B3E" w:rsidRPr="002B4013">
              <w:rPr>
                <w:vertAlign w:val="superscript"/>
              </w:rPr>
              <w:t>3</w:t>
            </w:r>
          </w:p>
          <w:p w14:paraId="5FDAF786" w14:textId="1187A39C" w:rsidR="003A267E" w:rsidRDefault="003A267E" w:rsidP="00BF4005">
            <w:pPr>
              <w:pStyle w:val="ListBullet"/>
              <w:numPr>
                <w:ilvl w:val="0"/>
                <w:numId w:val="13"/>
              </w:numPr>
              <w:spacing w:before="60" w:after="60"/>
              <w:ind w:left="714" w:hanging="357"/>
              <w:contextualSpacing w:val="0"/>
            </w:pPr>
            <w:r w:rsidRPr="003A267E">
              <w:t>No TWA or report for</w:t>
            </w:r>
            <w:r w:rsidR="00C112CA">
              <w:t xml:space="preserve"> inorganic monovalent compounds or organic </w:t>
            </w:r>
            <w:r w:rsidR="00E36B2A">
              <w:t xml:space="preserve">Hg </w:t>
            </w:r>
            <w:r w:rsidR="00C112CA">
              <w:t>compounds</w:t>
            </w:r>
            <w:r w:rsidR="00E53D7A">
              <w:t>.</w:t>
            </w:r>
          </w:p>
          <w:p w14:paraId="6185AD9C" w14:textId="0CC7963A" w:rsidR="002D5BAA" w:rsidRPr="00DA352E" w:rsidRDefault="002D5BAA" w:rsidP="00BF4005">
            <w:pPr>
              <w:pStyle w:val="ListBullet"/>
              <w:spacing w:before="60" w:after="60"/>
              <w:contextualSpacing w:val="0"/>
            </w:pPr>
          </w:p>
        </w:tc>
      </w:tr>
      <w:tr w:rsidR="00DA352E" w:rsidRPr="00DA352E" w14:paraId="7D14C8EA" w14:textId="77777777" w:rsidTr="0035751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11D49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C2C9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6C2C93">
                  <w:t>NA</w:t>
                </w:r>
              </w:sdtContent>
            </w:sdt>
          </w:p>
        </w:tc>
      </w:tr>
      <w:tr w:rsidR="00DA352E" w:rsidRPr="00DA352E" w14:paraId="63C4F5E2" w14:textId="77777777" w:rsidTr="00357512">
        <w:trPr>
          <w:gridAfter w:val="1"/>
          <w:wAfter w:w="8" w:type="pct"/>
        </w:trPr>
        <w:tc>
          <w:tcPr>
            <w:tcW w:w="4992" w:type="pct"/>
          </w:tcPr>
          <w:p w14:paraId="216CBE15" w14:textId="68FEB212" w:rsidR="00DA352E" w:rsidRPr="00DA352E" w:rsidRDefault="006C2C93" w:rsidP="003365A5">
            <w:pPr>
              <w:pStyle w:val="Tabletextprimarysource"/>
            </w:pPr>
            <w:r>
              <w:t>No report</w:t>
            </w:r>
            <w:r w:rsidR="00F97050">
              <w:t>.</w:t>
            </w:r>
          </w:p>
        </w:tc>
      </w:tr>
      <w:tr w:rsidR="00DA352E" w:rsidRPr="00DA352E" w14:paraId="73E166D5" w14:textId="77777777" w:rsidTr="0035751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619B92B" w14:textId="0AE2D61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066C1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066C1">
                  <w:t>Not assigned</w:t>
                </w:r>
              </w:sdtContent>
            </w:sdt>
          </w:p>
        </w:tc>
      </w:tr>
      <w:tr w:rsidR="00DA352E" w:rsidRPr="00DA352E" w14:paraId="21B210EB" w14:textId="77777777" w:rsidTr="00357512">
        <w:trPr>
          <w:gridAfter w:val="1"/>
          <w:wAfter w:w="8" w:type="pct"/>
        </w:trPr>
        <w:tc>
          <w:tcPr>
            <w:tcW w:w="4992" w:type="pct"/>
          </w:tcPr>
          <w:p w14:paraId="2932ECC5" w14:textId="083676CC" w:rsidR="00DA352E" w:rsidRPr="00DA352E" w:rsidRDefault="006C2C93" w:rsidP="003365A5">
            <w:pPr>
              <w:pStyle w:val="Tabletextprimarysource"/>
            </w:pPr>
            <w:r>
              <w:t>Not assigned</w:t>
            </w:r>
            <w:r w:rsidR="00F97050">
              <w:t>.</w:t>
            </w:r>
          </w:p>
        </w:tc>
      </w:tr>
    </w:tbl>
    <w:p w14:paraId="473FC88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8"/>
        <w:gridCol w:w="423"/>
        <w:gridCol w:w="661"/>
        <w:gridCol w:w="6454"/>
      </w:tblGrid>
      <w:tr w:rsidR="004966BF" w:rsidRPr="00263255" w14:paraId="7A2B1FC6" w14:textId="77777777" w:rsidTr="0084167A">
        <w:trPr>
          <w:cantSplit/>
          <w:trHeight w:val="393"/>
          <w:tblHeader/>
        </w:trPr>
        <w:tc>
          <w:tcPr>
            <w:tcW w:w="1488" w:type="dxa"/>
            <w:shd w:val="clear" w:color="auto" w:fill="BFBFBF" w:themeFill="background1" w:themeFillShade="BF"/>
            <w:vAlign w:val="center"/>
          </w:tcPr>
          <w:p w14:paraId="74FDF0D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D0D283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CCDBEF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4C231D6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C079ED" w:rsidRPr="004C23F4" w14:paraId="7FE77CD5" w14:textId="77777777" w:rsidTr="0084167A">
        <w:trPr>
          <w:cantSplit/>
        </w:trPr>
        <w:tc>
          <w:tcPr>
            <w:tcW w:w="1488" w:type="dxa"/>
          </w:tcPr>
          <w:p w14:paraId="54BC97CC" w14:textId="4EAAD1CE" w:rsidR="00C079ED" w:rsidRDefault="00AA6B87" w:rsidP="00224EE2">
            <w:pPr>
              <w:pStyle w:val="Tablefont"/>
            </w:pPr>
            <w:r>
              <w:t>EC</w:t>
            </w:r>
            <w:r w:rsidR="00C079ED">
              <w:t>H</w:t>
            </w:r>
            <w:r>
              <w:t>A</w:t>
            </w:r>
          </w:p>
        </w:tc>
        <w:tc>
          <w:tcPr>
            <w:tcW w:w="423" w:type="dxa"/>
          </w:tcPr>
          <w:p w14:paraId="62184958" w14:textId="093A146D" w:rsidR="00C079ED" w:rsidRDefault="00FE279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326364397"/>
                <w:placeholder>
                  <w:docPart w:val="EEED44B4CFFF46EFBA470E2A62C29AB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079E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8C2A5CF" w14:textId="5BE43302" w:rsidR="00C079ED" w:rsidRDefault="00C079E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54" w:type="dxa"/>
          </w:tcPr>
          <w:p w14:paraId="685955C4" w14:textId="77777777" w:rsidR="00C079ED" w:rsidRDefault="00C079ED" w:rsidP="00BF4005">
            <w:pPr>
              <w:pStyle w:val="ListBullet"/>
              <w:numPr>
                <w:ilvl w:val="0"/>
                <w:numId w:val="14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E</w:t>
            </w:r>
            <w:r w:rsidRPr="00C079ED">
              <w:rPr>
                <w:rStyle w:val="checkbox"/>
                <w:rFonts w:ascii="Arial" w:hAnsi="Arial" w:cs="Arial"/>
              </w:rPr>
              <w:t>vidence of a car</w:t>
            </w:r>
            <w:r>
              <w:rPr>
                <w:rStyle w:val="checkbox"/>
                <w:rFonts w:ascii="Arial" w:hAnsi="Arial" w:cs="Arial"/>
              </w:rPr>
              <w:t xml:space="preserve">cinogenic activity in male mice; </w:t>
            </w:r>
            <w:r w:rsidRPr="00C079ED">
              <w:rPr>
                <w:rStyle w:val="checkbox"/>
                <w:rFonts w:ascii="Arial" w:hAnsi="Arial" w:cs="Arial"/>
              </w:rPr>
              <w:t>occurrence of two renal tubule adenomas and one renal tubule adenocarcinomas</w:t>
            </w:r>
            <w:r>
              <w:rPr>
                <w:rStyle w:val="checkbox"/>
                <w:rFonts w:ascii="Arial" w:hAnsi="Arial" w:cs="Arial"/>
              </w:rPr>
              <w:t>;</w:t>
            </w:r>
            <w:r w:rsidRPr="00C079ED">
              <w:rPr>
                <w:rStyle w:val="checkbox"/>
                <w:rFonts w:ascii="Arial" w:hAnsi="Arial" w:cs="Arial"/>
              </w:rPr>
              <w:t xml:space="preserve"> no evidence of a carcinogenic activity in female mice</w:t>
            </w:r>
          </w:p>
          <w:p w14:paraId="3E5FE52B" w14:textId="01914115" w:rsidR="00C079ED" w:rsidRDefault="00C079ED" w:rsidP="00BF4005">
            <w:pPr>
              <w:pStyle w:val="ListBullet"/>
              <w:numPr>
                <w:ilvl w:val="0"/>
                <w:numId w:val="14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C079ED">
              <w:rPr>
                <w:rStyle w:val="checkbox"/>
                <w:rFonts w:ascii="Arial" w:hAnsi="Arial" w:cs="Arial"/>
              </w:rPr>
              <w:t xml:space="preserve">The carcinogenic potential of Hg </w:t>
            </w:r>
            <w:r>
              <w:rPr>
                <w:rStyle w:val="checkbox"/>
                <w:rFonts w:ascii="Arial" w:hAnsi="Arial" w:cs="Arial"/>
              </w:rPr>
              <w:t>is</w:t>
            </w:r>
            <w:r w:rsidRPr="00C079ED">
              <w:rPr>
                <w:rStyle w:val="checkbox"/>
                <w:rFonts w:ascii="Arial" w:hAnsi="Arial" w:cs="Arial"/>
              </w:rPr>
              <w:t xml:space="preserve"> related to metal induced oxidative stress and thus, if a potential is presen</w:t>
            </w:r>
            <w:r w:rsidR="00E92077">
              <w:rPr>
                <w:rStyle w:val="checkbox"/>
                <w:rFonts w:ascii="Arial" w:hAnsi="Arial" w:cs="Arial"/>
              </w:rPr>
              <w:t>t in humans, a threshold effect</w:t>
            </w:r>
            <w:r w:rsidRPr="00C079ED">
              <w:rPr>
                <w:rStyle w:val="checkbox"/>
                <w:rFonts w:ascii="Arial" w:hAnsi="Arial" w:cs="Arial"/>
              </w:rPr>
              <w:t xml:space="preserve"> is possible</w:t>
            </w:r>
            <w:r w:rsidR="002D5BAA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5EFDE9D" w14:textId="77777777" w:rsidTr="0084167A">
        <w:trPr>
          <w:cantSplit/>
        </w:trPr>
        <w:tc>
          <w:tcPr>
            <w:tcW w:w="1488" w:type="dxa"/>
          </w:tcPr>
          <w:p w14:paraId="138CDB29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DC0699F" w14:textId="67CC664C" w:rsidR="004966BF" w:rsidRPr="00CE617F" w:rsidRDefault="00FE279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112C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9A0B54D" w14:textId="25C8CC77" w:rsidR="004966BF" w:rsidRPr="004C23F4" w:rsidRDefault="00C112C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54" w:type="dxa"/>
          </w:tcPr>
          <w:p w14:paraId="339915C4" w14:textId="65C67A25" w:rsidR="00C112CA" w:rsidRPr="00C112CA" w:rsidRDefault="00C112CA" w:rsidP="00BF4005">
            <w:pPr>
              <w:pStyle w:val="ListBullet"/>
              <w:numPr>
                <w:ilvl w:val="0"/>
                <w:numId w:val="15"/>
              </w:numPr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Accidental industrial exposure of 6 male workers to 44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 xml:space="preserve">3 </w:t>
            </w:r>
            <w:r w:rsidR="00F97050">
              <w:rPr>
                <w:rStyle w:val="checkbox"/>
                <w:rFonts w:ascii="Arial" w:hAnsi="Arial" w:cs="Arial"/>
              </w:rPr>
              <w:t>4</w:t>
            </w:r>
            <w:r w:rsidR="002D5BAA">
              <w:rPr>
                <w:rStyle w:val="checkbox"/>
                <w:rFonts w:ascii="Arial" w:hAnsi="Arial" w:cs="Arial"/>
              </w:rPr>
              <w:t>–</w:t>
            </w:r>
            <w:r w:rsidR="00F97050">
              <w:rPr>
                <w:rStyle w:val="checkbox"/>
                <w:rFonts w:ascii="Arial" w:hAnsi="Arial" w:cs="Arial"/>
              </w:rPr>
              <w:t>8 h</w:t>
            </w:r>
            <w:r w:rsidR="00E53D7A">
              <w:rPr>
                <w:rStyle w:val="checkbox"/>
                <w:rFonts w:ascii="Arial" w:hAnsi="Arial" w:cs="Arial"/>
              </w:rPr>
              <w:t>; c</w:t>
            </w:r>
            <w:r w:rsidR="00E53D7A">
              <w:rPr>
                <w:rFonts w:cs="Arial"/>
                <w:color w:val="262626"/>
              </w:rPr>
              <w:t>hest pains, dyspnoea</w:t>
            </w:r>
            <w:r>
              <w:rPr>
                <w:rFonts w:cs="Arial"/>
                <w:color w:val="262626"/>
              </w:rPr>
              <w:t>, cough with blood or bloody sputum, and pneumonitis; chronic effects last for several years after single accidental exposure</w:t>
            </w:r>
          </w:p>
          <w:p w14:paraId="2558422F" w14:textId="2A82A0C5" w:rsidR="0027687E" w:rsidRPr="003E7F21" w:rsidRDefault="00E53D7A" w:rsidP="00BF4005">
            <w:pPr>
              <w:pStyle w:val="ListBullet"/>
              <w:numPr>
                <w:ilvl w:val="0"/>
                <w:numId w:val="15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&lt;27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(rats).</w:t>
            </w:r>
          </w:p>
        </w:tc>
      </w:tr>
      <w:tr w:rsidR="004966BF" w:rsidRPr="004C23F4" w14:paraId="718B2C27" w14:textId="77777777" w:rsidTr="0084167A">
        <w:trPr>
          <w:cantSplit/>
        </w:trPr>
        <w:tc>
          <w:tcPr>
            <w:tcW w:w="1488" w:type="dxa"/>
          </w:tcPr>
          <w:p w14:paraId="4BDFD369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64BE30FE" w14:textId="4A6A901F" w:rsidR="004966BF" w:rsidRPr="00CE617F" w:rsidRDefault="00FE279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4167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F6A75E9" w14:textId="14C3FAF6" w:rsidR="004966BF" w:rsidRPr="004C23F4" w:rsidRDefault="0084167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1995</w:t>
            </w:r>
          </w:p>
        </w:tc>
        <w:tc>
          <w:tcPr>
            <w:tcW w:w="6454" w:type="dxa"/>
          </w:tcPr>
          <w:p w14:paraId="5FFE9BB2" w14:textId="36B8C80C" w:rsidR="004966BF" w:rsidRPr="0084167A" w:rsidRDefault="0084167A" w:rsidP="00BF4005">
            <w:pPr>
              <w:pStyle w:val="ListBullet"/>
              <w:numPr>
                <w:ilvl w:val="0"/>
                <w:numId w:val="16"/>
              </w:numPr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LOAEC of 9 µg/m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based on </w:t>
            </w:r>
            <w:r>
              <w:rPr>
                <w:rFonts w:cs="Arial"/>
                <w:color w:val="262626"/>
              </w:rPr>
              <w:t>hand tremors, memory disturbance and autonomic dysfunction in human occupational inhalation studies</w:t>
            </w:r>
          </w:p>
          <w:p w14:paraId="623A4C3A" w14:textId="1E91E436" w:rsidR="0084167A" w:rsidRPr="0084167A" w:rsidRDefault="00E53D7A" w:rsidP="00BF4005">
            <w:pPr>
              <w:pStyle w:val="ListBullet"/>
              <w:numPr>
                <w:ilvl w:val="0"/>
                <w:numId w:val="1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RfC</w:t>
            </w:r>
            <w:r w:rsidR="0084167A">
              <w:rPr>
                <w:rStyle w:val="checkbox"/>
                <w:rFonts w:ascii="Arial" w:hAnsi="Arial" w:cs="Arial"/>
              </w:rPr>
              <w:t xml:space="preserve"> 0.3 µg/m</w:t>
            </w:r>
            <w:r w:rsidR="0084167A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84167A">
              <w:rPr>
                <w:rStyle w:val="checkbox"/>
                <w:rFonts w:ascii="Arial" w:hAnsi="Arial" w:cs="Arial"/>
              </w:rPr>
              <w:t xml:space="preserve"> Hg exposure for public;</w:t>
            </w:r>
            <w:r w:rsidR="00F97050">
              <w:rPr>
                <w:rStyle w:val="checkbox"/>
                <w:rFonts w:ascii="Arial" w:hAnsi="Arial" w:cs="Arial"/>
              </w:rPr>
              <w:t xml:space="preserve"> </w:t>
            </w:r>
            <w:r w:rsidR="0084167A">
              <w:rPr>
                <w:rStyle w:val="checkbox"/>
                <w:rFonts w:ascii="Arial" w:hAnsi="Arial" w:cs="Arial"/>
              </w:rPr>
              <w:t>includes sensitive subgroups.</w:t>
            </w:r>
          </w:p>
        </w:tc>
      </w:tr>
    </w:tbl>
    <w:p w14:paraId="16561B86" w14:textId="77777777" w:rsidR="007E2A4B" w:rsidRDefault="007E2A4B"/>
    <w:bookmarkEnd w:id="0"/>
    <w:p w14:paraId="006A9D14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8DE3AE7" w14:textId="77777777" w:rsidTr="0086061D">
        <w:trPr>
          <w:trHeight w:val="454"/>
          <w:tblHeader/>
        </w:trPr>
        <w:tc>
          <w:tcPr>
            <w:tcW w:w="6603" w:type="dxa"/>
            <w:vAlign w:val="center"/>
          </w:tcPr>
          <w:p w14:paraId="1518C0F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1B070A4" w14:textId="66F91AE9" w:rsidR="002E0D61" w:rsidRDefault="0086061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B0098D5" w14:textId="77777777" w:rsidTr="0086061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B8DE40F" w14:textId="6996E625" w:rsidR="008A36CF" w:rsidRPr="006901A2" w:rsidRDefault="0086061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D72DFC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F4068E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BD4606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504B7D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10D71D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7E932B1" w14:textId="77777777" w:rsidTr="00812887">
        <w:trPr>
          <w:cantSplit/>
        </w:trPr>
        <w:tc>
          <w:tcPr>
            <w:tcW w:w="3227" w:type="dxa"/>
          </w:tcPr>
          <w:p w14:paraId="0D83247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B1AA2EC" w14:textId="77777777" w:rsidR="00687890" w:rsidRPr="00DD2F9B" w:rsidRDefault="00092AF5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3A74EFC" w14:textId="77777777" w:rsidTr="00812887">
        <w:trPr>
          <w:cantSplit/>
        </w:trPr>
        <w:tc>
          <w:tcPr>
            <w:tcW w:w="3227" w:type="dxa"/>
          </w:tcPr>
          <w:p w14:paraId="584A8CF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F0F93D6" w14:textId="77777777" w:rsidR="007925F0" w:rsidRPr="00DD2F9B" w:rsidRDefault="006F3CC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F7636C8" w14:textId="77777777" w:rsidTr="00812887">
        <w:trPr>
          <w:cantSplit/>
        </w:trPr>
        <w:tc>
          <w:tcPr>
            <w:tcW w:w="3227" w:type="dxa"/>
          </w:tcPr>
          <w:p w14:paraId="548DF60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5238A1C" w14:textId="77777777" w:rsidR="00AF483F" w:rsidRPr="00DD2F9B" w:rsidRDefault="00966F2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9C82162" w14:textId="77777777" w:rsidTr="00812887">
        <w:trPr>
          <w:cantSplit/>
        </w:trPr>
        <w:tc>
          <w:tcPr>
            <w:tcW w:w="3227" w:type="dxa"/>
          </w:tcPr>
          <w:p w14:paraId="15204BA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3024971" w14:textId="77777777" w:rsidR="00687890" w:rsidRPr="00DD2F9B" w:rsidRDefault="00966F2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FCAC8AF" w14:textId="77777777" w:rsidTr="00812887">
        <w:trPr>
          <w:cantSplit/>
        </w:trPr>
        <w:tc>
          <w:tcPr>
            <w:tcW w:w="3227" w:type="dxa"/>
          </w:tcPr>
          <w:p w14:paraId="6DB5825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75555D5" w14:textId="19408E8C" w:rsidR="00E41A26" w:rsidRPr="00DD2F9B" w:rsidRDefault="00B74F6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44657F7" w14:textId="77777777" w:rsidTr="00812887">
        <w:trPr>
          <w:cantSplit/>
        </w:trPr>
        <w:tc>
          <w:tcPr>
            <w:tcW w:w="3227" w:type="dxa"/>
          </w:tcPr>
          <w:p w14:paraId="3181C88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AF6AC8C" w14:textId="7847551B" w:rsidR="002E0D61" w:rsidRPr="00DD2F9B" w:rsidRDefault="006D2654" w:rsidP="00DD2F9B">
            <w:pPr>
              <w:pStyle w:val="Tablefont"/>
            </w:pPr>
            <w:r>
              <w:t xml:space="preserve">A4, </w:t>
            </w:r>
            <w:r w:rsidR="006C2C93">
              <w:t>Skin</w:t>
            </w:r>
          </w:p>
        </w:tc>
      </w:tr>
      <w:tr w:rsidR="002E0D61" w:rsidRPr="004C23F4" w14:paraId="420C0AC4" w14:textId="77777777" w:rsidTr="00812887">
        <w:trPr>
          <w:cantSplit/>
        </w:trPr>
        <w:tc>
          <w:tcPr>
            <w:tcW w:w="3227" w:type="dxa"/>
          </w:tcPr>
          <w:p w14:paraId="59A9882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7D92FCF" w14:textId="5C155FE8" w:rsidR="002E0D61" w:rsidRPr="00DD2F9B" w:rsidRDefault="00B61EBB" w:rsidP="00DD2F9B">
            <w:pPr>
              <w:pStyle w:val="Tablefont"/>
            </w:pPr>
            <w:r w:rsidRPr="00B61EBB">
              <w:t>Carcinogenicity – 3</w:t>
            </w:r>
            <w:r w:rsidR="006D2654">
              <w:t>B</w:t>
            </w:r>
            <w:r w:rsidR="00966F2B">
              <w:t>, H</w:t>
            </w:r>
            <w:r>
              <w:t xml:space="preserve"> (skin)</w:t>
            </w:r>
            <w:r w:rsidR="00966F2B">
              <w:t>, Sh</w:t>
            </w:r>
            <w:r>
              <w:t xml:space="preserve"> (dermal sensitiser)</w:t>
            </w:r>
          </w:p>
        </w:tc>
      </w:tr>
      <w:tr w:rsidR="002E0D61" w:rsidRPr="004C23F4" w14:paraId="2C1E28B6" w14:textId="77777777" w:rsidTr="00812887">
        <w:trPr>
          <w:cantSplit/>
        </w:trPr>
        <w:tc>
          <w:tcPr>
            <w:tcW w:w="3227" w:type="dxa"/>
          </w:tcPr>
          <w:p w14:paraId="6305D0A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12178A4" w14:textId="41AB0E26" w:rsidR="002E0D61" w:rsidRPr="00DD2F9B" w:rsidRDefault="005049D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02451FA" w14:textId="77777777" w:rsidTr="00812887">
        <w:trPr>
          <w:cantSplit/>
        </w:trPr>
        <w:tc>
          <w:tcPr>
            <w:tcW w:w="3227" w:type="dxa"/>
          </w:tcPr>
          <w:p w14:paraId="1C0C8EC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8CE5F22" w14:textId="4B4A9C8C" w:rsidR="002E0D61" w:rsidRPr="00DD2F9B" w:rsidRDefault="00E066C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7B98E41" w14:textId="77777777" w:rsidTr="00812887">
        <w:trPr>
          <w:cantSplit/>
        </w:trPr>
        <w:tc>
          <w:tcPr>
            <w:tcW w:w="3227" w:type="dxa"/>
          </w:tcPr>
          <w:p w14:paraId="5C69A74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C4254BC" w14:textId="5B244778" w:rsidR="00386093" w:rsidRPr="00DD2F9B" w:rsidRDefault="00B61EBB" w:rsidP="00DD2F9B">
            <w:pPr>
              <w:pStyle w:val="Tablefont"/>
            </w:pPr>
            <w:r w:rsidRPr="00B61EBB">
              <w:t>Carcinogenicity – Group 3</w:t>
            </w:r>
          </w:p>
        </w:tc>
      </w:tr>
      <w:tr w:rsidR="00386093" w:rsidRPr="004C23F4" w14:paraId="54F9614E" w14:textId="77777777" w:rsidTr="00812887">
        <w:trPr>
          <w:cantSplit/>
        </w:trPr>
        <w:tc>
          <w:tcPr>
            <w:tcW w:w="3227" w:type="dxa"/>
          </w:tcPr>
          <w:p w14:paraId="24934B4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1BB996A" w14:textId="107A5002" w:rsidR="00386093" w:rsidRPr="00DD2F9B" w:rsidRDefault="008863C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E16D97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DA13B7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31378B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D7315A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85DCB3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44" w:type="dxa"/>
              <w:tblLook w:val="04A0" w:firstRow="1" w:lastRow="0" w:firstColumn="1" w:lastColumn="0" w:noHBand="0" w:noVBand="1"/>
            </w:tblPr>
            <w:tblGrid>
              <w:gridCol w:w="3821"/>
              <w:gridCol w:w="1132"/>
              <w:gridCol w:w="1132"/>
              <w:gridCol w:w="2725"/>
            </w:tblGrid>
            <w:tr w:rsidR="0086061D" w:rsidRPr="0086061D" w14:paraId="4318BEB8" w14:textId="77777777" w:rsidTr="0086061D">
              <w:trPr>
                <w:trHeight w:val="345"/>
              </w:trPr>
              <w:tc>
                <w:tcPr>
                  <w:tcW w:w="3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0B915" w14:textId="77777777" w:rsidR="0086061D" w:rsidRPr="0086061D" w:rsidRDefault="0086061D" w:rsidP="0086061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5D93930" w14:textId="77777777" w:rsidR="0086061D" w:rsidRPr="0086061D" w:rsidRDefault="0086061D" w:rsidP="0086061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73C91E" w14:textId="77777777" w:rsidR="0086061D" w:rsidRPr="0086061D" w:rsidRDefault="0086061D" w:rsidP="0086061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F76635" w14:textId="77777777" w:rsidR="0086061D" w:rsidRPr="0086061D" w:rsidRDefault="0086061D" w:rsidP="0086061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6061D" w:rsidRPr="0086061D" w14:paraId="547E9128" w14:textId="77777777" w:rsidTr="0086061D">
              <w:trPr>
                <w:trHeight w:val="345"/>
              </w:trPr>
              <w:tc>
                <w:tcPr>
                  <w:tcW w:w="3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596CEA" w14:textId="77777777" w:rsidR="0086061D" w:rsidRPr="0086061D" w:rsidRDefault="0086061D" w:rsidP="0086061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B41F35" w14:textId="77777777" w:rsidR="0086061D" w:rsidRPr="0086061D" w:rsidRDefault="0086061D" w:rsidP="0086061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1DF1B3" w14:textId="77777777" w:rsidR="0086061D" w:rsidRPr="0086061D" w:rsidRDefault="0086061D" w:rsidP="0086061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CE1168" w14:textId="77777777" w:rsidR="0086061D" w:rsidRPr="0086061D" w:rsidRDefault="0086061D" w:rsidP="0086061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6061D" w:rsidRPr="0086061D" w14:paraId="1F8BBBAC" w14:textId="77777777" w:rsidTr="0086061D">
              <w:trPr>
                <w:trHeight w:val="345"/>
              </w:trPr>
              <w:tc>
                <w:tcPr>
                  <w:tcW w:w="3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938539" w14:textId="77777777" w:rsidR="0086061D" w:rsidRPr="0086061D" w:rsidRDefault="0086061D" w:rsidP="0086061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6A9F71" w14:textId="77777777" w:rsidR="0086061D" w:rsidRPr="0086061D" w:rsidRDefault="0086061D" w:rsidP="0086061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7393AE" w14:textId="77777777" w:rsidR="0086061D" w:rsidRPr="0086061D" w:rsidRDefault="0086061D" w:rsidP="0086061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F56E0C" w14:textId="77777777" w:rsidR="0086061D" w:rsidRPr="0086061D" w:rsidRDefault="0086061D" w:rsidP="0086061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6061D" w:rsidRPr="0086061D" w14:paraId="7DC0C8EC" w14:textId="77777777" w:rsidTr="0086061D">
              <w:trPr>
                <w:trHeight w:val="345"/>
              </w:trPr>
              <w:tc>
                <w:tcPr>
                  <w:tcW w:w="3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AB6BE2" w14:textId="77777777" w:rsidR="0086061D" w:rsidRPr="0086061D" w:rsidRDefault="0086061D" w:rsidP="0086061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5691FF" w14:textId="77777777" w:rsidR="0086061D" w:rsidRPr="0086061D" w:rsidRDefault="0086061D" w:rsidP="0086061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2BB5C3" w14:textId="77777777" w:rsidR="0086061D" w:rsidRPr="0086061D" w:rsidRDefault="0086061D" w:rsidP="0086061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E8B050" w14:textId="77777777" w:rsidR="0086061D" w:rsidRPr="0086061D" w:rsidRDefault="0086061D" w:rsidP="0086061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6061D" w:rsidRPr="0086061D" w14:paraId="58FD1B89" w14:textId="77777777" w:rsidTr="0086061D">
              <w:trPr>
                <w:trHeight w:val="345"/>
              </w:trPr>
              <w:tc>
                <w:tcPr>
                  <w:tcW w:w="3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E8FA19" w14:textId="77777777" w:rsidR="0086061D" w:rsidRPr="0086061D" w:rsidRDefault="0086061D" w:rsidP="0086061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CF6E5D" w14:textId="77777777" w:rsidR="0086061D" w:rsidRPr="0086061D" w:rsidRDefault="0086061D" w:rsidP="0086061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C9EB76" w14:textId="77777777" w:rsidR="0086061D" w:rsidRPr="0086061D" w:rsidRDefault="0086061D" w:rsidP="0086061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5AC323" w14:textId="77777777" w:rsidR="0086061D" w:rsidRPr="0086061D" w:rsidRDefault="0086061D" w:rsidP="0086061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6061D" w:rsidRPr="0086061D" w14:paraId="716AE87F" w14:textId="77777777" w:rsidTr="0086061D">
              <w:trPr>
                <w:trHeight w:val="345"/>
              </w:trPr>
              <w:tc>
                <w:tcPr>
                  <w:tcW w:w="3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16407F" w14:textId="77777777" w:rsidR="0086061D" w:rsidRPr="0086061D" w:rsidRDefault="0086061D" w:rsidP="0086061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B506ED" w14:textId="77777777" w:rsidR="0086061D" w:rsidRPr="0086061D" w:rsidRDefault="0086061D" w:rsidP="0086061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D7942E" w14:textId="77777777" w:rsidR="0086061D" w:rsidRPr="0086061D" w:rsidRDefault="0086061D" w:rsidP="0086061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5C8519" w14:textId="77777777" w:rsidR="0086061D" w:rsidRPr="0086061D" w:rsidRDefault="0086061D" w:rsidP="0086061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6061D" w:rsidRPr="0086061D" w14:paraId="6F3D2D78" w14:textId="77777777" w:rsidTr="0086061D">
              <w:trPr>
                <w:trHeight w:val="345"/>
              </w:trPr>
              <w:tc>
                <w:tcPr>
                  <w:tcW w:w="39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6636DD" w14:textId="77777777" w:rsidR="0086061D" w:rsidRPr="0086061D" w:rsidRDefault="0086061D" w:rsidP="0086061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539753" w14:textId="77777777" w:rsidR="0086061D" w:rsidRPr="0086061D" w:rsidRDefault="0086061D" w:rsidP="0086061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E1193B" w14:textId="77777777" w:rsidR="0086061D" w:rsidRPr="0086061D" w:rsidRDefault="0086061D" w:rsidP="0086061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91AA41" w14:textId="77777777" w:rsidR="0086061D" w:rsidRPr="0086061D" w:rsidRDefault="0086061D" w:rsidP="0086061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6061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1D0A1F41" w14:textId="11A490D5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14AF71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351B9B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3F5367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1368324" w14:textId="4E2C4E09" w:rsidR="00EB3D1B" w:rsidRDefault="00AA6B8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14F9AAC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2"/>
        <w:gridCol w:w="5034"/>
      </w:tblGrid>
      <w:tr w:rsidR="001B79E5" w:rsidRPr="004C23F4" w14:paraId="0E66019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5ED7AA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286F4B2" w14:textId="4CA55F15" w:rsidR="001B79E5" w:rsidRDefault="001401B8" w:rsidP="001B79E5">
                <w:pPr>
                  <w:pStyle w:val="Tablefont"/>
                </w:pPr>
                <w:r w:rsidRPr="00F97050">
                  <w:t>200.59</w:t>
                </w:r>
                <w:r w:rsidR="00F97050">
                  <w:t xml:space="preserve"> (elemental)</w:t>
                </w:r>
              </w:p>
            </w:tc>
          </w:sdtContent>
        </w:sdt>
      </w:tr>
      <w:tr w:rsidR="00A31D99" w:rsidRPr="004C23F4" w14:paraId="7E6341D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A57EF2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A7E67D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E99D0F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E24DB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4CC59B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8F90066" w14:textId="77777777" w:rsidTr="00EA6243">
        <w:trPr>
          <w:cantSplit/>
        </w:trPr>
        <w:tc>
          <w:tcPr>
            <w:tcW w:w="4077" w:type="dxa"/>
            <w:vAlign w:val="center"/>
          </w:tcPr>
          <w:p w14:paraId="1DF167C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126CFA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D6A4970" w14:textId="77777777" w:rsidTr="00EA6243">
        <w:trPr>
          <w:cantSplit/>
        </w:trPr>
        <w:tc>
          <w:tcPr>
            <w:tcW w:w="4077" w:type="dxa"/>
            <w:vAlign w:val="center"/>
          </w:tcPr>
          <w:p w14:paraId="639134E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65DD3" w14:textId="78DBEBB7" w:rsidR="00687890" w:rsidRPr="004C23F4" w:rsidRDefault="00AA6B87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5CDE288E" w14:textId="77777777" w:rsidTr="00EA6243">
        <w:trPr>
          <w:cantSplit/>
        </w:trPr>
        <w:tc>
          <w:tcPr>
            <w:tcW w:w="4077" w:type="dxa"/>
            <w:vAlign w:val="center"/>
          </w:tcPr>
          <w:p w14:paraId="419002B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CC5D737" w14:textId="7F231E0C" w:rsidR="00E06F40" w:rsidRPr="00A006A0" w:rsidRDefault="00FE279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2654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401B8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401B8"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1C6A5A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F5B089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CCED2B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5775DE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9759C2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2656B3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7CFC99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FF4F03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2AF6815" w14:textId="6EFC475B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FF4A6B2" w14:textId="4CD99370" w:rsidR="00A858F8" w:rsidRDefault="00A858F8" w:rsidP="00A858F8">
      <w:r w:rsidRPr="002022B6">
        <w:t>Deutsche Forschungsgemeinschaft (DFG)</w:t>
      </w:r>
      <w:r>
        <w:t xml:space="preserve"> (</w:t>
      </w:r>
      <w:r w:rsidR="00293E88">
        <w:t>2016</w:t>
      </w:r>
      <w:r>
        <w:t xml:space="preserve">) </w:t>
      </w:r>
      <w:r w:rsidR="00CF1C7B" w:rsidRPr="00CF1C7B">
        <w:t>Mercury</w:t>
      </w:r>
      <w:r w:rsidR="00293E88">
        <w:t xml:space="preserve"> and inorganic mercury</w:t>
      </w:r>
      <w:r w:rsidR="00CF1C7B" w:rsidRPr="00CF1C7B">
        <w:t xml:space="preserve"> compounds</w:t>
      </w:r>
      <w:r>
        <w:t xml:space="preserve"> – MAK value documentation.</w:t>
      </w:r>
    </w:p>
    <w:p w14:paraId="2E88450C" w14:textId="76A3A45B" w:rsidR="00AD1970" w:rsidRPr="00AD1970" w:rsidRDefault="00AD1970" w:rsidP="00A858F8">
      <w:r w:rsidRPr="00AD1970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08779C9A" w14:textId="49428E0E" w:rsidR="00AD1970" w:rsidRDefault="00AD1970" w:rsidP="00AD1970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CF1C7B">
        <w:t>2007</w:t>
      </w:r>
      <w:r>
        <w:t xml:space="preserve">) Recommendation from the Scientific Committee on Occupational Exposure Limits for </w:t>
      </w:r>
      <w:r w:rsidR="00CF1C7B" w:rsidRPr="00CF1C7B">
        <w:t>elemental mercury and inorganic divalent mercury compounds</w:t>
      </w:r>
      <w:r>
        <w:t>. SCOEL/</w:t>
      </w:r>
      <w:r w:rsidR="00CF1C7B">
        <w:t>SUM/84</w:t>
      </w:r>
      <w:r>
        <w:t>.</w:t>
      </w:r>
    </w:p>
    <w:p w14:paraId="11E37418" w14:textId="7717E32F" w:rsidR="00AD1970" w:rsidRDefault="00AD1970" w:rsidP="00AD1970">
      <w:r w:rsidRPr="002022B6">
        <w:t>Health Council of the Netherlands</w:t>
      </w:r>
      <w:r>
        <w:t xml:space="preserve"> (HCOTN) (</w:t>
      </w:r>
      <w:r w:rsidR="00CF1C7B">
        <w:t>2000</w:t>
      </w:r>
      <w:r>
        <w:t xml:space="preserve">) </w:t>
      </w:r>
      <w:r w:rsidR="00CF1C7B" w:rsidRPr="00CF1C7B">
        <w:t>Mercury and its compounds</w:t>
      </w:r>
      <w:r w:rsidRPr="005F7416">
        <w:t xml:space="preserve">. </w:t>
      </w:r>
      <w:r w:rsidR="00CF1C7B" w:rsidRPr="00CF1C7B">
        <w:t>Evaluation of the effects on reproduction, recommendation for classification</w:t>
      </w:r>
      <w:r w:rsidRPr="005F7416">
        <w:t xml:space="preserve">. The Hague: Health Council of the Netherlands; publication no. </w:t>
      </w:r>
      <w:r w:rsidR="00CF1C7B">
        <w:t>2000/05OSH</w:t>
      </w:r>
      <w:r>
        <w:t>.</w:t>
      </w:r>
    </w:p>
    <w:p w14:paraId="24E3278C" w14:textId="1ACC8650" w:rsidR="00FF6CDD" w:rsidRPr="00293E88" w:rsidRDefault="00FF6CDD" w:rsidP="00AD1970">
      <w:pPr>
        <w:rPr>
          <w:b/>
        </w:rPr>
      </w:pPr>
      <w:r w:rsidRPr="002022B6">
        <w:t>International Agency for Research on Cancer</w:t>
      </w:r>
      <w:r>
        <w:t xml:space="preserve"> (IARC) (1993) Volume 58, </w:t>
      </w:r>
      <w:r w:rsidRPr="00FF6CDD">
        <w:t>Beryllium, Cadmium, Mercury, and Exposures in the Glass Manufacturing Industry</w:t>
      </w:r>
      <w:r>
        <w:t>. IARC Monographs on the evaluation of the carcinogenic risk to humans.</w:t>
      </w:r>
    </w:p>
    <w:p w14:paraId="09CD406D" w14:textId="555F88E6" w:rsidR="00AA6B87" w:rsidRDefault="00AA6B87" w:rsidP="00AA6B87">
      <w:r>
        <w:t xml:space="preserve">National Industrial Chemicals Notification and Assessment </w:t>
      </w:r>
      <w:r w:rsidR="00CA6E84">
        <w:t>Scheme (NICNAS) (2015</w:t>
      </w:r>
      <w:r>
        <w:t xml:space="preserve">) </w:t>
      </w:r>
      <w:r w:rsidR="00CA6E84">
        <w:t>Mercury</w:t>
      </w:r>
      <w:r>
        <w:t xml:space="preserve">: Human health </w:t>
      </w:r>
      <w:sdt>
        <w:sdtPr>
          <w:id w:val="-1295753243"/>
          <w:temporary/>
          <w:showingPlcHdr/>
        </w:sdtPr>
        <w:sdtEndPr/>
        <w:sdtContent>
          <w:r>
            <w:t>tier II</w:t>
          </w:r>
        </w:sdtContent>
      </w:sdt>
      <w:r>
        <w:t xml:space="preserve"> assessment – IMAP report.</w:t>
      </w:r>
    </w:p>
    <w:p w14:paraId="4F6D0E72" w14:textId="6C904495" w:rsidR="00AA6B87" w:rsidRDefault="00AA6B87" w:rsidP="00AA6B87">
      <w:r>
        <w:t>US Environmental Protection Authority (US EPA) (199</w:t>
      </w:r>
      <w:r w:rsidR="00CA6E84">
        <w:t>5</w:t>
      </w:r>
      <w:r>
        <w:t xml:space="preserve">) Integrated Risk Information System (IRIS) Chemical Assessment Summary – </w:t>
      </w:r>
      <w:r w:rsidR="00CA6E84">
        <w:t>mercury, elemental</w:t>
      </w:r>
      <w:r>
        <w:t>.</w:t>
      </w:r>
    </w:p>
    <w:p w14:paraId="4E26093E" w14:textId="77777777" w:rsidR="00AD1970" w:rsidRDefault="00AD1970" w:rsidP="00AD1970">
      <w:pPr>
        <w:rPr>
          <w:b/>
        </w:rPr>
      </w:pPr>
    </w:p>
    <w:p w14:paraId="5F4A554F" w14:textId="77777777" w:rsidR="004B291E" w:rsidRPr="00351FE0" w:rsidRDefault="004B291E" w:rsidP="00084859"/>
    <w:sectPr w:rsidR="004B291E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C6705" w14:textId="77777777" w:rsidR="00940A61" w:rsidRDefault="00940A61" w:rsidP="00F43AD5">
      <w:pPr>
        <w:spacing w:after="0" w:line="240" w:lineRule="auto"/>
      </w:pPr>
      <w:r>
        <w:separator/>
      </w:r>
    </w:p>
  </w:endnote>
  <w:endnote w:type="continuationSeparator" w:id="0">
    <w:p w14:paraId="4B46ECE6" w14:textId="77777777" w:rsidR="00940A61" w:rsidRDefault="00940A6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CFF80" w14:textId="77777777" w:rsidR="008A194F" w:rsidRDefault="008A19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522388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0C63C70" w14:textId="31898ED1" w:rsidR="00550877" w:rsidRDefault="005B21BE" w:rsidP="0034744C">
        <w:pPr>
          <w:pStyle w:val="Footer"/>
          <w:rPr>
            <w:sz w:val="18"/>
            <w:szCs w:val="18"/>
          </w:rPr>
        </w:pPr>
        <w:r w:rsidRPr="005B21BE">
          <w:rPr>
            <w:b/>
            <w:sz w:val="18"/>
            <w:szCs w:val="18"/>
          </w:rPr>
          <w:t xml:space="preserve">Mercury, </w:t>
        </w:r>
        <w:r w:rsidR="00883977">
          <w:rPr>
            <w:b/>
            <w:sz w:val="18"/>
            <w:szCs w:val="18"/>
          </w:rPr>
          <w:t>and compounds (excluding alkyls) (as H</w:t>
        </w:r>
        <w:r w:rsidRPr="005B21BE">
          <w:rPr>
            <w:b/>
            <w:sz w:val="18"/>
            <w:szCs w:val="18"/>
          </w:rPr>
          <w:t xml:space="preserve">g) </w:t>
        </w:r>
        <w:r w:rsidR="00550877">
          <w:rPr>
            <w:b/>
            <w:sz w:val="18"/>
            <w:szCs w:val="18"/>
          </w:rPr>
          <w:t>(7439-97-6)</w:t>
        </w:r>
        <w:r w:rsidR="00550877" w:rsidRPr="00F43AD5">
          <w:rPr>
            <w:sz w:val="18"/>
            <w:szCs w:val="18"/>
          </w:rPr>
          <w:br/>
          <w:t xml:space="preserve">Safe Work Australia </w:t>
        </w:r>
        <w:r w:rsidR="00550877" w:rsidRPr="00F43AD5">
          <w:rPr>
            <w:rFonts w:ascii="Courier New" w:hAnsi="Courier New" w:cs="Courier New"/>
            <w:sz w:val="18"/>
            <w:szCs w:val="18"/>
          </w:rPr>
          <w:t>—</w:t>
        </w:r>
        <w:r w:rsidR="00550877" w:rsidRPr="00F43AD5">
          <w:rPr>
            <w:sz w:val="18"/>
            <w:szCs w:val="18"/>
          </w:rPr>
          <w:t xml:space="preserve"> 201</w:t>
        </w:r>
        <w:r w:rsidR="00550877">
          <w:rPr>
            <w:sz w:val="18"/>
            <w:szCs w:val="18"/>
          </w:rPr>
          <w:t>9</w:t>
        </w:r>
      </w:p>
      <w:p w14:paraId="4009520E" w14:textId="410AD634" w:rsidR="00550877" w:rsidRPr="00F43AD5" w:rsidRDefault="00550877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A194F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1DEFE" w14:textId="77777777" w:rsidR="008A194F" w:rsidRDefault="008A19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AD4B5" w14:textId="77777777" w:rsidR="00940A61" w:rsidRDefault="00940A61" w:rsidP="00F43AD5">
      <w:pPr>
        <w:spacing w:after="0" w:line="240" w:lineRule="auto"/>
      </w:pPr>
      <w:r>
        <w:separator/>
      </w:r>
    </w:p>
  </w:footnote>
  <w:footnote w:type="continuationSeparator" w:id="0">
    <w:p w14:paraId="274A343E" w14:textId="77777777" w:rsidR="00940A61" w:rsidRDefault="00940A6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879AD" w14:textId="51CB5486" w:rsidR="008A194F" w:rsidRDefault="008A19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56625" w14:textId="00766BC8" w:rsidR="00550877" w:rsidRDefault="00550877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2391B9E" wp14:editId="63E5289B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299F3" w14:textId="01205E39" w:rsidR="008A194F" w:rsidRDefault="008A194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3B41F" w14:textId="6C923A5A" w:rsidR="008A194F" w:rsidRDefault="008A194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9D16A" w14:textId="40D582AF" w:rsidR="00550877" w:rsidRDefault="008A194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C68B201" wp14:editId="27817E99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AFA0E" w14:textId="5A118117" w:rsidR="008A194F" w:rsidRDefault="008A19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2986E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4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5E0156A"/>
    <w:multiLevelType w:val="hybridMultilevel"/>
    <w:tmpl w:val="72048CD6"/>
    <w:lvl w:ilvl="0" w:tplc="040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" w15:restartNumberingAfterBreak="0">
    <w:nsid w:val="15F05E6F"/>
    <w:multiLevelType w:val="hybridMultilevel"/>
    <w:tmpl w:val="41CA38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8346B7"/>
    <w:multiLevelType w:val="hybridMultilevel"/>
    <w:tmpl w:val="51F8190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8C71CB"/>
    <w:multiLevelType w:val="hybridMultilevel"/>
    <w:tmpl w:val="A6BAA01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D16774"/>
    <w:multiLevelType w:val="hybridMultilevel"/>
    <w:tmpl w:val="2C2AD382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23192139"/>
    <w:multiLevelType w:val="hybridMultilevel"/>
    <w:tmpl w:val="A224B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13113"/>
    <w:multiLevelType w:val="hybridMultilevel"/>
    <w:tmpl w:val="CBC25B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D234EE"/>
    <w:multiLevelType w:val="hybridMultilevel"/>
    <w:tmpl w:val="B45476AE"/>
    <w:lvl w:ilvl="0" w:tplc="04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0" w15:restartNumberingAfterBreak="0">
    <w:nsid w:val="37736C54"/>
    <w:multiLevelType w:val="hybridMultilevel"/>
    <w:tmpl w:val="1D76B84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B5728C3"/>
    <w:multiLevelType w:val="hybridMultilevel"/>
    <w:tmpl w:val="00C498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F13527"/>
    <w:multiLevelType w:val="hybridMultilevel"/>
    <w:tmpl w:val="A51256C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FE4611"/>
    <w:multiLevelType w:val="hybridMultilevel"/>
    <w:tmpl w:val="831C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F1879"/>
    <w:multiLevelType w:val="hybridMultilevel"/>
    <w:tmpl w:val="FAD0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C06D4"/>
    <w:multiLevelType w:val="hybridMultilevel"/>
    <w:tmpl w:val="554CC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F4C9D"/>
    <w:multiLevelType w:val="hybridMultilevel"/>
    <w:tmpl w:val="D2048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106230">
    <w:abstractNumId w:val="1"/>
  </w:num>
  <w:num w:numId="2" w16cid:durableId="646787703">
    <w:abstractNumId w:val="3"/>
  </w:num>
  <w:num w:numId="3" w16cid:durableId="417747684">
    <w:abstractNumId w:val="4"/>
  </w:num>
  <w:num w:numId="4" w16cid:durableId="823280164">
    <w:abstractNumId w:val="8"/>
  </w:num>
  <w:num w:numId="5" w16cid:durableId="330722276">
    <w:abstractNumId w:val="11"/>
  </w:num>
  <w:num w:numId="6" w16cid:durableId="1743063884">
    <w:abstractNumId w:val="16"/>
  </w:num>
  <w:num w:numId="7" w16cid:durableId="1372269030">
    <w:abstractNumId w:val="12"/>
  </w:num>
  <w:num w:numId="8" w16cid:durableId="890262439">
    <w:abstractNumId w:val="0"/>
  </w:num>
  <w:num w:numId="9" w16cid:durableId="1052845987">
    <w:abstractNumId w:val="15"/>
  </w:num>
  <w:num w:numId="10" w16cid:durableId="136848261">
    <w:abstractNumId w:val="7"/>
  </w:num>
  <w:num w:numId="11" w16cid:durableId="1792742508">
    <w:abstractNumId w:val="13"/>
  </w:num>
  <w:num w:numId="12" w16cid:durableId="460226004">
    <w:abstractNumId w:val="14"/>
  </w:num>
  <w:num w:numId="13" w16cid:durableId="863858091">
    <w:abstractNumId w:val="10"/>
  </w:num>
  <w:num w:numId="14" w16cid:durableId="1554265906">
    <w:abstractNumId w:val="2"/>
  </w:num>
  <w:num w:numId="15" w16cid:durableId="1999141440">
    <w:abstractNumId w:val="9"/>
  </w:num>
  <w:num w:numId="16" w16cid:durableId="331953794">
    <w:abstractNumId w:val="6"/>
  </w:num>
  <w:num w:numId="17" w16cid:durableId="19745576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84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5EA"/>
    <w:rsid w:val="00013A22"/>
    <w:rsid w:val="00014C3F"/>
    <w:rsid w:val="00017C82"/>
    <w:rsid w:val="00017F8C"/>
    <w:rsid w:val="00032B88"/>
    <w:rsid w:val="00034626"/>
    <w:rsid w:val="00046DF5"/>
    <w:rsid w:val="00052060"/>
    <w:rsid w:val="0005574A"/>
    <w:rsid w:val="00055FE1"/>
    <w:rsid w:val="00056EC2"/>
    <w:rsid w:val="00057B8C"/>
    <w:rsid w:val="00060B48"/>
    <w:rsid w:val="00067F32"/>
    <w:rsid w:val="00071807"/>
    <w:rsid w:val="000803E1"/>
    <w:rsid w:val="00084513"/>
    <w:rsid w:val="00084859"/>
    <w:rsid w:val="00092AF5"/>
    <w:rsid w:val="00092D94"/>
    <w:rsid w:val="000B0868"/>
    <w:rsid w:val="000B3A5E"/>
    <w:rsid w:val="000B3E12"/>
    <w:rsid w:val="000B3E78"/>
    <w:rsid w:val="000B7B48"/>
    <w:rsid w:val="000C0636"/>
    <w:rsid w:val="000C096D"/>
    <w:rsid w:val="000C139A"/>
    <w:rsid w:val="000C2053"/>
    <w:rsid w:val="000C248C"/>
    <w:rsid w:val="000D291C"/>
    <w:rsid w:val="000E3060"/>
    <w:rsid w:val="000E413C"/>
    <w:rsid w:val="000E5A54"/>
    <w:rsid w:val="000E63D3"/>
    <w:rsid w:val="000E67CF"/>
    <w:rsid w:val="000E7B1D"/>
    <w:rsid w:val="000F3857"/>
    <w:rsid w:val="0010461E"/>
    <w:rsid w:val="00106FAA"/>
    <w:rsid w:val="00107764"/>
    <w:rsid w:val="00113443"/>
    <w:rsid w:val="00124023"/>
    <w:rsid w:val="001269A7"/>
    <w:rsid w:val="00131092"/>
    <w:rsid w:val="001401B8"/>
    <w:rsid w:val="00140E6A"/>
    <w:rsid w:val="00146545"/>
    <w:rsid w:val="00146B75"/>
    <w:rsid w:val="0015266D"/>
    <w:rsid w:val="0015288A"/>
    <w:rsid w:val="00156F2D"/>
    <w:rsid w:val="00157813"/>
    <w:rsid w:val="00160F47"/>
    <w:rsid w:val="00175D3A"/>
    <w:rsid w:val="00177CA1"/>
    <w:rsid w:val="00182E6A"/>
    <w:rsid w:val="00183823"/>
    <w:rsid w:val="00183942"/>
    <w:rsid w:val="001A009E"/>
    <w:rsid w:val="001A1287"/>
    <w:rsid w:val="001A3859"/>
    <w:rsid w:val="001A3C9D"/>
    <w:rsid w:val="001A43F8"/>
    <w:rsid w:val="001B79E5"/>
    <w:rsid w:val="001C0710"/>
    <w:rsid w:val="001D51DB"/>
    <w:rsid w:val="001D56F0"/>
    <w:rsid w:val="001D663B"/>
    <w:rsid w:val="001D7B41"/>
    <w:rsid w:val="001E18DD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7946"/>
    <w:rsid w:val="00213640"/>
    <w:rsid w:val="0022022D"/>
    <w:rsid w:val="00221547"/>
    <w:rsid w:val="002216FC"/>
    <w:rsid w:val="00222533"/>
    <w:rsid w:val="0022274D"/>
    <w:rsid w:val="00222F30"/>
    <w:rsid w:val="00223FDB"/>
    <w:rsid w:val="00224EE2"/>
    <w:rsid w:val="00227EC7"/>
    <w:rsid w:val="00242C89"/>
    <w:rsid w:val="00244AD1"/>
    <w:rsid w:val="002463BC"/>
    <w:rsid w:val="002465CE"/>
    <w:rsid w:val="00247826"/>
    <w:rsid w:val="0025734A"/>
    <w:rsid w:val="00263255"/>
    <w:rsid w:val="00275EFC"/>
    <w:rsid w:val="00276494"/>
    <w:rsid w:val="0027687E"/>
    <w:rsid w:val="0027692B"/>
    <w:rsid w:val="00277B0C"/>
    <w:rsid w:val="00293E88"/>
    <w:rsid w:val="00296F50"/>
    <w:rsid w:val="002A6542"/>
    <w:rsid w:val="002B1978"/>
    <w:rsid w:val="002B1A2C"/>
    <w:rsid w:val="002B4013"/>
    <w:rsid w:val="002C34F2"/>
    <w:rsid w:val="002C58FF"/>
    <w:rsid w:val="002C7AFE"/>
    <w:rsid w:val="002D05D2"/>
    <w:rsid w:val="002D5BAA"/>
    <w:rsid w:val="002E0D61"/>
    <w:rsid w:val="002E4C7B"/>
    <w:rsid w:val="002E7518"/>
    <w:rsid w:val="002F1D30"/>
    <w:rsid w:val="00301766"/>
    <w:rsid w:val="0030740C"/>
    <w:rsid w:val="0030779C"/>
    <w:rsid w:val="00315833"/>
    <w:rsid w:val="003215EE"/>
    <w:rsid w:val="003224BF"/>
    <w:rsid w:val="003241A8"/>
    <w:rsid w:val="003253F0"/>
    <w:rsid w:val="00330261"/>
    <w:rsid w:val="003337DA"/>
    <w:rsid w:val="00334EFB"/>
    <w:rsid w:val="00335CDE"/>
    <w:rsid w:val="003365A5"/>
    <w:rsid w:val="00343BAD"/>
    <w:rsid w:val="00347192"/>
    <w:rsid w:val="0034744C"/>
    <w:rsid w:val="00351FE0"/>
    <w:rsid w:val="00352615"/>
    <w:rsid w:val="0035412B"/>
    <w:rsid w:val="003567A8"/>
    <w:rsid w:val="00357512"/>
    <w:rsid w:val="00357B00"/>
    <w:rsid w:val="00362895"/>
    <w:rsid w:val="003646E6"/>
    <w:rsid w:val="00370DBF"/>
    <w:rsid w:val="0038542A"/>
    <w:rsid w:val="00386093"/>
    <w:rsid w:val="003904A4"/>
    <w:rsid w:val="00391841"/>
    <w:rsid w:val="00391B6D"/>
    <w:rsid w:val="00393209"/>
    <w:rsid w:val="00394922"/>
    <w:rsid w:val="003A0E32"/>
    <w:rsid w:val="003A14D8"/>
    <w:rsid w:val="003A267E"/>
    <w:rsid w:val="003A2B94"/>
    <w:rsid w:val="003B387D"/>
    <w:rsid w:val="003C0D58"/>
    <w:rsid w:val="003C6D4F"/>
    <w:rsid w:val="003D4FA3"/>
    <w:rsid w:val="003E0807"/>
    <w:rsid w:val="003E51FB"/>
    <w:rsid w:val="003E6B39"/>
    <w:rsid w:val="003E7F21"/>
    <w:rsid w:val="003F07E1"/>
    <w:rsid w:val="0040008E"/>
    <w:rsid w:val="004030BC"/>
    <w:rsid w:val="00403F7D"/>
    <w:rsid w:val="00406785"/>
    <w:rsid w:val="004079B4"/>
    <w:rsid w:val="00417A56"/>
    <w:rsid w:val="00420957"/>
    <w:rsid w:val="00422A10"/>
    <w:rsid w:val="00430179"/>
    <w:rsid w:val="00434899"/>
    <w:rsid w:val="0043507A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15B5"/>
    <w:rsid w:val="004A5088"/>
    <w:rsid w:val="004A7D0D"/>
    <w:rsid w:val="004B291E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49DC"/>
    <w:rsid w:val="005142C4"/>
    <w:rsid w:val="0051509C"/>
    <w:rsid w:val="00525194"/>
    <w:rsid w:val="005272E2"/>
    <w:rsid w:val="00530F00"/>
    <w:rsid w:val="0053108F"/>
    <w:rsid w:val="00532B56"/>
    <w:rsid w:val="00534B10"/>
    <w:rsid w:val="00540FF8"/>
    <w:rsid w:val="005446A2"/>
    <w:rsid w:val="00544D2F"/>
    <w:rsid w:val="00550877"/>
    <w:rsid w:val="00551BD8"/>
    <w:rsid w:val="00552AF7"/>
    <w:rsid w:val="00581055"/>
    <w:rsid w:val="00591E38"/>
    <w:rsid w:val="005A19C5"/>
    <w:rsid w:val="005A3034"/>
    <w:rsid w:val="005A462D"/>
    <w:rsid w:val="005A4738"/>
    <w:rsid w:val="005B21BE"/>
    <w:rsid w:val="005B253B"/>
    <w:rsid w:val="005B771D"/>
    <w:rsid w:val="005B782B"/>
    <w:rsid w:val="005C5D16"/>
    <w:rsid w:val="005D3193"/>
    <w:rsid w:val="005D4A6E"/>
    <w:rsid w:val="005D6217"/>
    <w:rsid w:val="005E5819"/>
    <w:rsid w:val="005E6979"/>
    <w:rsid w:val="005E75CB"/>
    <w:rsid w:val="006013C1"/>
    <w:rsid w:val="00601BA8"/>
    <w:rsid w:val="0060669E"/>
    <w:rsid w:val="00610F2E"/>
    <w:rsid w:val="00611399"/>
    <w:rsid w:val="00624C4E"/>
    <w:rsid w:val="00625200"/>
    <w:rsid w:val="00627268"/>
    <w:rsid w:val="00634E03"/>
    <w:rsid w:val="006363A8"/>
    <w:rsid w:val="00636DB7"/>
    <w:rsid w:val="00636FD6"/>
    <w:rsid w:val="00637F7C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2638"/>
    <w:rsid w:val="0068580D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2C93"/>
    <w:rsid w:val="006C3003"/>
    <w:rsid w:val="006C78E6"/>
    <w:rsid w:val="006D2654"/>
    <w:rsid w:val="006D79EA"/>
    <w:rsid w:val="006E5D05"/>
    <w:rsid w:val="006F1597"/>
    <w:rsid w:val="006F3CC7"/>
    <w:rsid w:val="006F5F76"/>
    <w:rsid w:val="00701053"/>
    <w:rsid w:val="00701507"/>
    <w:rsid w:val="00714021"/>
    <w:rsid w:val="00714E98"/>
    <w:rsid w:val="00716A0F"/>
    <w:rsid w:val="00717D45"/>
    <w:rsid w:val="007208F7"/>
    <w:rsid w:val="00720FDD"/>
    <w:rsid w:val="007218AF"/>
    <w:rsid w:val="00724672"/>
    <w:rsid w:val="007365D1"/>
    <w:rsid w:val="007404A7"/>
    <w:rsid w:val="00740E0E"/>
    <w:rsid w:val="00750212"/>
    <w:rsid w:val="00754779"/>
    <w:rsid w:val="0075716D"/>
    <w:rsid w:val="00765F14"/>
    <w:rsid w:val="007675BD"/>
    <w:rsid w:val="00770E31"/>
    <w:rsid w:val="007753C4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18FA"/>
    <w:rsid w:val="007F25E0"/>
    <w:rsid w:val="007F4468"/>
    <w:rsid w:val="007F5328"/>
    <w:rsid w:val="00804F5A"/>
    <w:rsid w:val="00810C6D"/>
    <w:rsid w:val="00811572"/>
    <w:rsid w:val="00812887"/>
    <w:rsid w:val="00812EF4"/>
    <w:rsid w:val="00826F21"/>
    <w:rsid w:val="00834CC8"/>
    <w:rsid w:val="00835E00"/>
    <w:rsid w:val="00837113"/>
    <w:rsid w:val="008414E4"/>
    <w:rsid w:val="0084167A"/>
    <w:rsid w:val="00843E21"/>
    <w:rsid w:val="0084508E"/>
    <w:rsid w:val="00857A8A"/>
    <w:rsid w:val="0086061D"/>
    <w:rsid w:val="008630EE"/>
    <w:rsid w:val="00864D13"/>
    <w:rsid w:val="00871CD5"/>
    <w:rsid w:val="008745A2"/>
    <w:rsid w:val="008768A8"/>
    <w:rsid w:val="00883977"/>
    <w:rsid w:val="008863CA"/>
    <w:rsid w:val="0088798F"/>
    <w:rsid w:val="00887D06"/>
    <w:rsid w:val="00887E4B"/>
    <w:rsid w:val="008915C8"/>
    <w:rsid w:val="008A194F"/>
    <w:rsid w:val="008A36CF"/>
    <w:rsid w:val="008A3BC4"/>
    <w:rsid w:val="008B019A"/>
    <w:rsid w:val="008B403C"/>
    <w:rsid w:val="008B7983"/>
    <w:rsid w:val="008C2511"/>
    <w:rsid w:val="008D026D"/>
    <w:rsid w:val="008D23AB"/>
    <w:rsid w:val="008D4B8B"/>
    <w:rsid w:val="008D5A78"/>
    <w:rsid w:val="008E7B64"/>
    <w:rsid w:val="008F4B9D"/>
    <w:rsid w:val="008F5DCD"/>
    <w:rsid w:val="00900951"/>
    <w:rsid w:val="009118A6"/>
    <w:rsid w:val="00912D49"/>
    <w:rsid w:val="00916909"/>
    <w:rsid w:val="00916EC0"/>
    <w:rsid w:val="00920467"/>
    <w:rsid w:val="00921DE7"/>
    <w:rsid w:val="00922A17"/>
    <w:rsid w:val="0093041A"/>
    <w:rsid w:val="00930714"/>
    <w:rsid w:val="00931B03"/>
    <w:rsid w:val="009323B9"/>
    <w:rsid w:val="00932DCE"/>
    <w:rsid w:val="0093327E"/>
    <w:rsid w:val="00934028"/>
    <w:rsid w:val="0093760E"/>
    <w:rsid w:val="00940A61"/>
    <w:rsid w:val="0094199E"/>
    <w:rsid w:val="00946044"/>
    <w:rsid w:val="0094660B"/>
    <w:rsid w:val="0094694F"/>
    <w:rsid w:val="00946A33"/>
    <w:rsid w:val="0095260E"/>
    <w:rsid w:val="009578DD"/>
    <w:rsid w:val="00961124"/>
    <w:rsid w:val="009621B6"/>
    <w:rsid w:val="00964C0A"/>
    <w:rsid w:val="00966F2B"/>
    <w:rsid w:val="00974F2D"/>
    <w:rsid w:val="00977524"/>
    <w:rsid w:val="00977E88"/>
    <w:rsid w:val="00984920"/>
    <w:rsid w:val="00984A8F"/>
    <w:rsid w:val="00990138"/>
    <w:rsid w:val="0099303A"/>
    <w:rsid w:val="009971C2"/>
    <w:rsid w:val="009979D2"/>
    <w:rsid w:val="009A1254"/>
    <w:rsid w:val="009B2FF2"/>
    <w:rsid w:val="009B380C"/>
    <w:rsid w:val="009B3B3E"/>
    <w:rsid w:val="009B4843"/>
    <w:rsid w:val="009B6543"/>
    <w:rsid w:val="009C1670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6A67"/>
    <w:rsid w:val="00A01D0C"/>
    <w:rsid w:val="00A0643F"/>
    <w:rsid w:val="00A067EE"/>
    <w:rsid w:val="00A10FCE"/>
    <w:rsid w:val="00A1565F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38BF"/>
    <w:rsid w:val="00A633D4"/>
    <w:rsid w:val="00A6461A"/>
    <w:rsid w:val="00A772FB"/>
    <w:rsid w:val="00A84504"/>
    <w:rsid w:val="00A84D60"/>
    <w:rsid w:val="00A858F8"/>
    <w:rsid w:val="00A85BA4"/>
    <w:rsid w:val="00A8672F"/>
    <w:rsid w:val="00A93057"/>
    <w:rsid w:val="00A968B0"/>
    <w:rsid w:val="00A96D21"/>
    <w:rsid w:val="00AA6B87"/>
    <w:rsid w:val="00AB2672"/>
    <w:rsid w:val="00AB2817"/>
    <w:rsid w:val="00AB43C4"/>
    <w:rsid w:val="00AC32E7"/>
    <w:rsid w:val="00AC3A9F"/>
    <w:rsid w:val="00AC6D2F"/>
    <w:rsid w:val="00AD1970"/>
    <w:rsid w:val="00AE2745"/>
    <w:rsid w:val="00AE2F64"/>
    <w:rsid w:val="00AF42CB"/>
    <w:rsid w:val="00AF483F"/>
    <w:rsid w:val="00AF5E07"/>
    <w:rsid w:val="00AF5F06"/>
    <w:rsid w:val="00B00A25"/>
    <w:rsid w:val="00B0517D"/>
    <w:rsid w:val="00B1422A"/>
    <w:rsid w:val="00B1765C"/>
    <w:rsid w:val="00B213C4"/>
    <w:rsid w:val="00B26B5D"/>
    <w:rsid w:val="00B35195"/>
    <w:rsid w:val="00B36335"/>
    <w:rsid w:val="00B40C60"/>
    <w:rsid w:val="00B479A9"/>
    <w:rsid w:val="00B52EDF"/>
    <w:rsid w:val="00B5469F"/>
    <w:rsid w:val="00B61EBB"/>
    <w:rsid w:val="00B71188"/>
    <w:rsid w:val="00B74F6B"/>
    <w:rsid w:val="00B76A41"/>
    <w:rsid w:val="00B87D4C"/>
    <w:rsid w:val="00B93646"/>
    <w:rsid w:val="00B93CA8"/>
    <w:rsid w:val="00BA0B38"/>
    <w:rsid w:val="00BA1DBB"/>
    <w:rsid w:val="00BA4510"/>
    <w:rsid w:val="00BA529A"/>
    <w:rsid w:val="00BB391E"/>
    <w:rsid w:val="00BB612A"/>
    <w:rsid w:val="00BD499F"/>
    <w:rsid w:val="00BD56DE"/>
    <w:rsid w:val="00BF2406"/>
    <w:rsid w:val="00BF4005"/>
    <w:rsid w:val="00C06E43"/>
    <w:rsid w:val="00C079ED"/>
    <w:rsid w:val="00C112CA"/>
    <w:rsid w:val="00C16315"/>
    <w:rsid w:val="00C3091E"/>
    <w:rsid w:val="00C40FF1"/>
    <w:rsid w:val="00C419E2"/>
    <w:rsid w:val="00C44D25"/>
    <w:rsid w:val="00C5020E"/>
    <w:rsid w:val="00C55796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183C"/>
    <w:rsid w:val="00C978F0"/>
    <w:rsid w:val="00CA58FE"/>
    <w:rsid w:val="00CA6E84"/>
    <w:rsid w:val="00CB1CB1"/>
    <w:rsid w:val="00CB6102"/>
    <w:rsid w:val="00CB6BC1"/>
    <w:rsid w:val="00CB6CB8"/>
    <w:rsid w:val="00CC1A68"/>
    <w:rsid w:val="00CC2123"/>
    <w:rsid w:val="00CD2BFD"/>
    <w:rsid w:val="00CE3D01"/>
    <w:rsid w:val="00CE5AD6"/>
    <w:rsid w:val="00CE617F"/>
    <w:rsid w:val="00CE78EF"/>
    <w:rsid w:val="00CF1C7B"/>
    <w:rsid w:val="00D048F7"/>
    <w:rsid w:val="00D0517E"/>
    <w:rsid w:val="00D1075D"/>
    <w:rsid w:val="00D140FC"/>
    <w:rsid w:val="00D215E1"/>
    <w:rsid w:val="00D21D8C"/>
    <w:rsid w:val="00D31300"/>
    <w:rsid w:val="00D31357"/>
    <w:rsid w:val="00D33220"/>
    <w:rsid w:val="00D334D1"/>
    <w:rsid w:val="00D4361C"/>
    <w:rsid w:val="00D44C46"/>
    <w:rsid w:val="00D44C89"/>
    <w:rsid w:val="00D453FA"/>
    <w:rsid w:val="00D50905"/>
    <w:rsid w:val="00D516CD"/>
    <w:rsid w:val="00D5213D"/>
    <w:rsid w:val="00D530B6"/>
    <w:rsid w:val="00D55095"/>
    <w:rsid w:val="00D668E6"/>
    <w:rsid w:val="00D672AA"/>
    <w:rsid w:val="00D70670"/>
    <w:rsid w:val="00D74D80"/>
    <w:rsid w:val="00D76624"/>
    <w:rsid w:val="00D87570"/>
    <w:rsid w:val="00D91CB9"/>
    <w:rsid w:val="00D97989"/>
    <w:rsid w:val="00D97D8D"/>
    <w:rsid w:val="00DA352E"/>
    <w:rsid w:val="00DB31FC"/>
    <w:rsid w:val="00DB7802"/>
    <w:rsid w:val="00DC05C1"/>
    <w:rsid w:val="00DC7694"/>
    <w:rsid w:val="00DD1BF6"/>
    <w:rsid w:val="00DD2F9B"/>
    <w:rsid w:val="00DD7F3F"/>
    <w:rsid w:val="00DE2513"/>
    <w:rsid w:val="00DE26E8"/>
    <w:rsid w:val="00DF6F36"/>
    <w:rsid w:val="00E0084C"/>
    <w:rsid w:val="00E025AB"/>
    <w:rsid w:val="00E02B23"/>
    <w:rsid w:val="00E066C1"/>
    <w:rsid w:val="00E06F40"/>
    <w:rsid w:val="00E07CE8"/>
    <w:rsid w:val="00E23E7B"/>
    <w:rsid w:val="00E26A07"/>
    <w:rsid w:val="00E32595"/>
    <w:rsid w:val="00E36B2A"/>
    <w:rsid w:val="00E37CFD"/>
    <w:rsid w:val="00E41A26"/>
    <w:rsid w:val="00E46BCB"/>
    <w:rsid w:val="00E51CAF"/>
    <w:rsid w:val="00E53D7A"/>
    <w:rsid w:val="00E60F04"/>
    <w:rsid w:val="00E62AAC"/>
    <w:rsid w:val="00E66499"/>
    <w:rsid w:val="00E67C2F"/>
    <w:rsid w:val="00E67EF5"/>
    <w:rsid w:val="00E7098A"/>
    <w:rsid w:val="00E75621"/>
    <w:rsid w:val="00E804EA"/>
    <w:rsid w:val="00E80A71"/>
    <w:rsid w:val="00E82337"/>
    <w:rsid w:val="00E92077"/>
    <w:rsid w:val="00E92499"/>
    <w:rsid w:val="00E949AF"/>
    <w:rsid w:val="00E96077"/>
    <w:rsid w:val="00EA0A06"/>
    <w:rsid w:val="00EA6243"/>
    <w:rsid w:val="00EA74AB"/>
    <w:rsid w:val="00EB3D1B"/>
    <w:rsid w:val="00ED1D89"/>
    <w:rsid w:val="00ED428D"/>
    <w:rsid w:val="00ED5E65"/>
    <w:rsid w:val="00ED66BC"/>
    <w:rsid w:val="00EE384D"/>
    <w:rsid w:val="00EE503F"/>
    <w:rsid w:val="00EF233A"/>
    <w:rsid w:val="00EF303E"/>
    <w:rsid w:val="00EF3A40"/>
    <w:rsid w:val="00EF4939"/>
    <w:rsid w:val="00EF7F78"/>
    <w:rsid w:val="00F01B08"/>
    <w:rsid w:val="00F01C4D"/>
    <w:rsid w:val="00F053FA"/>
    <w:rsid w:val="00F10C97"/>
    <w:rsid w:val="00F115DC"/>
    <w:rsid w:val="00F11C71"/>
    <w:rsid w:val="00F16019"/>
    <w:rsid w:val="00F16609"/>
    <w:rsid w:val="00F20E68"/>
    <w:rsid w:val="00F22093"/>
    <w:rsid w:val="00F236DF"/>
    <w:rsid w:val="00F2392B"/>
    <w:rsid w:val="00F43AD5"/>
    <w:rsid w:val="00F4402E"/>
    <w:rsid w:val="00F56DD0"/>
    <w:rsid w:val="00F6491C"/>
    <w:rsid w:val="00F65AAE"/>
    <w:rsid w:val="00F67678"/>
    <w:rsid w:val="00F67BBB"/>
    <w:rsid w:val="00F76E34"/>
    <w:rsid w:val="00F87D92"/>
    <w:rsid w:val="00F90AA7"/>
    <w:rsid w:val="00F92498"/>
    <w:rsid w:val="00F9496B"/>
    <w:rsid w:val="00F97050"/>
    <w:rsid w:val="00F970C9"/>
    <w:rsid w:val="00FA06A8"/>
    <w:rsid w:val="00FA3DF5"/>
    <w:rsid w:val="00FA741F"/>
    <w:rsid w:val="00FB4E07"/>
    <w:rsid w:val="00FB755A"/>
    <w:rsid w:val="00FC4610"/>
    <w:rsid w:val="00FC60A2"/>
    <w:rsid w:val="00FD1871"/>
    <w:rsid w:val="00FD3110"/>
    <w:rsid w:val="00FD531E"/>
    <w:rsid w:val="00FE279F"/>
    <w:rsid w:val="00FF5C3D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9"/>
    <o:shapelayout v:ext="edit">
      <o:idmap v:ext="edit" data="1"/>
    </o:shapelayout>
  </w:shapeDefaults>
  <w:decimalSymbol w:val="."/>
  <w:listSeparator w:val=","/>
  <w14:docId w14:val="0C32E6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6C2C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C9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C9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C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C93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A858F8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DC05C1"/>
    <w:pPr>
      <w:contextualSpacing/>
    </w:pPr>
  </w:style>
  <w:style w:type="paragraph" w:styleId="ListNumber">
    <w:name w:val="List Number"/>
    <w:basedOn w:val="Normal"/>
    <w:uiPriority w:val="99"/>
    <w:unhideWhenUsed/>
    <w:rsid w:val="00601BA8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2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E1881E48B884022A2CB551087E01C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9BD3E-EE94-40DB-8174-719E8F726ECC}"/>
      </w:docPartPr>
      <w:docPartBody>
        <w:p w:rsidR="00B46CA4" w:rsidRDefault="009601B7" w:rsidP="009601B7">
          <w:pPr>
            <w:pStyle w:val="CE1881E48B884022A2CB551087E01CF9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CE92B3129BD4F1E9274E550E10F8F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202BD5-7393-4365-AFEB-E0DFC145A2B3}"/>
      </w:docPartPr>
      <w:docPartBody>
        <w:p w:rsidR="0013670B" w:rsidRDefault="00264CE2" w:rsidP="00264CE2">
          <w:pPr>
            <w:pStyle w:val="ECE92B3129BD4F1E9274E550E10F8F98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EEED44B4CFFF46EFBA470E2A62C29A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1EE90-DF17-4FA5-8E04-78FD7E07C168}"/>
      </w:docPartPr>
      <w:docPartBody>
        <w:p w:rsidR="00C96564" w:rsidRDefault="0013670B" w:rsidP="0013670B">
          <w:pPr>
            <w:pStyle w:val="EEED44B4CFFF46EFBA470E2A62C29AB8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3670B"/>
    <w:rsid w:val="001A6B56"/>
    <w:rsid w:val="00201365"/>
    <w:rsid w:val="00264CE2"/>
    <w:rsid w:val="007404A7"/>
    <w:rsid w:val="00834280"/>
    <w:rsid w:val="009601B7"/>
    <w:rsid w:val="00B46CA4"/>
    <w:rsid w:val="00BA7A4C"/>
    <w:rsid w:val="00C96564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670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E1881E48B884022A2CB551087E01CF9">
    <w:name w:val="CE1881E48B884022A2CB551087E01CF9"/>
    <w:rsid w:val="009601B7"/>
    <w:rPr>
      <w:lang w:val="en-US" w:eastAsia="en-US"/>
    </w:rPr>
  </w:style>
  <w:style w:type="paragraph" w:customStyle="1" w:styleId="ECE92B3129BD4F1E9274E550E10F8F98">
    <w:name w:val="ECE92B3129BD4F1E9274E550E10F8F98"/>
    <w:rsid w:val="00264CE2"/>
  </w:style>
  <w:style w:type="paragraph" w:customStyle="1" w:styleId="EEED44B4CFFF46EFBA470E2A62C29AB8">
    <w:name w:val="EEED44B4CFFF46EFBA470E2A62C29AB8"/>
    <w:rsid w:val="001367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DC3D35-98D5-4559-A13C-4BF613B1BF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DC0439-6CDE-4FB5-93BE-0838898011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8061AD-9213-4E6D-8864-2B6DB9EAFF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880F92-7FE6-4A12-9FAA-B2C43FD031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2110</Words>
  <Characters>12032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2019-12-17T23:54:00Z</dcterms:created>
  <dcterms:modified xsi:type="dcterms:W3CDTF">2025-12-24T00:04:00Z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2025-12-24T00:04:38Z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28d09688-5704-4675-9020-325caf50602e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