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8D428" w14:textId="564854B0" w:rsidR="00BD499F" w:rsidRPr="004C23F4" w:rsidRDefault="00052D90" w:rsidP="00B40C60">
      <w:pPr>
        <w:pStyle w:val="Heading1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sdt>
        <w:sdtPr>
          <w:rPr>
            <w:rFonts w:ascii="Arial" w:hAnsi="Arial" w:cs="Arial"/>
          </w:rPr>
          <w:alias w:val="NameofChemical"/>
          <w:tag w:val="NameofChemical"/>
          <w:id w:val="1425919599"/>
          <w:lock w:val="sdtLocked"/>
          <w:placeholder>
            <w:docPart w:val="CE1736E50B02464986D1BEC8B7ACDE96"/>
          </w:placeholder>
          <w:text/>
        </w:sdtPr>
        <w:sdtEndPr/>
        <w:sdtContent>
          <w:r w:rsidR="00627373">
            <w:rPr>
              <w:rFonts w:ascii="Arial" w:hAnsi="Arial" w:cs="Arial"/>
            </w:rPr>
            <w:t>M</w:t>
          </w:r>
          <w:r w:rsidR="001D51DB">
            <w:rPr>
              <w:rFonts w:ascii="Arial" w:hAnsi="Arial" w:cs="Arial"/>
            </w:rPr>
            <w:t>ercury, alkyl compounds (as hg)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3"/>
        <w:gridCol w:w="5043"/>
      </w:tblGrid>
      <w:tr w:rsidR="00F43AD5" w:rsidRPr="004C23F4" w14:paraId="2FB630BF" w14:textId="77777777" w:rsidTr="00B76A41">
        <w:trPr>
          <w:cantSplit/>
          <w:tblHeader/>
        </w:trPr>
        <w:tc>
          <w:tcPr>
            <w:tcW w:w="4077" w:type="dxa"/>
          </w:tcPr>
          <w:p w14:paraId="2D4FBE07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6739CE8F" w14:textId="33A9AE02" w:rsidR="00F43AD5" w:rsidRPr="00717D45" w:rsidRDefault="005E5819" w:rsidP="00B76A41">
            <w:pPr>
              <w:pStyle w:val="Tablefont"/>
            </w:pPr>
            <w:r>
              <w:t>7439-97-6</w:t>
            </w:r>
          </w:p>
        </w:tc>
      </w:tr>
      <w:tr w:rsidR="00F43AD5" w:rsidRPr="004C23F4" w14:paraId="53EAE3FF" w14:textId="77777777" w:rsidTr="00B76A41">
        <w:trPr>
          <w:cantSplit/>
        </w:trPr>
        <w:tc>
          <w:tcPr>
            <w:tcW w:w="4077" w:type="dxa"/>
          </w:tcPr>
          <w:p w14:paraId="7B78DF55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671CB8D0" w14:textId="58F6C38F" w:rsidR="00F43AD5" w:rsidRPr="00717D45" w:rsidRDefault="001268A3" w:rsidP="00B76A41">
            <w:pPr>
              <w:pStyle w:val="Tablefont"/>
            </w:pPr>
            <w:r>
              <w:t>Methyl</w:t>
            </w:r>
            <w:r w:rsidR="00567552">
              <w:t>mercury,</w:t>
            </w:r>
            <w:r w:rsidR="001454B6">
              <w:t xml:space="preserve"> </w:t>
            </w:r>
            <w:r w:rsidR="00567552">
              <w:t>ethylmercury, phenylmercury</w:t>
            </w:r>
          </w:p>
        </w:tc>
      </w:tr>
      <w:tr w:rsidR="00F43AD5" w:rsidRPr="004C23F4" w14:paraId="68DC9887" w14:textId="77777777" w:rsidTr="00B76A41">
        <w:trPr>
          <w:cantSplit/>
        </w:trPr>
        <w:tc>
          <w:tcPr>
            <w:tcW w:w="4077" w:type="dxa"/>
          </w:tcPr>
          <w:p w14:paraId="75397EB5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39BED420" w14:textId="26310D6B" w:rsidR="00F43AD5" w:rsidRPr="00717D45" w:rsidRDefault="00567552" w:rsidP="00B76A41">
            <w:pPr>
              <w:pStyle w:val="Tablefont"/>
            </w:pPr>
            <w:r>
              <w:t>—</w:t>
            </w:r>
          </w:p>
        </w:tc>
      </w:tr>
      <w:tr w:rsidR="00F43AD5" w:rsidRPr="004C23F4" w14:paraId="1E97B52D" w14:textId="77777777" w:rsidTr="00B76A41">
        <w:trPr>
          <w:cantSplit/>
        </w:trPr>
        <w:tc>
          <w:tcPr>
            <w:tcW w:w="4077" w:type="dxa"/>
          </w:tcPr>
          <w:p w14:paraId="71D46921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7CD1FB04" w14:textId="77777777" w:rsidR="00F43AD5" w:rsidRPr="00B40C60" w:rsidRDefault="001D51DB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3D0E4867" w14:textId="4B369B9D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55371E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1CEC4C1F" w14:textId="77777777" w:rsidTr="001D51DB">
        <w:trPr>
          <w:cantSplit/>
          <w:tblHeader/>
        </w:trPr>
        <w:tc>
          <w:tcPr>
            <w:tcW w:w="4010" w:type="dxa"/>
            <w:vAlign w:val="center"/>
          </w:tcPr>
          <w:p w14:paraId="67FC7514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5B245C0D" w14:textId="41E3FBB2" w:rsidR="002C7AFE" w:rsidRPr="00DF5F1D" w:rsidRDefault="00DF5F1D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0.01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1D51DB" w:rsidRPr="004C23F4" w14:paraId="2E789B56" w14:textId="77777777" w:rsidTr="001D51DB">
        <w:trPr>
          <w:cantSplit/>
        </w:trPr>
        <w:tc>
          <w:tcPr>
            <w:tcW w:w="4010" w:type="dxa"/>
            <w:vAlign w:val="center"/>
          </w:tcPr>
          <w:p w14:paraId="3030FC3B" w14:textId="77777777" w:rsidR="001D51DB" w:rsidRPr="002C58FF" w:rsidRDefault="001D51DB" w:rsidP="001D51DB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62493B66" w14:textId="4453C161" w:rsidR="001D51DB" w:rsidRPr="00EB284F" w:rsidRDefault="00D764E3" w:rsidP="001D51DB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—</w:t>
            </w:r>
          </w:p>
        </w:tc>
      </w:tr>
      <w:tr w:rsidR="001D51DB" w:rsidRPr="004C23F4" w14:paraId="0BD176A0" w14:textId="77777777" w:rsidTr="001D51DB">
        <w:trPr>
          <w:cantSplit/>
        </w:trPr>
        <w:tc>
          <w:tcPr>
            <w:tcW w:w="4010" w:type="dxa"/>
            <w:vAlign w:val="center"/>
          </w:tcPr>
          <w:p w14:paraId="63EBFF91" w14:textId="77777777" w:rsidR="001D51DB" w:rsidRPr="002C58FF" w:rsidRDefault="001D51DB" w:rsidP="001D51DB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6FB848E5" w14:textId="77777777" w:rsidR="001D51DB" w:rsidRPr="00EB3D1B" w:rsidRDefault="001D51DB" w:rsidP="001D51DB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D51DB" w:rsidRPr="004C23F4" w14:paraId="64DFBF00" w14:textId="77777777" w:rsidTr="001D51DB">
        <w:trPr>
          <w:cantSplit/>
        </w:trPr>
        <w:tc>
          <w:tcPr>
            <w:tcW w:w="4010" w:type="dxa"/>
          </w:tcPr>
          <w:p w14:paraId="7DC08E4B" w14:textId="77777777" w:rsidR="001D51DB" w:rsidRPr="002C58FF" w:rsidRDefault="001D51DB" w:rsidP="001D51DB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5F1FDFF6" w14:textId="12C5A2C4" w:rsidR="001D51DB" w:rsidRPr="00EB3D1B" w:rsidRDefault="00633C1B" w:rsidP="001D51DB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1D51DB" w:rsidRPr="004C23F4" w14:paraId="60C853B0" w14:textId="77777777" w:rsidTr="001D51DB">
        <w:trPr>
          <w:cantSplit/>
        </w:trPr>
        <w:tc>
          <w:tcPr>
            <w:tcW w:w="4010" w:type="dxa"/>
            <w:vAlign w:val="center"/>
          </w:tcPr>
          <w:p w14:paraId="76AF4CA5" w14:textId="77777777" w:rsidR="001D51DB" w:rsidRPr="002C58FF" w:rsidRDefault="001D51DB" w:rsidP="001D51DB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3E1C5A7D" w14:textId="7B178852" w:rsidR="001D51DB" w:rsidRPr="00EB3D1B" w:rsidRDefault="00E61DED" w:rsidP="00E61DED">
            <w:pPr>
              <w:pStyle w:val="Tablefont"/>
              <w:rPr>
                <w:b/>
              </w:rPr>
            </w:pPr>
            <w:r>
              <w:rPr>
                <w:b/>
              </w:rPr>
              <w:t>2 mg/m</w:t>
            </w:r>
            <w:r w:rsidRPr="008863CA">
              <w:rPr>
                <w:b/>
                <w:vertAlign w:val="superscript"/>
              </w:rPr>
              <w:t>3</w:t>
            </w:r>
            <w:r>
              <w:rPr>
                <w:b/>
              </w:rPr>
              <w:t xml:space="preserve"> </w:t>
            </w:r>
            <w:r w:rsidRPr="004A15B5">
              <w:rPr>
                <w:b/>
              </w:rPr>
              <w:t>(as Hg)</w:t>
            </w:r>
          </w:p>
        </w:tc>
      </w:tr>
      <w:tr w:rsidR="00306F2F" w:rsidRPr="004C23F4" w14:paraId="0EFCA184" w14:textId="77777777" w:rsidTr="00E446E9">
        <w:trPr>
          <w:cantSplit/>
        </w:trPr>
        <w:tc>
          <w:tcPr>
            <w:tcW w:w="9026" w:type="dxa"/>
            <w:gridSpan w:val="2"/>
            <w:vAlign w:val="center"/>
          </w:tcPr>
          <w:p w14:paraId="1A1767FA" w14:textId="2756D86D" w:rsidR="00306F2F" w:rsidRPr="00EB3D1B" w:rsidRDefault="00306F2F" w:rsidP="001D51DB">
            <w:pPr>
              <w:pStyle w:val="Tablefont"/>
              <w:rPr>
                <w:b/>
              </w:rPr>
            </w:pPr>
            <w:r w:rsidRPr="00E82B18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E0FD1887FE9248B6BDBF105761C4DD7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096757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0CCCEF92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D0F7CED" w14:textId="0294FAA3" w:rsidR="006639B4" w:rsidRDefault="00DF5F1D" w:rsidP="000C139A">
      <w:r>
        <w:rPr>
          <w:rFonts w:cs="Arial"/>
        </w:rPr>
        <w:t>A TWA of 0.</w:t>
      </w:r>
      <w:r w:rsidR="00F318F2">
        <w:rPr>
          <w:rFonts w:cs="Arial"/>
        </w:rPr>
        <w:t>0</w:t>
      </w:r>
      <w:r>
        <w:rPr>
          <w:rFonts w:cs="Arial"/>
        </w:rPr>
        <w:t>1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is recommended to protect for </w:t>
      </w:r>
      <w:r w:rsidR="00221292">
        <w:rPr>
          <w:rFonts w:cs="Arial"/>
        </w:rPr>
        <w:t>central nervous system (</w:t>
      </w:r>
      <w:r>
        <w:t>CNS</w:t>
      </w:r>
      <w:r w:rsidR="00221292">
        <w:t>)</w:t>
      </w:r>
      <w:r>
        <w:t xml:space="preserve"> and periph</w:t>
      </w:r>
      <w:r w:rsidR="009C45B6">
        <w:t xml:space="preserve">eral nervous system effects </w:t>
      </w:r>
      <w:r>
        <w:t>in exposed workers.</w:t>
      </w:r>
      <w:r w:rsidR="00633C1B">
        <w:t xml:space="preserve"> The TWA will </w:t>
      </w:r>
      <w:r w:rsidR="00DE60F5">
        <w:t xml:space="preserve">also </w:t>
      </w:r>
      <w:r w:rsidR="00633C1B">
        <w:t>reduce the risk of</w:t>
      </w:r>
      <w:r>
        <w:t xml:space="preserve"> developmental </w:t>
      </w:r>
      <w:r w:rsidR="00633C1B">
        <w:t>effects in the progeny of exposed workers.</w:t>
      </w:r>
    </w:p>
    <w:p w14:paraId="5F56E6E3" w14:textId="2EF8552F" w:rsidR="00036F5C" w:rsidRDefault="00036F5C" w:rsidP="000C139A">
      <w:r>
        <w:t xml:space="preserve">A STEL is not recommended as </w:t>
      </w:r>
      <w:r w:rsidR="00772D46">
        <w:t xml:space="preserve">available </w:t>
      </w:r>
      <w:r>
        <w:t>evidence does not demonstrate acute effects.</w:t>
      </w:r>
    </w:p>
    <w:p w14:paraId="1099558C" w14:textId="77777777" w:rsidR="00C96589" w:rsidRDefault="00C96589" w:rsidP="00C96589">
      <w:pPr>
        <w:rPr>
          <w:rFonts w:cs="Arial"/>
        </w:rPr>
      </w:pPr>
      <w:r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463867AC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05237CB" w14:textId="2ED2C7A3" w:rsidR="007A501F" w:rsidRDefault="00551FB2" w:rsidP="00094FAD">
      <w:r>
        <w:t xml:space="preserve">Alkyl mercury compounds are used as fungicides in seed dressings and </w:t>
      </w:r>
      <w:r w:rsidR="007A501F">
        <w:t>foliage</w:t>
      </w:r>
      <w:r>
        <w:t xml:space="preserve"> sprays. </w:t>
      </w:r>
      <w:r w:rsidR="00567552">
        <w:t>It is a</w:t>
      </w:r>
      <w:r>
        <w:t>lso used as preservative solutions for wood, paper pulp, textiles and leather</w:t>
      </w:r>
      <w:r w:rsidR="00094FAD">
        <w:t>.</w:t>
      </w:r>
      <w:r w:rsidR="00627373">
        <w:t xml:space="preserve"> </w:t>
      </w:r>
      <w:r w:rsidR="007A501F">
        <w:t>Common alkyl mercurial includes methylmercury</w:t>
      </w:r>
      <w:r w:rsidR="00567552">
        <w:t xml:space="preserve"> (MeHg)</w:t>
      </w:r>
      <w:r w:rsidR="007A501F">
        <w:t xml:space="preserve">, </w:t>
      </w:r>
      <w:r w:rsidR="007B0584">
        <w:t>ethyl</w:t>
      </w:r>
      <w:r w:rsidR="00093023">
        <w:t>mercury</w:t>
      </w:r>
      <w:r w:rsidR="007A501F">
        <w:t xml:space="preserve"> </w:t>
      </w:r>
      <w:r w:rsidR="00093023">
        <w:t xml:space="preserve">and </w:t>
      </w:r>
      <w:r w:rsidR="007A501F">
        <w:t>phenyl</w:t>
      </w:r>
      <w:r w:rsidR="00093023">
        <w:t>mercury</w:t>
      </w:r>
      <w:r w:rsidR="002B176C">
        <w:t xml:space="preserve"> and their salts</w:t>
      </w:r>
      <w:r w:rsidR="00093023">
        <w:t xml:space="preserve">. </w:t>
      </w:r>
    </w:p>
    <w:p w14:paraId="7395D1FB" w14:textId="7E066B5B" w:rsidR="00094FAD" w:rsidRDefault="00DF5F1D" w:rsidP="00094FAD">
      <w:r>
        <w:t xml:space="preserve">Limited dose-response data </w:t>
      </w:r>
      <w:r w:rsidR="00036F5C">
        <w:t xml:space="preserve">are </w:t>
      </w:r>
      <w:r>
        <w:t xml:space="preserve">available in humans and animals. </w:t>
      </w:r>
      <w:r w:rsidR="00094FAD">
        <w:t xml:space="preserve">Alkyl mercury compounds rapidly pass through </w:t>
      </w:r>
      <w:r w:rsidR="00B4724C">
        <w:t xml:space="preserve">the </w:t>
      </w:r>
      <w:r w:rsidR="00094FAD">
        <w:t>blood-brain barrier and placenta</w:t>
      </w:r>
      <w:r w:rsidR="00B4724C">
        <w:t>.</w:t>
      </w:r>
      <w:r w:rsidR="00C107BC">
        <w:t xml:space="preserve"> </w:t>
      </w:r>
      <w:r w:rsidR="00221292">
        <w:t>Critical effects</w:t>
      </w:r>
      <w:r w:rsidR="00B4724C">
        <w:t xml:space="preserve"> </w:t>
      </w:r>
      <w:r w:rsidR="00036F5C">
        <w:t>of</w:t>
      </w:r>
      <w:r w:rsidR="00B4724C">
        <w:t xml:space="preserve"> exposure</w:t>
      </w:r>
      <w:r w:rsidR="00221292">
        <w:t xml:space="preserve"> </w:t>
      </w:r>
      <w:r w:rsidR="00221292" w:rsidRPr="00B64CED">
        <w:t xml:space="preserve">include CNS and peripheral nervous system toxicity. </w:t>
      </w:r>
      <w:r w:rsidR="0044277C" w:rsidRPr="00B64CED">
        <w:t>Methylmercury is a known teratogen in humans and animals</w:t>
      </w:r>
      <w:r w:rsidR="00036F5C">
        <w:t>.</w:t>
      </w:r>
      <w:r w:rsidR="0044277C" w:rsidRPr="00B64CED">
        <w:t xml:space="preserve"> </w:t>
      </w:r>
      <w:r w:rsidR="00036F5C">
        <w:t>H</w:t>
      </w:r>
      <w:r w:rsidR="0044277C" w:rsidRPr="00B64CED">
        <w:t>owever</w:t>
      </w:r>
      <w:r w:rsidR="00036F5C">
        <w:t>,</w:t>
      </w:r>
      <w:r w:rsidR="0044277C" w:rsidRPr="00B64CED">
        <w:t xml:space="preserve"> no exposure-response data </w:t>
      </w:r>
      <w:r w:rsidR="00B4724C">
        <w:t>are</w:t>
      </w:r>
      <w:r w:rsidR="00B4724C" w:rsidRPr="00B64CED">
        <w:t xml:space="preserve"> </w:t>
      </w:r>
      <w:r w:rsidR="0044277C" w:rsidRPr="00B64CED">
        <w:t xml:space="preserve">available. </w:t>
      </w:r>
      <w:r w:rsidR="00094FAD" w:rsidRPr="00B64CED">
        <w:t xml:space="preserve">No symptoms of mercury poisoning </w:t>
      </w:r>
      <w:r w:rsidR="00036F5C">
        <w:t>a</w:t>
      </w:r>
      <w:r w:rsidR="00B64CED">
        <w:t xml:space="preserve">re </w:t>
      </w:r>
      <w:r w:rsidR="00094FAD" w:rsidRPr="00B64CED">
        <w:t xml:space="preserve">identified in humans exposed at </w:t>
      </w:r>
      <w:r w:rsidR="00B64CED">
        <w:t>concentrations a</w:t>
      </w:r>
      <w:r w:rsidR="0044649D">
        <w:t xml:space="preserve">s </w:t>
      </w:r>
      <w:r w:rsidR="00B64CED">
        <w:t xml:space="preserve">low as </w:t>
      </w:r>
      <w:r w:rsidR="00094FAD" w:rsidRPr="00B64CED">
        <w:t>0.01</w:t>
      </w:r>
      <w:r w:rsidR="00B64CED">
        <w:t xml:space="preserve"> </w:t>
      </w:r>
      <w:r w:rsidR="00094FAD" w:rsidRPr="00B64CED">
        <w:t>mg/m</w:t>
      </w:r>
      <w:r w:rsidR="00094FAD" w:rsidRPr="00B64CED">
        <w:rPr>
          <w:vertAlign w:val="superscript"/>
        </w:rPr>
        <w:t>3</w:t>
      </w:r>
      <w:r w:rsidR="00B4724C">
        <w:t>.</w:t>
      </w:r>
      <w:r w:rsidR="00C107BC">
        <w:t xml:space="preserve"> However, w</w:t>
      </w:r>
      <w:r w:rsidR="00B4724C">
        <w:t>ithin t</w:t>
      </w:r>
      <w:r w:rsidR="0055371E">
        <w:t>h</w:t>
      </w:r>
      <w:r w:rsidR="00B4724C">
        <w:t>ese cases, e</w:t>
      </w:r>
      <w:r w:rsidR="00B64CED">
        <w:t>xposure</w:t>
      </w:r>
      <w:r w:rsidR="00B4724C">
        <w:t xml:space="preserve"> </w:t>
      </w:r>
      <w:r w:rsidR="00036F5C">
        <w:t>i</w:t>
      </w:r>
      <w:r w:rsidR="00B4724C">
        <w:t>s</w:t>
      </w:r>
      <w:r w:rsidR="00B64CED">
        <w:t xml:space="preserve"> reported to </w:t>
      </w:r>
      <w:r w:rsidR="00B4724C">
        <w:t xml:space="preserve">include </w:t>
      </w:r>
      <w:r w:rsidR="00094FAD" w:rsidRPr="00B64CED">
        <w:t xml:space="preserve">occasional sizeable </w:t>
      </w:r>
      <w:r w:rsidR="0055371E">
        <w:t>fluctuations</w:t>
      </w:r>
      <w:r w:rsidR="00B4724C" w:rsidRPr="00B64CED">
        <w:t xml:space="preserve"> </w:t>
      </w:r>
      <w:r w:rsidR="007B0584" w:rsidRPr="00B64CED">
        <w:t>for brief periods</w:t>
      </w:r>
      <w:r w:rsidR="00094FAD" w:rsidRPr="00B64CED">
        <w:t>. In animals, the main target organ is the brain with effects in other organs includ</w:t>
      </w:r>
      <w:r w:rsidR="00DE60F5">
        <w:t>ing the</w:t>
      </w:r>
      <w:r w:rsidR="00094FAD" w:rsidRPr="00B64CED">
        <w:t xml:space="preserve"> kidneys, liver, gastrointestinal </w:t>
      </w:r>
      <w:r w:rsidR="00036F5C">
        <w:t xml:space="preserve">tract </w:t>
      </w:r>
      <w:r w:rsidR="00094FAD" w:rsidRPr="00B64CED">
        <w:t>and gonads (ACGIH,</w:t>
      </w:r>
      <w:r w:rsidR="00DE60F5">
        <w:t> </w:t>
      </w:r>
      <w:r w:rsidR="00094FAD" w:rsidRPr="00B64CED">
        <w:t xml:space="preserve">2018). </w:t>
      </w:r>
      <w:r w:rsidR="00036F5C">
        <w:t>There is s</w:t>
      </w:r>
      <w:r w:rsidRPr="00B64CED">
        <w:t>ome evidence of carcinogenic effects in animals</w:t>
      </w:r>
      <w:r w:rsidR="00036F5C">
        <w:t>.</w:t>
      </w:r>
      <w:r w:rsidR="00D764E3" w:rsidRPr="00B64CED">
        <w:t xml:space="preserve"> </w:t>
      </w:r>
      <w:r w:rsidR="00036F5C">
        <w:t>H</w:t>
      </w:r>
      <w:r w:rsidR="00D764E3" w:rsidRPr="00B64CED">
        <w:t>owever</w:t>
      </w:r>
      <w:r w:rsidR="00036F5C">
        <w:t>, this is</w:t>
      </w:r>
      <w:r w:rsidR="00D764E3" w:rsidRPr="00B64CED">
        <w:t xml:space="preserve"> </w:t>
      </w:r>
      <w:r w:rsidR="0044277C" w:rsidRPr="00B64CED">
        <w:t>not considered relevant to occupational exposures</w:t>
      </w:r>
      <w:r w:rsidRPr="00B64CED">
        <w:t>.</w:t>
      </w:r>
    </w:p>
    <w:p w14:paraId="1F2E2A32" w14:textId="59BD5A38" w:rsidR="00D53D41" w:rsidRDefault="0055371E" w:rsidP="00D53D41">
      <w:r>
        <w:t>Given the limited available data, the TWA of 0.01 mg/m</w:t>
      </w:r>
      <w:r>
        <w:rPr>
          <w:vertAlign w:val="superscript"/>
        </w:rPr>
        <w:t>3</w:t>
      </w:r>
      <w:r>
        <w:t xml:space="preserve"> is recommended </w:t>
      </w:r>
      <w:r w:rsidR="00036F5C">
        <w:t>in the interim</w:t>
      </w:r>
      <w:r>
        <w:t xml:space="preserve"> to </w:t>
      </w:r>
      <w:r w:rsidR="00193DA7">
        <w:t xml:space="preserve">protect for </w:t>
      </w:r>
      <w:r w:rsidRPr="00B64CED">
        <w:t>CNS and peripheral nervous system toxicity</w:t>
      </w:r>
      <w:r>
        <w:t>.</w:t>
      </w:r>
      <w:r w:rsidR="00D53D41">
        <w:t xml:space="preserve"> This TWA </w:t>
      </w:r>
      <w:r w:rsidR="00D53D41" w:rsidRPr="00856971">
        <w:t>is considered</w:t>
      </w:r>
      <w:r w:rsidR="00D53D41">
        <w:t xml:space="preserve"> to protect for effects in other organs.</w:t>
      </w:r>
    </w:p>
    <w:p w14:paraId="7CEDF9C9" w14:textId="6E8B78D8" w:rsidR="006639B4" w:rsidRDefault="00EB284F" w:rsidP="006639B4">
      <w:r w:rsidRPr="00B64CED">
        <w:lastRenderedPageBreak/>
        <w:t>The available evidence did not demonstrate acute effects associated with short-term exposures and a</w:t>
      </w:r>
      <w:r w:rsidR="00DF5F1D" w:rsidRPr="00B64CED">
        <w:t>s such</w:t>
      </w:r>
      <w:r w:rsidR="00036F5C">
        <w:t>,</w:t>
      </w:r>
      <w:r w:rsidR="00DF5F1D" w:rsidRPr="00B64CED">
        <w:t xml:space="preserve"> a STEL is not </w:t>
      </w:r>
      <w:r w:rsidR="001E3ED5" w:rsidRPr="00B64CED">
        <w:t>recommended</w:t>
      </w:r>
      <w:r w:rsidR="00DF5F1D" w:rsidRPr="00B64CED">
        <w:t>.</w:t>
      </w:r>
    </w:p>
    <w:p w14:paraId="0C51D3A7" w14:textId="210D3162" w:rsidR="0055371E" w:rsidRDefault="0055371E" w:rsidP="006639B4">
      <w:r>
        <w:t>Given the</w:t>
      </w:r>
      <w:r w:rsidR="00C107BC">
        <w:t xml:space="preserve"> limited data available from primary sources, it is recommended that a review of additional sources be conducted at the next scheduled review</w:t>
      </w:r>
      <w:r>
        <w:t>.</w:t>
      </w:r>
    </w:p>
    <w:p w14:paraId="50949F16" w14:textId="77777777" w:rsidR="004529F0" w:rsidRPr="004C23F4" w:rsidRDefault="004529F0" w:rsidP="00627373">
      <w:pPr>
        <w:pStyle w:val="Heading2"/>
      </w:pPr>
      <w:r>
        <w:t>Recommendation for notations</w:t>
      </w:r>
    </w:p>
    <w:p w14:paraId="70A7EDA0" w14:textId="1C327BBD" w:rsidR="001D51DB" w:rsidRPr="00D764E3" w:rsidRDefault="001D51DB" w:rsidP="00221292">
      <w:pPr>
        <w:keepNext/>
        <w:rPr>
          <w:rFonts w:cs="Arial"/>
        </w:rPr>
      </w:pPr>
      <w:r w:rsidRPr="00633C1B">
        <w:rPr>
          <w:rFonts w:cs="Arial"/>
        </w:rPr>
        <w:t xml:space="preserve">Not classified as a carcinogen according to the Globally Harmonized System of Classification and </w:t>
      </w:r>
      <w:r w:rsidRPr="00D764E3">
        <w:rPr>
          <w:rFonts w:cs="Arial"/>
        </w:rPr>
        <w:t xml:space="preserve">Labelling </w:t>
      </w:r>
      <w:r w:rsidR="00627373" w:rsidRPr="00D764E3">
        <w:rPr>
          <w:rFonts w:cs="Arial"/>
        </w:rPr>
        <w:t xml:space="preserve">of </w:t>
      </w:r>
      <w:r w:rsidRPr="00D764E3">
        <w:rPr>
          <w:rFonts w:cs="Arial"/>
        </w:rPr>
        <w:t xml:space="preserve">Chemicals (GHS). </w:t>
      </w:r>
    </w:p>
    <w:p w14:paraId="7553FCC5" w14:textId="26F176BC" w:rsidR="001D51DB" w:rsidRPr="00633C1B" w:rsidRDefault="001D51DB" w:rsidP="00221292">
      <w:pPr>
        <w:keepNext/>
        <w:rPr>
          <w:rFonts w:cs="Arial"/>
        </w:rPr>
      </w:pPr>
      <w:r w:rsidRPr="00D764E3">
        <w:rPr>
          <w:rFonts w:cs="Arial"/>
        </w:rPr>
        <w:t xml:space="preserve">Not classified as a skin </w:t>
      </w:r>
      <w:r w:rsidR="00627373" w:rsidRPr="00D764E3">
        <w:rPr>
          <w:rFonts w:cs="Arial"/>
        </w:rPr>
        <w:t xml:space="preserve">sensitiser </w:t>
      </w:r>
      <w:r w:rsidRPr="00D764E3">
        <w:rPr>
          <w:rFonts w:cs="Arial"/>
        </w:rPr>
        <w:t>or respiratory sensitiser according to the GHS</w:t>
      </w:r>
      <w:r w:rsidRPr="00633C1B">
        <w:rPr>
          <w:rFonts w:cs="Arial"/>
        </w:rPr>
        <w:t>.</w:t>
      </w:r>
      <w:r w:rsidR="0044277C">
        <w:rPr>
          <w:rFonts w:cs="Arial"/>
        </w:rPr>
        <w:t xml:space="preserve"> </w:t>
      </w:r>
      <w:r w:rsidR="00514F05">
        <w:rPr>
          <w:rFonts w:cs="Arial"/>
        </w:rPr>
        <w:t>A review of the classification for skin sensitisation</w:t>
      </w:r>
      <w:r w:rsidR="00193DA7">
        <w:rPr>
          <w:rFonts w:cs="Arial"/>
        </w:rPr>
        <w:t xml:space="preserve"> by NICNAS</w:t>
      </w:r>
      <w:r w:rsidR="00514F05">
        <w:rPr>
          <w:rFonts w:cs="Arial"/>
        </w:rPr>
        <w:t xml:space="preserve"> is recommended as there is evidence of dermal sensitisation reported in the primary sources</w:t>
      </w:r>
      <w:r w:rsidR="00B64CED">
        <w:rPr>
          <w:rFonts w:cs="Arial"/>
        </w:rPr>
        <w:t>.</w:t>
      </w:r>
    </w:p>
    <w:p w14:paraId="32151644" w14:textId="58D77EBA" w:rsidR="004529F0" w:rsidRPr="004C23F4" w:rsidRDefault="00633C1B" w:rsidP="00221292">
      <w:pPr>
        <w:keepNext/>
        <w:rPr>
          <w:rFonts w:cs="Arial"/>
        </w:rPr>
      </w:pPr>
      <w:r>
        <w:rPr>
          <w:rFonts w:cs="Arial"/>
        </w:rPr>
        <w:t>A skin notation is recommended due to evidence of dermal absorption and contribution to adverse systemic effects.</w:t>
      </w:r>
    </w:p>
    <w:p w14:paraId="6E03FC8D" w14:textId="77777777" w:rsidR="0025734A" w:rsidRPr="004C23F4" w:rsidRDefault="0025734A">
      <w:pPr>
        <w:rPr>
          <w:rFonts w:cs="Arial"/>
        </w:rPr>
      </w:pPr>
    </w:p>
    <w:p w14:paraId="29FCA2DD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C00B2A7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1D29D9E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0D86C111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7F56DEC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E6837ED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05A963D9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092AF5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092AF5">
                  <w:t>TWA: 0.01 mg/m</w:t>
                </w:r>
                <w:r w:rsidR="00092AF5" w:rsidRPr="00092AF5">
                  <w:rPr>
                    <w:vertAlign w:val="superscript"/>
                  </w:rPr>
                  <w:t>3</w:t>
                </w:r>
                <w:r w:rsidR="00092AF5">
                  <w:t>; STEL: 0.03 mg/m</w:t>
                </w:r>
                <w:r w:rsidR="00092AF5" w:rsidRPr="00092AF5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3121965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F364C80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020C76A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090E775" w14:textId="161ED79F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7A2D83" w:rsidRPr="007A2D83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-1914609311"/>
                    <w:placeholder>
                      <w:docPart w:val="CE1881E48B884022A2CB551087E01CF9"/>
                    </w:placeholder>
                  </w:sdtPr>
                  <w:sdtEndPr/>
                  <w:sdtContent>
                    <w:r w:rsidR="006C2C93">
                      <w:t>TLV-TWA: 0.01 mg/m</w:t>
                    </w:r>
                    <w:r w:rsidR="006C2C93" w:rsidRPr="00092AF5">
                      <w:rPr>
                        <w:vertAlign w:val="superscript"/>
                      </w:rPr>
                      <w:t>3</w:t>
                    </w:r>
                    <w:r w:rsidR="006C2C93">
                      <w:t>; TLV-STEL: 0.03 mg/m</w:t>
                    </w:r>
                    <w:r w:rsidR="006C2C93" w:rsidRPr="00092AF5">
                      <w:rPr>
                        <w:vertAlign w:val="superscript"/>
                      </w:rPr>
                      <w:t>3</w:t>
                    </w:r>
                  </w:sdtContent>
                </w:sdt>
              </w:sdtContent>
            </w:sdt>
          </w:p>
        </w:tc>
      </w:tr>
      <w:tr w:rsidR="00C978F0" w:rsidRPr="00DA352E" w14:paraId="4CD2E87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16191BB" w14:textId="4A787886" w:rsidR="00C978F0" w:rsidRDefault="007A2D83" w:rsidP="00627373">
            <w:pPr>
              <w:pStyle w:val="Tabletextprimarysource"/>
            </w:pPr>
            <w:r>
              <w:t>TLV-TWA and TLV-STEL recommended to minimise the potential for CNS and peripheral nervous system toxicity and effects on the kidney in exposed workers.</w:t>
            </w:r>
          </w:p>
          <w:p w14:paraId="13B0D405" w14:textId="11109EF8" w:rsidR="007A2D83" w:rsidRDefault="007A2D83" w:rsidP="00627373">
            <w:pPr>
              <w:pStyle w:val="Tabletextprimarysource"/>
            </w:pPr>
            <w:r>
              <w:t>Summary of data:</w:t>
            </w:r>
          </w:p>
          <w:p w14:paraId="45AF4358" w14:textId="01A6929B" w:rsidR="0020790B" w:rsidRDefault="0020790B" w:rsidP="00514F05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Methyl mercury is a known teratogen in humans and animals</w:t>
            </w:r>
            <w:r w:rsidR="00442E43">
              <w:t>.</w:t>
            </w:r>
          </w:p>
          <w:p w14:paraId="6AB37496" w14:textId="77777777" w:rsidR="007A2D83" w:rsidRDefault="007A2D83" w:rsidP="00627373">
            <w:pPr>
              <w:pStyle w:val="Tabletextprimarysource"/>
            </w:pPr>
            <w:r>
              <w:t>Human data:</w:t>
            </w:r>
          </w:p>
          <w:p w14:paraId="16A4444B" w14:textId="4C59D9D0" w:rsidR="007A2D83" w:rsidRDefault="007A2D83" w:rsidP="004C7C7E">
            <w:pPr>
              <w:pStyle w:val="ListBullet"/>
              <w:spacing w:before="60" w:after="60"/>
              <w:ind w:left="1094" w:hanging="357"/>
              <w:contextualSpacing w:val="0"/>
            </w:pPr>
            <w:r>
              <w:t xml:space="preserve">Alkyl </w:t>
            </w:r>
            <w:r w:rsidR="00514F05">
              <w:t xml:space="preserve">Hg </w:t>
            </w:r>
            <w:r>
              <w:t xml:space="preserve">compounds rapidly pass through blood-brain barrier and placenta compared to inorganic </w:t>
            </w:r>
            <w:r w:rsidR="00514F05">
              <w:t xml:space="preserve">Hg </w:t>
            </w:r>
            <w:r>
              <w:t>compounds</w:t>
            </w:r>
          </w:p>
          <w:p w14:paraId="10AED14D" w14:textId="6256B53B" w:rsidR="007A2D83" w:rsidRDefault="00514F05" w:rsidP="004C7C7E">
            <w:pPr>
              <w:pStyle w:val="ListBullet"/>
              <w:spacing w:before="60" w:after="60"/>
              <w:ind w:left="1094" w:hanging="357"/>
              <w:contextualSpacing w:val="0"/>
            </w:pPr>
            <w:r>
              <w:t>MeHg</w:t>
            </w:r>
            <w:r w:rsidDel="00514F05">
              <w:t xml:space="preserve"> </w:t>
            </w:r>
            <w:r w:rsidR="007B7C3F">
              <w:t>lethal dose 200 mg; paraesthesia of the hands, feet and mouth at total body burden of 40 mg; half-life= 40</w:t>
            </w:r>
            <w:r w:rsidR="00627373">
              <w:t>–</w:t>
            </w:r>
            <w:r w:rsidR="007B0584">
              <w:t>105 d</w:t>
            </w:r>
          </w:p>
          <w:p w14:paraId="04E6AE40" w14:textId="14F8E1D9" w:rsidR="007B7C3F" w:rsidRDefault="007B7C3F" w:rsidP="004C7C7E">
            <w:pPr>
              <w:pStyle w:val="ListBullet"/>
              <w:spacing w:before="60" w:after="60"/>
              <w:ind w:left="1094" w:hanging="357"/>
              <w:contextualSpacing w:val="0"/>
            </w:pPr>
            <w:r>
              <w:t xml:space="preserve">Severe CNS damage in children from orally exposed mothers; foetus more susceptible than mother to </w:t>
            </w:r>
            <w:r w:rsidR="00514F05">
              <w:t>MeHg</w:t>
            </w:r>
            <w:r>
              <w:t>; evidence males more susceptible than females</w:t>
            </w:r>
          </w:p>
          <w:p w14:paraId="233C7754" w14:textId="2AFCEF8A" w:rsidR="007B7C3F" w:rsidRDefault="00514F05" w:rsidP="004C7C7E">
            <w:pPr>
              <w:pStyle w:val="ListBullet"/>
              <w:spacing w:before="60" w:after="60"/>
              <w:ind w:left="1094" w:hanging="357"/>
              <w:contextualSpacing w:val="0"/>
            </w:pPr>
            <w:r>
              <w:t>MeHg</w:t>
            </w:r>
            <w:r w:rsidDel="00514F05">
              <w:t xml:space="preserve"> </w:t>
            </w:r>
            <w:r w:rsidR="007E09B8">
              <w:t>eliminated in breast milk; can cause permanent blindness in newborns</w:t>
            </w:r>
          </w:p>
          <w:p w14:paraId="0AA06456" w14:textId="77777777" w:rsidR="007E09B8" w:rsidRDefault="007E09B8" w:rsidP="004C7C7E">
            <w:pPr>
              <w:pStyle w:val="ListBullet"/>
              <w:spacing w:before="60" w:after="60"/>
              <w:ind w:left="1094" w:hanging="357"/>
              <w:contextualSpacing w:val="0"/>
            </w:pPr>
            <w:r>
              <w:t>2 fatalities following exposure to an estimated 1 mg/m</w:t>
            </w:r>
            <w:r>
              <w:rPr>
                <w:vertAlign w:val="superscript"/>
              </w:rPr>
              <w:t>3</w:t>
            </w:r>
            <w:r>
              <w:t xml:space="preserve"> for 3 mo</w:t>
            </w:r>
          </w:p>
          <w:p w14:paraId="13B654B6" w14:textId="6BA194AC" w:rsidR="007E09B8" w:rsidRDefault="007E09B8" w:rsidP="004C7C7E">
            <w:pPr>
              <w:pStyle w:val="ListBullet"/>
              <w:spacing w:before="60" w:after="60"/>
              <w:ind w:left="1094" w:hanging="357"/>
              <w:contextualSpacing w:val="0"/>
            </w:pPr>
            <w:r>
              <w:t>No symptoms of poisoning</w:t>
            </w:r>
            <w:r w:rsidR="00AF2931">
              <w:t xml:space="preserve"> at 0.01</w:t>
            </w:r>
            <w:r w:rsidR="00627373">
              <w:t>–</w:t>
            </w:r>
            <w:r w:rsidR="00AF2931">
              <w:t>0.1 mg/m</w:t>
            </w:r>
            <w:r w:rsidR="00AF2931">
              <w:rPr>
                <w:vertAlign w:val="superscript"/>
              </w:rPr>
              <w:t>3</w:t>
            </w:r>
            <w:r w:rsidR="00AF2931">
              <w:t>; occasional sizeable exceedances of this range for brief periods</w:t>
            </w:r>
            <w:r w:rsidR="0044277C">
              <w:t>; no duration provided</w:t>
            </w:r>
          </w:p>
          <w:p w14:paraId="2DC6C697" w14:textId="0228D82E" w:rsidR="00AF2931" w:rsidRDefault="00AF2931" w:rsidP="004C7C7E">
            <w:pPr>
              <w:pStyle w:val="ListBullet"/>
              <w:spacing w:before="60" w:after="60"/>
              <w:ind w:left="1094" w:hanging="357"/>
              <w:contextualSpacing w:val="0"/>
            </w:pPr>
            <w:r>
              <w:t>A 1948 study suggested limit of 0.01 mg/m</w:t>
            </w:r>
            <w:r>
              <w:rPr>
                <w:vertAlign w:val="superscript"/>
              </w:rPr>
              <w:t>3</w:t>
            </w:r>
            <w:r>
              <w:t xml:space="preserve"> based on Swedish industrial experience</w:t>
            </w:r>
            <w:r w:rsidR="00221292">
              <w:t>.</w:t>
            </w:r>
          </w:p>
          <w:p w14:paraId="7830E8C3" w14:textId="77777777" w:rsidR="00AF2931" w:rsidRDefault="00AF2931" w:rsidP="00627373">
            <w:pPr>
              <w:pStyle w:val="Tabletextprimarysource"/>
            </w:pPr>
            <w:r>
              <w:t>Animal data:</w:t>
            </w:r>
          </w:p>
          <w:p w14:paraId="291F3905" w14:textId="30D183A5" w:rsidR="00AF2931" w:rsidRDefault="00C944BA" w:rsidP="004C7C7E">
            <w:pPr>
              <w:pStyle w:val="ListBullet"/>
              <w:spacing w:before="60" w:after="60"/>
              <w:ind w:left="1094" w:hanging="357"/>
              <w:contextualSpacing w:val="0"/>
            </w:pPr>
            <w:r>
              <w:t>Main t</w:t>
            </w:r>
            <w:r w:rsidR="0020790B">
              <w:t>arget organ of alkyl mercurials is the brain; produce gastro-, pancreo-, hepato-, cardio- and gonadotoxic effects in mice and rats</w:t>
            </w:r>
          </w:p>
          <w:p w14:paraId="371086FA" w14:textId="45EF67DE" w:rsidR="00C944BA" w:rsidRDefault="00C944BA" w:rsidP="004C7C7E">
            <w:pPr>
              <w:pStyle w:val="ListBullet"/>
              <w:spacing w:before="60" w:after="60"/>
              <w:ind w:left="1094" w:hanging="357"/>
              <w:contextualSpacing w:val="0"/>
            </w:pPr>
            <w:r>
              <w:t>Report of death in mice following 3</w:t>
            </w:r>
            <w:r w:rsidR="00627373">
              <w:t>–</w:t>
            </w:r>
            <w:r w:rsidR="007B0584">
              <w:t>5 h</w:t>
            </w:r>
            <w:r>
              <w:t xml:space="preserve"> exposure </w:t>
            </w:r>
            <w:r w:rsidR="00514F05">
              <w:t>at</w:t>
            </w:r>
            <w:r>
              <w:t xml:space="preserve"> 10</w:t>
            </w:r>
            <w:r w:rsidR="003840F0">
              <w:t>–</w:t>
            </w:r>
            <w:r>
              <w:t>30 mg/m</w:t>
            </w:r>
            <w:r>
              <w:rPr>
                <w:vertAlign w:val="superscript"/>
              </w:rPr>
              <w:t>3</w:t>
            </w:r>
            <w:r>
              <w:t xml:space="preserve"> organic </w:t>
            </w:r>
            <w:r w:rsidR="00514F05">
              <w:t>Hg</w:t>
            </w:r>
            <w:r>
              <w:t>; no further information</w:t>
            </w:r>
          </w:p>
          <w:p w14:paraId="0D2C95E9" w14:textId="337377D2" w:rsidR="00C944BA" w:rsidRDefault="00C944BA" w:rsidP="004C7C7E">
            <w:pPr>
              <w:pStyle w:val="ListBullet"/>
              <w:spacing w:before="60" w:after="60"/>
              <w:ind w:left="1094" w:hanging="357"/>
              <w:contextualSpacing w:val="0"/>
            </w:pPr>
            <w:r>
              <w:t>Reports that methyl, ethyl, n</w:t>
            </w:r>
            <w:r w:rsidR="007A501F">
              <w:t>-</w:t>
            </w:r>
            <w:r>
              <w:t>propyl and n-butyl mercurials are volatile</w:t>
            </w:r>
            <w:r w:rsidR="00514F05">
              <w:t>,</w:t>
            </w:r>
            <w:r>
              <w:t xml:space="preserve"> readily penetrate the skin and the blood–brain barrier contributing to neurotoxic effects</w:t>
            </w:r>
          </w:p>
          <w:p w14:paraId="4648A0DF" w14:textId="62AD6E33" w:rsidR="00C944BA" w:rsidRDefault="00C944BA" w:rsidP="004C7C7E">
            <w:pPr>
              <w:pStyle w:val="ListBullet"/>
              <w:spacing w:before="60" w:after="60"/>
              <w:ind w:left="1094" w:hanging="357"/>
              <w:contextualSpacing w:val="0"/>
            </w:pPr>
            <w:r>
              <w:t xml:space="preserve">Considered mutagenic in standard </w:t>
            </w:r>
            <w:r>
              <w:rPr>
                <w:i/>
              </w:rPr>
              <w:t xml:space="preserve">in vitro </w:t>
            </w:r>
            <w:r>
              <w:t>tests</w:t>
            </w:r>
            <w:r w:rsidR="00627373">
              <w:t>.</w:t>
            </w:r>
          </w:p>
          <w:p w14:paraId="755F88CF" w14:textId="77777777" w:rsidR="004F163A" w:rsidRDefault="004F163A" w:rsidP="00627373">
            <w:pPr>
              <w:pStyle w:val="Tabletextprimarysource"/>
            </w:pPr>
          </w:p>
          <w:p w14:paraId="10E5EBED" w14:textId="78401F39" w:rsidR="00C944BA" w:rsidRDefault="00C944BA" w:rsidP="00627373">
            <w:pPr>
              <w:pStyle w:val="Tabletextprimarysource"/>
            </w:pPr>
            <w:r>
              <w:t xml:space="preserve">Skin notation recommended as dermal absorption contributes to systemic alkyl </w:t>
            </w:r>
            <w:r w:rsidR="00514F05">
              <w:t xml:space="preserve">Hg </w:t>
            </w:r>
            <w:r>
              <w:t>intoxication</w:t>
            </w:r>
            <w:r w:rsidR="00627373">
              <w:t>.</w:t>
            </w:r>
          </w:p>
          <w:p w14:paraId="5D13F9A2" w14:textId="77777777" w:rsidR="00C944BA" w:rsidRDefault="00C944BA" w:rsidP="00627373">
            <w:pPr>
              <w:pStyle w:val="Tabletextprimarysource"/>
            </w:pPr>
            <w:r>
              <w:t>Insufficient evidence to recommend sensitiser or carcinogen notations.</w:t>
            </w:r>
          </w:p>
          <w:p w14:paraId="332FD388" w14:textId="52FD5E35" w:rsidR="004F163A" w:rsidRPr="00DA352E" w:rsidRDefault="004F163A" w:rsidP="00627373">
            <w:pPr>
              <w:pStyle w:val="Tabletextprimarysource"/>
            </w:pPr>
          </w:p>
        </w:tc>
      </w:tr>
      <w:tr w:rsidR="00C978F0" w:rsidRPr="00DA352E" w14:paraId="24B8809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22D08D4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6F3CC7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6F3CC7">
                  <w:t>Not assigned</w:t>
                </w:r>
              </w:sdtContent>
            </w:sdt>
          </w:p>
        </w:tc>
      </w:tr>
      <w:tr w:rsidR="00C978F0" w:rsidRPr="00DA352E" w14:paraId="1B905F03" w14:textId="77777777" w:rsidTr="00514F05">
        <w:trPr>
          <w:gridAfter w:val="1"/>
          <w:wAfter w:w="8" w:type="pct"/>
        </w:trPr>
        <w:tc>
          <w:tcPr>
            <w:tcW w:w="4992" w:type="pct"/>
          </w:tcPr>
          <w:p w14:paraId="64D2AA52" w14:textId="12FE07AF" w:rsidR="00C978F0" w:rsidRDefault="005B530F" w:rsidP="00627373">
            <w:pPr>
              <w:pStyle w:val="Tabletextprimarysource"/>
            </w:pPr>
            <w:r>
              <w:t>No MAK recommended because of suspicion of carcinogenic effects with possible genotoxic mechanism</w:t>
            </w:r>
            <w:r w:rsidR="00627373">
              <w:t>.</w:t>
            </w:r>
          </w:p>
          <w:p w14:paraId="0CC4B4A9" w14:textId="77777777" w:rsidR="005B530F" w:rsidRDefault="005B530F" w:rsidP="00627373">
            <w:pPr>
              <w:pStyle w:val="Tabletextprimarysource"/>
            </w:pPr>
            <w:r>
              <w:t>Summary of additional data:</w:t>
            </w:r>
          </w:p>
          <w:p w14:paraId="2A0AC59C" w14:textId="6361B090" w:rsidR="00B636F8" w:rsidRDefault="005B530F" w:rsidP="004C7C7E">
            <w:pPr>
              <w:pStyle w:val="ListBullet"/>
              <w:spacing w:before="60" w:after="60"/>
              <w:ind w:left="1094" w:hanging="357"/>
              <w:contextualSpacing w:val="0"/>
            </w:pPr>
            <w:r>
              <w:t xml:space="preserve">Organic </w:t>
            </w:r>
            <w:r w:rsidR="00514F05">
              <w:t>Hg</w:t>
            </w:r>
            <w:r>
              <w:t xml:space="preserve"> compounds are highly lipophilic; assumed to readily penetrate the skin</w:t>
            </w:r>
          </w:p>
          <w:p w14:paraId="3105781D" w14:textId="77777777" w:rsidR="005B530F" w:rsidRDefault="00B636F8" w:rsidP="004C7C7E">
            <w:pPr>
              <w:pStyle w:val="ListBullet"/>
              <w:spacing w:before="60" w:after="60"/>
              <w:ind w:left="1094" w:hanging="357"/>
              <w:contextualSpacing w:val="0"/>
            </w:pPr>
            <w:r>
              <w:t>Skin sensitisation by phenylmercury compounds documented in case reports, in the results of patch tests and in one study with experimental animals</w:t>
            </w:r>
          </w:p>
          <w:p w14:paraId="79D1BB98" w14:textId="35BF74DB" w:rsidR="00B636F8" w:rsidRDefault="00B636F8" w:rsidP="004C7C7E">
            <w:pPr>
              <w:pStyle w:val="ListBullet"/>
              <w:spacing w:before="60" w:after="60"/>
              <w:ind w:left="1094" w:hanging="357"/>
              <w:contextualSpacing w:val="0"/>
            </w:pPr>
            <w:r>
              <w:t xml:space="preserve">Positive results in patch tests of patients sensitised to thimersol; organic group of </w:t>
            </w:r>
            <w:r w:rsidR="00514F05">
              <w:t>MeHg</w:t>
            </w:r>
            <w:r>
              <w:t xml:space="preserve"> and ethylmercury compounds is identical with part of the thimerosal structure</w:t>
            </w:r>
          </w:p>
          <w:p w14:paraId="39CC403D" w14:textId="77777777" w:rsidR="00B636F8" w:rsidRDefault="00B636F8" w:rsidP="004C7C7E">
            <w:pPr>
              <w:pStyle w:val="ListBullet"/>
              <w:spacing w:before="60" w:after="60"/>
              <w:ind w:left="1094" w:hanging="357"/>
              <w:contextualSpacing w:val="0"/>
            </w:pPr>
            <w:r>
              <w:lastRenderedPageBreak/>
              <w:t>M</w:t>
            </w:r>
            <w:r w:rsidRPr="00B636F8">
              <w:t>ethylmercuric chloride induce</w:t>
            </w:r>
            <w:r>
              <w:t>d</w:t>
            </w:r>
            <w:r w:rsidRPr="00B636F8">
              <w:t xml:space="preserve"> renal adenocarcinomas in male but not in female mice</w:t>
            </w:r>
            <w:r>
              <w:t>; long-term feeding study</w:t>
            </w:r>
          </w:p>
          <w:p w14:paraId="51C83B9F" w14:textId="5391A913" w:rsidR="00B636F8" w:rsidRDefault="00B636F8" w:rsidP="004C7C7E">
            <w:pPr>
              <w:pStyle w:val="ListBullet"/>
              <w:spacing w:before="60" w:after="60"/>
              <w:ind w:left="1094" w:hanging="357"/>
              <w:contextualSpacing w:val="0"/>
            </w:pPr>
            <w:r>
              <w:t>103 wk study with phenylmercuric acetate in drinking water; demonstrated dose-dependent increase in renal cell adenomas; high dose group significant increase compared to controls.</w:t>
            </w:r>
            <w:r w:rsidR="00514F05">
              <w:t xml:space="preserve"> </w:t>
            </w:r>
          </w:p>
          <w:p w14:paraId="5528DC18" w14:textId="71973B3B" w:rsidR="004F163A" w:rsidRPr="00DA352E" w:rsidRDefault="004F163A" w:rsidP="004C7C7E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7D55D97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C99A4D9" w14:textId="73073EC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FD6EC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A27FC8" w:rsidRPr="00A27FC8">
                  <w:t>NA</w:t>
                </w:r>
              </w:sdtContent>
            </w:sdt>
          </w:p>
        </w:tc>
      </w:tr>
      <w:tr w:rsidR="00C978F0" w:rsidRPr="00DA352E" w14:paraId="606216C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185AD9C" w14:textId="061CAA3E" w:rsidR="00C978F0" w:rsidRPr="00DA352E" w:rsidRDefault="006F3CC7" w:rsidP="003365A5">
            <w:pPr>
              <w:pStyle w:val="Tabletextprimarysource"/>
            </w:pPr>
            <w:r>
              <w:t>No</w:t>
            </w:r>
            <w:r w:rsidR="006C2C93">
              <w:t xml:space="preserve"> report</w:t>
            </w:r>
            <w:r w:rsidR="00627373">
              <w:t>.</w:t>
            </w:r>
          </w:p>
        </w:tc>
      </w:tr>
      <w:tr w:rsidR="00DA352E" w:rsidRPr="00DA352E" w14:paraId="7D14C8E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11D493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6C2C9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6C2C93">
                  <w:t>NA</w:t>
                </w:r>
              </w:sdtContent>
            </w:sdt>
          </w:p>
        </w:tc>
      </w:tr>
      <w:tr w:rsidR="00DA352E" w:rsidRPr="00DA352E" w14:paraId="63C4F5E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16CBE15" w14:textId="14BBC2B3" w:rsidR="00DA352E" w:rsidRPr="00DA352E" w:rsidRDefault="006C2C93" w:rsidP="004927E2">
            <w:pPr>
              <w:pStyle w:val="Tabletextprimarysource"/>
            </w:pPr>
            <w:r>
              <w:t>No report</w:t>
            </w:r>
            <w:r w:rsidR="00627373">
              <w:t>.</w:t>
            </w:r>
          </w:p>
        </w:tc>
      </w:tr>
      <w:tr w:rsidR="00DA352E" w:rsidRPr="00DA352E" w14:paraId="73E166D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619B92B" w14:textId="0AE2D610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E066C1">
                  <w:t>2000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E066C1">
                  <w:t>Not assigned</w:t>
                </w:r>
              </w:sdtContent>
            </w:sdt>
          </w:p>
        </w:tc>
      </w:tr>
      <w:tr w:rsidR="00DA352E" w:rsidRPr="00DA352E" w14:paraId="21B210E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A4CDC88" w14:textId="77777777" w:rsidR="00DA352E" w:rsidRDefault="00FD6EC0" w:rsidP="003365A5">
            <w:pPr>
              <w:pStyle w:val="Tabletextprimarysource"/>
            </w:pPr>
            <w:r>
              <w:t>Report on the evaluation of the effects on reproduction, recommendation for classification for mercury and compounds including inorganic.</w:t>
            </w:r>
          </w:p>
          <w:p w14:paraId="6B0E8627" w14:textId="77777777" w:rsidR="00FD6EC0" w:rsidRDefault="00FD6EC0" w:rsidP="003365A5">
            <w:pPr>
              <w:pStyle w:val="Tabletextprimarysource"/>
            </w:pPr>
            <w:r>
              <w:t>No further data.</w:t>
            </w:r>
          </w:p>
          <w:p w14:paraId="2932ECC5" w14:textId="495F60B9" w:rsidR="004F163A" w:rsidRPr="00DA352E" w:rsidRDefault="004F163A" w:rsidP="003365A5">
            <w:pPr>
              <w:pStyle w:val="Tabletextprimarysource"/>
            </w:pPr>
          </w:p>
        </w:tc>
      </w:tr>
    </w:tbl>
    <w:p w14:paraId="473FC88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86"/>
        <w:gridCol w:w="423"/>
        <w:gridCol w:w="661"/>
        <w:gridCol w:w="6456"/>
      </w:tblGrid>
      <w:tr w:rsidR="004966BF" w:rsidRPr="00263255" w14:paraId="7A2B1FC6" w14:textId="77777777" w:rsidTr="00551FB2">
        <w:trPr>
          <w:cantSplit/>
          <w:trHeight w:val="393"/>
          <w:tblHeader/>
        </w:trPr>
        <w:tc>
          <w:tcPr>
            <w:tcW w:w="1486" w:type="dxa"/>
            <w:shd w:val="clear" w:color="auto" w:fill="BFBFBF" w:themeFill="background1" w:themeFillShade="BF"/>
            <w:vAlign w:val="center"/>
          </w:tcPr>
          <w:p w14:paraId="74FDF0D6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4D0D283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0CCDBEF3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6" w:type="dxa"/>
            <w:shd w:val="clear" w:color="auto" w:fill="BFBFBF" w:themeFill="background1" w:themeFillShade="BF"/>
            <w:vAlign w:val="center"/>
          </w:tcPr>
          <w:p w14:paraId="4C231D62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718B2C27" w14:textId="77777777" w:rsidTr="00551FB2">
        <w:trPr>
          <w:cantSplit/>
        </w:trPr>
        <w:tc>
          <w:tcPr>
            <w:tcW w:w="1486" w:type="dxa"/>
          </w:tcPr>
          <w:p w14:paraId="4BDFD369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64BE30FE" w14:textId="6D2CB65C" w:rsidR="004966BF" w:rsidRPr="00CE617F" w:rsidRDefault="00FC53D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A27FC8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F6A75E9" w14:textId="74F24F2B" w:rsidR="004966BF" w:rsidRPr="004C23F4" w:rsidRDefault="00A27FC8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2001</w:t>
            </w:r>
          </w:p>
        </w:tc>
        <w:tc>
          <w:tcPr>
            <w:tcW w:w="6456" w:type="dxa"/>
          </w:tcPr>
          <w:p w14:paraId="2092CCFD" w14:textId="5A05A444" w:rsidR="004966BF" w:rsidRPr="00551FB2" w:rsidRDefault="00514F05" w:rsidP="00221292">
            <w:pPr>
              <w:pStyle w:val="ListBullet"/>
              <w:spacing w:before="60" w:after="60"/>
              <w:ind w:left="717"/>
              <w:contextualSpacing w:val="0"/>
              <w:rPr>
                <w:rFonts w:cs="Arial"/>
              </w:rPr>
            </w:pPr>
            <w:r>
              <w:t>MeHg</w:t>
            </w:r>
            <w:r w:rsidR="00551FB2">
              <w:rPr>
                <w:rStyle w:val="checkbox"/>
                <w:rFonts w:ascii="Arial" w:hAnsi="Arial" w:cs="Arial"/>
              </w:rPr>
              <w:t xml:space="preserve"> </w:t>
            </w:r>
            <w:r w:rsidR="00627373">
              <w:rPr>
                <w:rStyle w:val="checkbox"/>
                <w:rFonts w:ascii="Arial" w:hAnsi="Arial" w:cs="Arial"/>
              </w:rPr>
              <w:t>–</w:t>
            </w:r>
            <w:r w:rsidR="00551FB2">
              <w:rPr>
                <w:rStyle w:val="checkbox"/>
                <w:rFonts w:ascii="Arial" w:hAnsi="Arial" w:cs="Arial"/>
              </w:rPr>
              <w:t xml:space="preserve"> Possible human carcinogen; </w:t>
            </w:r>
            <w:r w:rsidR="00551FB2">
              <w:t>systemic non-cancer effects would be seen at methylmercury exposures lower than those required for tumour formation</w:t>
            </w:r>
          </w:p>
          <w:p w14:paraId="623A4C3A" w14:textId="74699B4D" w:rsidR="00551FB2" w:rsidRPr="004C23F4" w:rsidRDefault="00514F05" w:rsidP="00514F05">
            <w:pPr>
              <w:pStyle w:val="ListBullet"/>
              <w:spacing w:before="60" w:after="60"/>
              <w:ind w:left="717"/>
              <w:contextualSpacing w:val="0"/>
              <w:rPr>
                <w:rStyle w:val="checkbox"/>
                <w:rFonts w:ascii="Arial" w:hAnsi="Arial" w:cs="Arial"/>
              </w:rPr>
            </w:pPr>
            <w:r>
              <w:t>MeHg</w:t>
            </w:r>
            <w:r w:rsidR="00551FB2">
              <w:rPr>
                <w:rStyle w:val="checkbox"/>
                <w:rFonts w:ascii="Arial" w:hAnsi="Arial" w:cs="Arial"/>
              </w:rPr>
              <w:t xml:space="preserve"> – oral </w:t>
            </w:r>
            <w:r>
              <w:rPr>
                <w:rStyle w:val="checkbox"/>
                <w:rFonts w:ascii="Arial" w:hAnsi="Arial" w:cs="Arial"/>
              </w:rPr>
              <w:t>RfD</w:t>
            </w:r>
            <w:r w:rsidR="00551FB2">
              <w:rPr>
                <w:rStyle w:val="checkbox"/>
                <w:rFonts w:ascii="Arial" w:hAnsi="Arial" w:cs="Arial"/>
              </w:rPr>
              <w:t xml:space="preserve"> of 0.1 µg/kg-d based on </w:t>
            </w:r>
            <w:r w:rsidR="00551FB2" w:rsidRPr="00221292">
              <w:t>BMDL</w:t>
            </w:r>
            <w:r w:rsidR="00551FB2" w:rsidRPr="00221292">
              <w:rPr>
                <w:vertAlign w:val="subscript"/>
              </w:rPr>
              <w:t>05</w:t>
            </w:r>
            <w:r w:rsidR="00551FB2">
              <w:rPr>
                <w:rStyle w:val="checkbox"/>
                <w:rFonts w:ascii="Arial" w:hAnsi="Arial" w:cs="Arial"/>
              </w:rPr>
              <w:t xml:space="preserve"> in range of 46</w:t>
            </w:r>
            <w:r w:rsidR="00627373">
              <w:rPr>
                <w:rStyle w:val="checkbox"/>
                <w:rFonts w:ascii="Arial" w:hAnsi="Arial" w:cs="Arial"/>
              </w:rPr>
              <w:t>–</w:t>
            </w:r>
            <w:r w:rsidR="00551FB2">
              <w:rPr>
                <w:rStyle w:val="checkbox"/>
                <w:rFonts w:ascii="Arial" w:hAnsi="Arial" w:cs="Arial"/>
              </w:rPr>
              <w:t>79 ppb i</w:t>
            </w:r>
            <w:r w:rsidR="00551FB2">
              <w:t xml:space="preserve">n maternal blood for different neuropsychological effects in the offspring at 7 </w:t>
            </w:r>
            <w:r w:rsidR="00627373">
              <w:t xml:space="preserve">yr </w:t>
            </w:r>
            <w:r w:rsidR="00551FB2">
              <w:t>of age, corresponding to a range of maternal daily intakes of 0.857</w:t>
            </w:r>
            <w:r w:rsidR="00627373">
              <w:t>–</w:t>
            </w:r>
            <w:r w:rsidR="00551FB2">
              <w:t>1.472 µg/kg-day</w:t>
            </w:r>
            <w:r w:rsidR="00627373">
              <w:t>.</w:t>
            </w:r>
          </w:p>
        </w:tc>
      </w:tr>
      <w:tr w:rsidR="004966BF" w:rsidRPr="004C23F4" w14:paraId="168BBA55" w14:textId="77777777" w:rsidTr="00551FB2">
        <w:trPr>
          <w:cantSplit/>
        </w:trPr>
        <w:tc>
          <w:tcPr>
            <w:tcW w:w="1486" w:type="dxa"/>
          </w:tcPr>
          <w:p w14:paraId="0329C145" w14:textId="4E27502A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3" w:type="dxa"/>
          </w:tcPr>
          <w:p w14:paraId="73E81329" w14:textId="5F43C63D" w:rsidR="004966BF" w:rsidRPr="00CE617F" w:rsidRDefault="00FC53D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A00CB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933F459" w14:textId="6D61E30D" w:rsidR="004966BF" w:rsidRPr="004C23F4" w:rsidRDefault="00221292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2006</w:t>
            </w:r>
          </w:p>
        </w:tc>
        <w:tc>
          <w:tcPr>
            <w:tcW w:w="6456" w:type="dxa"/>
          </w:tcPr>
          <w:p w14:paraId="33409743" w14:textId="181EA457" w:rsidR="004966BF" w:rsidRDefault="00514F05" w:rsidP="00221292">
            <w:pPr>
              <w:pStyle w:val="ListBullet"/>
              <w:ind w:left="717"/>
              <w:rPr>
                <w:rStyle w:val="checkbox"/>
                <w:rFonts w:ascii="Arial" w:hAnsi="Arial" w:cs="Arial"/>
              </w:rPr>
            </w:pPr>
            <w:r>
              <w:t>MeHg</w:t>
            </w:r>
            <w:r w:rsidR="00627373">
              <w:rPr>
                <w:rStyle w:val="checkbox"/>
                <w:rFonts w:ascii="Arial" w:hAnsi="Arial" w:cs="Arial"/>
              </w:rPr>
              <w:t xml:space="preserve"> –</w:t>
            </w:r>
            <w:r w:rsidR="009A00CB">
              <w:rPr>
                <w:rStyle w:val="checkbox"/>
                <w:rFonts w:ascii="Arial" w:hAnsi="Arial" w:cs="Arial"/>
              </w:rPr>
              <w:t xml:space="preserve"> LD</w:t>
            </w:r>
            <w:r w:rsidR="009A00CB">
              <w:rPr>
                <w:rStyle w:val="checkbox"/>
                <w:rFonts w:ascii="Arial" w:hAnsi="Arial" w:cs="Arial"/>
                <w:vertAlign w:val="subscript"/>
              </w:rPr>
              <w:t>50</w:t>
            </w:r>
            <w:r w:rsidR="00221292">
              <w:rPr>
                <w:rStyle w:val="checkbox"/>
                <w:rFonts w:ascii="Arial" w:hAnsi="Arial" w:cs="Arial"/>
              </w:rPr>
              <w:t>:</w:t>
            </w:r>
            <w:r w:rsidR="009A00CB">
              <w:rPr>
                <w:rStyle w:val="checkbox"/>
                <w:rFonts w:ascii="Arial" w:hAnsi="Arial" w:cs="Arial"/>
                <w:vertAlign w:val="subscript"/>
              </w:rPr>
              <w:t xml:space="preserve"> </w:t>
            </w:r>
            <w:r w:rsidR="009A00CB">
              <w:rPr>
                <w:rStyle w:val="checkbox"/>
                <w:rFonts w:ascii="Arial" w:hAnsi="Arial" w:cs="Arial"/>
              </w:rPr>
              <w:t xml:space="preserve">35 mg/kg </w:t>
            </w:r>
            <w:r w:rsidR="00221292">
              <w:rPr>
                <w:rStyle w:val="checkbox"/>
                <w:rFonts w:ascii="Arial" w:hAnsi="Arial" w:cs="Arial"/>
              </w:rPr>
              <w:t xml:space="preserve">(rats, </w:t>
            </w:r>
            <w:r w:rsidR="009A00CB">
              <w:rPr>
                <w:rStyle w:val="checkbox"/>
                <w:rFonts w:ascii="Arial" w:hAnsi="Arial" w:cs="Arial"/>
              </w:rPr>
              <w:t>oral</w:t>
            </w:r>
            <w:r w:rsidR="00221292">
              <w:rPr>
                <w:rStyle w:val="checkbox"/>
                <w:rFonts w:ascii="Arial" w:hAnsi="Arial" w:cs="Arial"/>
              </w:rPr>
              <w:t>)</w:t>
            </w:r>
          </w:p>
          <w:p w14:paraId="4931CCD4" w14:textId="71965C6D" w:rsidR="009A00CB" w:rsidRPr="004C23F4" w:rsidRDefault="009A00CB" w:rsidP="00221292">
            <w:pPr>
              <w:pStyle w:val="ListBullet"/>
              <w:spacing w:before="60" w:after="60"/>
              <w:ind w:left="71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</w:t>
            </w:r>
            <w:r w:rsidRPr="009A00CB">
              <w:rPr>
                <w:rStyle w:val="checkbox"/>
                <w:rFonts w:ascii="Arial" w:hAnsi="Arial" w:cs="Arial"/>
              </w:rPr>
              <w:t xml:space="preserve">ome </w:t>
            </w:r>
            <w:r w:rsidRPr="00221292">
              <w:t>evidence</w:t>
            </w:r>
            <w:r w:rsidRPr="009A00CB">
              <w:rPr>
                <w:rStyle w:val="checkbox"/>
                <w:rFonts w:ascii="Arial" w:hAnsi="Arial" w:cs="Arial"/>
              </w:rPr>
              <w:t xml:space="preserve"> of a carcinogenic activity in male rats based </w:t>
            </w:r>
            <w:r w:rsidRPr="00221292">
              <w:t>on</w:t>
            </w:r>
            <w:r w:rsidRPr="009A00CB">
              <w:rPr>
                <w:rStyle w:val="checkbox"/>
                <w:rFonts w:ascii="Arial" w:hAnsi="Arial" w:cs="Arial"/>
              </w:rPr>
              <w:t xml:space="preserve"> the increased incidence squamous cell papillomas of the forestomach</w:t>
            </w:r>
            <w:r>
              <w:rPr>
                <w:rStyle w:val="checkbox"/>
                <w:rFonts w:ascii="Arial" w:hAnsi="Arial" w:cs="Arial"/>
              </w:rPr>
              <w:t>; no further information</w:t>
            </w:r>
            <w:r w:rsidR="00627373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006A9D14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18DE3AE7" w14:textId="77777777" w:rsidTr="003A2854">
        <w:trPr>
          <w:trHeight w:val="454"/>
          <w:tblHeader/>
        </w:trPr>
        <w:tc>
          <w:tcPr>
            <w:tcW w:w="6597" w:type="dxa"/>
            <w:vAlign w:val="center"/>
          </w:tcPr>
          <w:p w14:paraId="1518C0FD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1B070A4" w14:textId="0EDBBD34" w:rsidR="002E0D61" w:rsidRDefault="00514F05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13E74D51" w14:textId="77777777" w:rsidTr="003A2854">
        <w:trPr>
          <w:trHeight w:val="454"/>
        </w:trPr>
        <w:tc>
          <w:tcPr>
            <w:tcW w:w="6597" w:type="dxa"/>
            <w:vAlign w:val="center"/>
          </w:tcPr>
          <w:p w14:paraId="208680C5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6306B8AA" w14:textId="54A4EC82" w:rsidR="008A36CF" w:rsidRDefault="003A2854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514F05" w14:paraId="3B0098D5" w14:textId="77777777" w:rsidTr="00FE7100">
        <w:trPr>
          <w:trHeight w:val="454"/>
        </w:trPr>
        <w:sdt>
          <w:sdtPr>
            <w:rPr>
              <w:b/>
            </w:rPr>
            <w:id w:val="1830936485"/>
            <w:placeholder>
              <w:docPart w:val="DFB2E302A4DD4920B07CA67D0C3F03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7D72DFCC" w14:textId="3B9C08A8" w:rsidR="00514F05" w:rsidRDefault="00514F05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6F4068E3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2BD46067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504B7D7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710D71D1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7E932B1" w14:textId="77777777" w:rsidTr="00812887">
        <w:trPr>
          <w:cantSplit/>
        </w:trPr>
        <w:tc>
          <w:tcPr>
            <w:tcW w:w="3227" w:type="dxa"/>
          </w:tcPr>
          <w:p w14:paraId="0D832477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7B1AA2EC" w14:textId="77777777" w:rsidR="00687890" w:rsidRPr="00DD2F9B" w:rsidRDefault="00092AF5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53A74EFC" w14:textId="77777777" w:rsidTr="00812887">
        <w:trPr>
          <w:cantSplit/>
        </w:trPr>
        <w:tc>
          <w:tcPr>
            <w:tcW w:w="3227" w:type="dxa"/>
          </w:tcPr>
          <w:p w14:paraId="584A8CFC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F0F93D6" w14:textId="77777777" w:rsidR="007925F0" w:rsidRPr="00DD2F9B" w:rsidRDefault="006F3CC7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1F7636C8" w14:textId="77777777" w:rsidTr="00812887">
        <w:trPr>
          <w:cantSplit/>
        </w:trPr>
        <w:tc>
          <w:tcPr>
            <w:tcW w:w="3227" w:type="dxa"/>
          </w:tcPr>
          <w:p w14:paraId="548DF602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65238A1C" w14:textId="77777777" w:rsidR="00AF483F" w:rsidRPr="00DD2F9B" w:rsidRDefault="00966F2B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59C82162" w14:textId="77777777" w:rsidTr="00812887">
        <w:trPr>
          <w:cantSplit/>
        </w:trPr>
        <w:tc>
          <w:tcPr>
            <w:tcW w:w="3227" w:type="dxa"/>
          </w:tcPr>
          <w:p w14:paraId="15204BA2" w14:textId="77777777" w:rsidR="004079B4" w:rsidRPr="004C23F4" w:rsidRDefault="00687890" w:rsidP="00F4402E">
            <w:pPr>
              <w:pStyle w:val="Tablefont"/>
            </w:pPr>
            <w:r w:rsidRPr="004C23F4">
              <w:lastRenderedPageBreak/>
              <w:t>EU Annex</w:t>
            </w:r>
          </w:p>
        </w:tc>
        <w:tc>
          <w:tcPr>
            <w:tcW w:w="6015" w:type="dxa"/>
          </w:tcPr>
          <w:p w14:paraId="13024971" w14:textId="77777777" w:rsidR="00687890" w:rsidRPr="00DD2F9B" w:rsidRDefault="00966F2B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FCAC8AF" w14:textId="77777777" w:rsidTr="00812887">
        <w:trPr>
          <w:cantSplit/>
        </w:trPr>
        <w:tc>
          <w:tcPr>
            <w:tcW w:w="3227" w:type="dxa"/>
          </w:tcPr>
          <w:p w14:paraId="6DB58251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75555D5" w14:textId="70BB61EB" w:rsidR="00E41A26" w:rsidRPr="00DD2F9B" w:rsidRDefault="00221292" w:rsidP="00DD2F9B">
            <w:pPr>
              <w:pStyle w:val="Tablefont"/>
            </w:pPr>
            <w:r>
              <w:t xml:space="preserve">— </w:t>
            </w:r>
          </w:p>
        </w:tc>
      </w:tr>
      <w:tr w:rsidR="002E0D61" w:rsidRPr="004C23F4" w14:paraId="444657F7" w14:textId="77777777" w:rsidTr="00812887">
        <w:trPr>
          <w:cantSplit/>
        </w:trPr>
        <w:tc>
          <w:tcPr>
            <w:tcW w:w="3227" w:type="dxa"/>
          </w:tcPr>
          <w:p w14:paraId="3181C887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5AF6AC8C" w14:textId="77777777" w:rsidR="002E0D61" w:rsidRPr="00DD2F9B" w:rsidRDefault="006C2C93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420C0AC4" w14:textId="77777777" w:rsidTr="00812887">
        <w:trPr>
          <w:cantSplit/>
        </w:trPr>
        <w:tc>
          <w:tcPr>
            <w:tcW w:w="3227" w:type="dxa"/>
          </w:tcPr>
          <w:p w14:paraId="59A98827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57D92FCF" w14:textId="2A3445E1" w:rsidR="002E0D61" w:rsidRPr="00DD2F9B" w:rsidRDefault="00B61EBB" w:rsidP="00DD2F9B">
            <w:pPr>
              <w:pStyle w:val="Tablefont"/>
            </w:pPr>
            <w:r w:rsidRPr="00B61EBB">
              <w:t>Carcinogenicity – 3</w:t>
            </w:r>
            <w:r w:rsidR="00966F2B">
              <w:t>, H</w:t>
            </w:r>
            <w:r>
              <w:t xml:space="preserve"> (skin)</w:t>
            </w:r>
            <w:r w:rsidR="00966F2B">
              <w:t>, Sh</w:t>
            </w:r>
            <w:r>
              <w:t xml:space="preserve"> (dermal sensitiser)</w:t>
            </w:r>
          </w:p>
        </w:tc>
      </w:tr>
      <w:tr w:rsidR="002E0D61" w:rsidRPr="004C23F4" w14:paraId="2C1E28B6" w14:textId="77777777" w:rsidTr="00812887">
        <w:trPr>
          <w:cantSplit/>
        </w:trPr>
        <w:tc>
          <w:tcPr>
            <w:tcW w:w="3227" w:type="dxa"/>
          </w:tcPr>
          <w:p w14:paraId="6305D0A0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712178A4" w14:textId="41AB0E26" w:rsidR="002E0D61" w:rsidRPr="00DD2F9B" w:rsidRDefault="005049D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02451FA" w14:textId="77777777" w:rsidTr="00812887">
        <w:trPr>
          <w:cantSplit/>
        </w:trPr>
        <w:tc>
          <w:tcPr>
            <w:tcW w:w="3227" w:type="dxa"/>
          </w:tcPr>
          <w:p w14:paraId="1C0C8EC8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28CE5F22" w14:textId="4B4A9C8C" w:rsidR="002E0D61" w:rsidRPr="00DD2F9B" w:rsidRDefault="00E066C1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7B98E41" w14:textId="77777777" w:rsidTr="00812887">
        <w:trPr>
          <w:cantSplit/>
        </w:trPr>
        <w:tc>
          <w:tcPr>
            <w:tcW w:w="3227" w:type="dxa"/>
          </w:tcPr>
          <w:p w14:paraId="5C69A741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C4254BC" w14:textId="5B244778" w:rsidR="00386093" w:rsidRPr="00DD2F9B" w:rsidRDefault="00B61EBB" w:rsidP="00DD2F9B">
            <w:pPr>
              <w:pStyle w:val="Tablefont"/>
            </w:pPr>
            <w:r w:rsidRPr="00B61EBB">
              <w:t>Carcinogenicity – Group 3</w:t>
            </w:r>
          </w:p>
        </w:tc>
      </w:tr>
      <w:tr w:rsidR="00386093" w:rsidRPr="004C23F4" w14:paraId="54F9614E" w14:textId="77777777" w:rsidTr="00812887">
        <w:trPr>
          <w:cantSplit/>
        </w:trPr>
        <w:tc>
          <w:tcPr>
            <w:tcW w:w="3227" w:type="dxa"/>
          </w:tcPr>
          <w:p w14:paraId="24934B47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41BB996A" w14:textId="107A5002" w:rsidR="00386093" w:rsidRPr="00DD2F9B" w:rsidRDefault="008863CA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7E16D974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DA13B77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31378B3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D7315AE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85DCB3F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935" w:type="dxa"/>
              <w:tblLook w:val="04A0" w:firstRow="1" w:lastRow="0" w:firstColumn="1" w:lastColumn="0" w:noHBand="0" w:noVBand="1"/>
            </w:tblPr>
            <w:tblGrid>
              <w:gridCol w:w="2879"/>
              <w:gridCol w:w="1895"/>
              <w:gridCol w:w="1895"/>
              <w:gridCol w:w="2141"/>
            </w:tblGrid>
            <w:tr w:rsidR="00633C1B" w:rsidRPr="00633C1B" w14:paraId="25138FCD" w14:textId="77777777" w:rsidTr="00633C1B">
              <w:trPr>
                <w:trHeight w:val="317"/>
              </w:trPr>
              <w:tc>
                <w:tcPr>
                  <w:tcW w:w="29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B85FC9" w14:textId="77777777" w:rsidR="00633C1B" w:rsidRPr="00633C1B" w:rsidRDefault="00633C1B" w:rsidP="00633C1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33C1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5A3F793C" w14:textId="77777777" w:rsidR="00633C1B" w:rsidRPr="00633C1B" w:rsidRDefault="00633C1B" w:rsidP="00633C1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633C1B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1ADD1F" w14:textId="77777777" w:rsidR="00633C1B" w:rsidRPr="00633C1B" w:rsidRDefault="00633C1B" w:rsidP="00633C1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33C1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1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A1BE70" w14:textId="77777777" w:rsidR="00633C1B" w:rsidRPr="00633C1B" w:rsidRDefault="00633C1B" w:rsidP="00633C1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33C1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33C1B" w:rsidRPr="00633C1B" w14:paraId="0D8848C1" w14:textId="77777777" w:rsidTr="00633C1B">
              <w:trPr>
                <w:trHeight w:val="317"/>
              </w:trPr>
              <w:tc>
                <w:tcPr>
                  <w:tcW w:w="29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807F64" w14:textId="77777777" w:rsidR="00633C1B" w:rsidRPr="00633C1B" w:rsidRDefault="00633C1B" w:rsidP="00633C1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33C1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633C1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633C1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A409F4" w14:textId="77777777" w:rsidR="00633C1B" w:rsidRPr="00633C1B" w:rsidRDefault="00633C1B" w:rsidP="00633C1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33C1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1E9B66" w14:textId="77777777" w:rsidR="00633C1B" w:rsidRPr="00633C1B" w:rsidRDefault="00633C1B" w:rsidP="00633C1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33C1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1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3C7604" w14:textId="77777777" w:rsidR="00633C1B" w:rsidRPr="00633C1B" w:rsidRDefault="00633C1B" w:rsidP="00633C1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33C1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33C1B" w:rsidRPr="00633C1B" w14:paraId="0EB2801B" w14:textId="77777777" w:rsidTr="00633C1B">
              <w:trPr>
                <w:trHeight w:val="317"/>
              </w:trPr>
              <w:tc>
                <w:tcPr>
                  <w:tcW w:w="29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5BCAA9" w14:textId="77777777" w:rsidR="00633C1B" w:rsidRPr="00633C1B" w:rsidRDefault="00633C1B" w:rsidP="00633C1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33C1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7A983A" w14:textId="77777777" w:rsidR="00633C1B" w:rsidRPr="00633C1B" w:rsidRDefault="00633C1B" w:rsidP="00633C1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33C1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2EB2F4" w14:textId="77777777" w:rsidR="00633C1B" w:rsidRPr="00633C1B" w:rsidRDefault="00633C1B" w:rsidP="00633C1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33C1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1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93F1DC" w14:textId="77777777" w:rsidR="00633C1B" w:rsidRPr="00633C1B" w:rsidRDefault="00633C1B" w:rsidP="00633C1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33C1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33C1B" w:rsidRPr="00633C1B" w14:paraId="17EE04D5" w14:textId="77777777" w:rsidTr="00633C1B">
              <w:trPr>
                <w:trHeight w:val="317"/>
              </w:trPr>
              <w:tc>
                <w:tcPr>
                  <w:tcW w:w="29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E956F6" w14:textId="77777777" w:rsidR="00633C1B" w:rsidRPr="00633C1B" w:rsidRDefault="00633C1B" w:rsidP="00633C1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33C1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633C1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633C1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633C1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633C1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B9FC53" w14:textId="77777777" w:rsidR="00633C1B" w:rsidRPr="00633C1B" w:rsidRDefault="00633C1B" w:rsidP="00633C1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33C1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11D7C9" w14:textId="77777777" w:rsidR="00633C1B" w:rsidRPr="00633C1B" w:rsidRDefault="00633C1B" w:rsidP="00633C1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33C1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1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903FD7" w14:textId="77777777" w:rsidR="00633C1B" w:rsidRPr="00633C1B" w:rsidRDefault="00633C1B" w:rsidP="00633C1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33C1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33C1B" w:rsidRPr="00633C1B" w14:paraId="2E55B094" w14:textId="77777777" w:rsidTr="00633C1B">
              <w:trPr>
                <w:trHeight w:val="317"/>
              </w:trPr>
              <w:tc>
                <w:tcPr>
                  <w:tcW w:w="29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3C1E3F" w14:textId="77777777" w:rsidR="00633C1B" w:rsidRPr="00633C1B" w:rsidRDefault="00633C1B" w:rsidP="00633C1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633C1B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633C1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611993" w14:textId="77777777" w:rsidR="00633C1B" w:rsidRPr="00633C1B" w:rsidRDefault="00633C1B" w:rsidP="00633C1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33C1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1EE935" w14:textId="77777777" w:rsidR="00633C1B" w:rsidRPr="00633C1B" w:rsidRDefault="00633C1B" w:rsidP="00633C1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33C1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1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E550B3" w14:textId="77777777" w:rsidR="00633C1B" w:rsidRPr="00633C1B" w:rsidRDefault="00633C1B" w:rsidP="00633C1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33C1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33C1B" w:rsidRPr="00633C1B" w14:paraId="14CFF9E0" w14:textId="77777777" w:rsidTr="00633C1B">
              <w:trPr>
                <w:trHeight w:val="317"/>
              </w:trPr>
              <w:tc>
                <w:tcPr>
                  <w:tcW w:w="29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63F788" w14:textId="77777777" w:rsidR="00633C1B" w:rsidRPr="00633C1B" w:rsidRDefault="00633C1B" w:rsidP="00633C1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33C1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1BE71D" w14:textId="77777777" w:rsidR="00633C1B" w:rsidRPr="00633C1B" w:rsidRDefault="00633C1B" w:rsidP="00633C1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33C1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7DFAAF" w14:textId="77777777" w:rsidR="00633C1B" w:rsidRPr="00633C1B" w:rsidRDefault="00633C1B" w:rsidP="00633C1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33C1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1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06D96E" w14:textId="77777777" w:rsidR="00633C1B" w:rsidRPr="00633C1B" w:rsidRDefault="00633C1B" w:rsidP="00633C1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33C1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33C1B" w:rsidRPr="00633C1B" w14:paraId="78FF8DE2" w14:textId="77777777" w:rsidTr="00633C1B">
              <w:trPr>
                <w:trHeight w:val="317"/>
              </w:trPr>
              <w:tc>
                <w:tcPr>
                  <w:tcW w:w="29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B1C099" w14:textId="77777777" w:rsidR="00633C1B" w:rsidRPr="00633C1B" w:rsidRDefault="00633C1B" w:rsidP="00633C1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33C1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36663B" w14:textId="77777777" w:rsidR="00633C1B" w:rsidRPr="00633C1B" w:rsidRDefault="00633C1B" w:rsidP="00633C1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33C1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FCA532" w14:textId="77777777" w:rsidR="00633C1B" w:rsidRPr="00633C1B" w:rsidRDefault="00633C1B" w:rsidP="00633C1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33C1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1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5A5F1B" w14:textId="77777777" w:rsidR="00633C1B" w:rsidRPr="00633C1B" w:rsidRDefault="00633C1B" w:rsidP="00633C1B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633C1B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1D0A1F41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314AF712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351B9BE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3F53672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1368324" w14:textId="7F03F3BF" w:rsidR="00EB3D1B" w:rsidRDefault="004B291E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214F9AAC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0E66019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5ED7AA6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0286F4B2" w14:textId="18243396" w:rsidR="001B79E5" w:rsidRDefault="001401B8" w:rsidP="001B79E5">
                <w:pPr>
                  <w:pStyle w:val="Tablefont"/>
                </w:pPr>
                <w:r>
                  <w:t>200.59</w:t>
                </w:r>
              </w:p>
            </w:tc>
          </w:sdtContent>
        </w:sdt>
      </w:tr>
      <w:tr w:rsidR="00A31D99" w:rsidRPr="004C23F4" w14:paraId="7E6341D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A57EF25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A7E67DD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E99D0F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E24DB8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4CC59B2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8F90066" w14:textId="77777777" w:rsidTr="00EA6243">
        <w:trPr>
          <w:cantSplit/>
        </w:trPr>
        <w:tc>
          <w:tcPr>
            <w:tcW w:w="4077" w:type="dxa"/>
            <w:vAlign w:val="center"/>
          </w:tcPr>
          <w:p w14:paraId="1DF167C6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126CFA6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D6A4970" w14:textId="77777777" w:rsidTr="00EA6243">
        <w:trPr>
          <w:cantSplit/>
        </w:trPr>
        <w:tc>
          <w:tcPr>
            <w:tcW w:w="4077" w:type="dxa"/>
            <w:vAlign w:val="center"/>
          </w:tcPr>
          <w:p w14:paraId="639134E0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65DD3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5CDE288E" w14:textId="77777777" w:rsidTr="00EA6243">
        <w:trPr>
          <w:cantSplit/>
        </w:trPr>
        <w:tc>
          <w:tcPr>
            <w:tcW w:w="4077" w:type="dxa"/>
            <w:vAlign w:val="center"/>
          </w:tcPr>
          <w:p w14:paraId="419002BD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CC5D737" w14:textId="01548903" w:rsidR="00E06F40" w:rsidRPr="00A006A0" w:rsidRDefault="00FC53D9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1401B8"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1401B8">
                  <w:sym w:font="Wingdings" w:char="F0FC"/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1C6A5AE" w14:textId="77777777" w:rsidR="007F1005" w:rsidRPr="004C23F4" w:rsidRDefault="007F1005" w:rsidP="00EB3D1B">
      <w:pPr>
        <w:pStyle w:val="Heading2"/>
        <w:keepLines/>
      </w:pPr>
      <w:r w:rsidRPr="004C23F4">
        <w:lastRenderedPageBreak/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F5B0897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CCED2BC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5775DEC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9759C2A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2656B3D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7CFC998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5FF4F031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2AF6815" w14:textId="6EFC475B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0FF4A6B2" w14:textId="1E5338D4" w:rsidR="00A858F8" w:rsidRDefault="00A858F8" w:rsidP="00A858F8">
      <w:r w:rsidRPr="002022B6">
        <w:t>Deutsche Forschungsgemeinschaft (DFG)</w:t>
      </w:r>
      <w:r>
        <w:t xml:space="preserve"> (</w:t>
      </w:r>
      <w:r w:rsidR="00CF1C7B">
        <w:t>2001</w:t>
      </w:r>
      <w:r>
        <w:t xml:space="preserve">) </w:t>
      </w:r>
      <w:r w:rsidR="00CF1C7B" w:rsidRPr="00CF1C7B">
        <w:t>Mercury, organic compounds</w:t>
      </w:r>
      <w:r>
        <w:t xml:space="preserve"> – MAK value documentation.</w:t>
      </w:r>
    </w:p>
    <w:p w14:paraId="2E88450C" w14:textId="76A3A45B" w:rsidR="00AD1970" w:rsidRPr="00AD1970" w:rsidRDefault="00AD1970" w:rsidP="00A858F8">
      <w:r w:rsidRPr="00AD1970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08779C9A" w14:textId="49428E0E" w:rsidR="00AD1970" w:rsidRDefault="00AD1970" w:rsidP="00AD1970">
      <w:pPr>
        <w:rPr>
          <w:b/>
        </w:rPr>
      </w:pPr>
      <w:r w:rsidRPr="002022B6">
        <w:t>EU Scientific Committee on Occupational Exposure Limits (SCOEL)</w:t>
      </w:r>
      <w:r>
        <w:t xml:space="preserve"> (</w:t>
      </w:r>
      <w:r w:rsidR="00CF1C7B">
        <w:t>2007</w:t>
      </w:r>
      <w:r>
        <w:t xml:space="preserve">) Recommendation from the Scientific Committee on Occupational Exposure Limits for </w:t>
      </w:r>
      <w:r w:rsidR="00CF1C7B" w:rsidRPr="00CF1C7B">
        <w:t>elemental mercury and inorganic divalent mercury compounds</w:t>
      </w:r>
      <w:r>
        <w:t>. SCOEL/</w:t>
      </w:r>
      <w:r w:rsidR="00CF1C7B">
        <w:t>SUM/84</w:t>
      </w:r>
      <w:r>
        <w:t>.</w:t>
      </w:r>
    </w:p>
    <w:p w14:paraId="11E37418" w14:textId="7717E32F" w:rsidR="00AD1970" w:rsidRDefault="00AD1970" w:rsidP="00AD1970">
      <w:r w:rsidRPr="002022B6">
        <w:t>Health Council of the Netherlands</w:t>
      </w:r>
      <w:r>
        <w:t xml:space="preserve"> (HCOTN) (</w:t>
      </w:r>
      <w:r w:rsidR="00CF1C7B">
        <w:t>2000</w:t>
      </w:r>
      <w:r>
        <w:t xml:space="preserve">) </w:t>
      </w:r>
      <w:r w:rsidR="00CF1C7B" w:rsidRPr="00CF1C7B">
        <w:t>Mercury and its compounds</w:t>
      </w:r>
      <w:r w:rsidRPr="005F7416">
        <w:t xml:space="preserve">. </w:t>
      </w:r>
      <w:r w:rsidR="00CF1C7B" w:rsidRPr="00CF1C7B">
        <w:t>Evaluation of the effects on reproduction, recommendation for classification</w:t>
      </w:r>
      <w:r w:rsidRPr="005F7416">
        <w:t xml:space="preserve">. The Hague: Health Council of the Netherlands; publication no. </w:t>
      </w:r>
      <w:r w:rsidR="00CF1C7B">
        <w:t>2000/05OSH</w:t>
      </w:r>
      <w:r>
        <w:t>.</w:t>
      </w:r>
    </w:p>
    <w:p w14:paraId="10F50FBE" w14:textId="11C551FB" w:rsidR="00FF6CDD" w:rsidRDefault="00FF6CDD" w:rsidP="00FF6CDD">
      <w:pPr>
        <w:rPr>
          <w:b/>
        </w:rPr>
      </w:pPr>
      <w:r w:rsidRPr="002022B6">
        <w:t>International Agency for Research on Cancer</w:t>
      </w:r>
      <w:r>
        <w:t xml:space="preserve"> (IARC) (1993) Volume 58, </w:t>
      </w:r>
      <w:r w:rsidRPr="00FF6CDD">
        <w:t>Beryllium, Cadmium, Mercury, and Exposures in the Glass Manufacturing Industry</w:t>
      </w:r>
      <w:r>
        <w:t>. IARC Monographs on the evaluation of the carcinogenic risk to humans.</w:t>
      </w:r>
    </w:p>
    <w:p w14:paraId="4A18A7B3" w14:textId="26AD7614" w:rsidR="00567552" w:rsidRDefault="00567552" w:rsidP="00567552">
      <w:r>
        <w:t>US Environmental Protection Authority (US EPA) (2001) Integrated Risk Information System (IRIS) Chemical Assessment Summary – methylmercury (MeHg).</w:t>
      </w:r>
    </w:p>
    <w:p w14:paraId="046B352C" w14:textId="004CD54C" w:rsidR="00FF6CDD" w:rsidRDefault="00FF6CDD" w:rsidP="00FF6CDD">
      <w:r w:rsidRPr="00D86E03">
        <w:t>US National Institute for Occupational Safety and Health (NIOSH)</w:t>
      </w:r>
      <w:r>
        <w:t xml:space="preserve"> (1994) Immediately dangerous to life or health concentrations – </w:t>
      </w:r>
      <w:r w:rsidRPr="00FF6CDD">
        <w:t>Mercury (organo) alkyl compounds (as Hg)</w:t>
      </w:r>
      <w:r>
        <w:t>.</w:t>
      </w:r>
    </w:p>
    <w:p w14:paraId="5F4A554F" w14:textId="77777777" w:rsidR="004B291E" w:rsidRPr="00351FE0" w:rsidRDefault="004B291E" w:rsidP="00627373"/>
    <w:sectPr w:rsidR="004B291E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0F3C5" w14:textId="77777777" w:rsidR="008E7952" w:rsidRDefault="008E7952" w:rsidP="00F43AD5">
      <w:pPr>
        <w:spacing w:after="0" w:line="240" w:lineRule="auto"/>
      </w:pPr>
      <w:r>
        <w:separator/>
      </w:r>
    </w:p>
  </w:endnote>
  <w:endnote w:type="continuationSeparator" w:id="0">
    <w:p w14:paraId="5100076A" w14:textId="77777777" w:rsidR="008E7952" w:rsidRDefault="008E7952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E0B2B3" w14:textId="77777777" w:rsidR="00C36646" w:rsidRDefault="00C366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0C63C70" w14:textId="240C1EBE" w:rsidR="008A36CF" w:rsidRDefault="001D51DB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Mercury, alkyl compounds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as Hg</w:t>
        </w:r>
        <w:r w:rsidR="008A36CF">
          <w:rPr>
            <w:b/>
            <w:sz w:val="18"/>
            <w:szCs w:val="18"/>
          </w:rPr>
          <w:t>)</w:t>
        </w:r>
        <w:r>
          <w:rPr>
            <w:b/>
            <w:sz w:val="18"/>
            <w:szCs w:val="18"/>
          </w:rPr>
          <w:t xml:space="preserve"> (</w:t>
        </w:r>
        <w:r w:rsidR="005E5819">
          <w:rPr>
            <w:b/>
            <w:sz w:val="18"/>
            <w:szCs w:val="18"/>
          </w:rPr>
          <w:t>7439-97-6</w:t>
        </w:r>
        <w:r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4009520E" w14:textId="2A1408B8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C36646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19842" w14:textId="77777777" w:rsidR="00C36646" w:rsidRDefault="00C366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4E4BBD" w14:textId="77777777" w:rsidR="008E7952" w:rsidRDefault="008E7952" w:rsidP="00F43AD5">
      <w:pPr>
        <w:spacing w:after="0" w:line="240" w:lineRule="auto"/>
      </w:pPr>
      <w:r>
        <w:separator/>
      </w:r>
    </w:p>
  </w:footnote>
  <w:footnote w:type="continuationSeparator" w:id="0">
    <w:p w14:paraId="57111D3F" w14:textId="77777777" w:rsidR="008E7952" w:rsidRDefault="008E7952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D9262" w14:textId="351BECB7" w:rsidR="00C36646" w:rsidRDefault="00C366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56625" w14:textId="0B54E6C0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02391B9E" wp14:editId="63E5289B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4D7F1" w14:textId="1729AE99" w:rsidR="00C36646" w:rsidRDefault="00C3664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0574E" w14:textId="4E3FB17E" w:rsidR="00C36646" w:rsidRDefault="00C36646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9D16A" w14:textId="7C890C95" w:rsidR="008A36CF" w:rsidRDefault="00C36646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6A761ECB" wp14:editId="50883FBE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E03B2" w14:textId="5325050D" w:rsidR="00C36646" w:rsidRDefault="00C366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D0E6A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145271040">
    <w:abstractNumId w:val="0"/>
  </w:num>
  <w:num w:numId="2" w16cid:durableId="257253131">
    <w:abstractNumId w:val="0"/>
  </w:num>
  <w:num w:numId="3" w16cid:durableId="1551110412">
    <w:abstractNumId w:val="0"/>
  </w:num>
  <w:num w:numId="4" w16cid:durableId="1213729495">
    <w:abstractNumId w:val="0"/>
  </w:num>
  <w:num w:numId="5" w16cid:durableId="989750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122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6F5C"/>
    <w:rsid w:val="00046DF5"/>
    <w:rsid w:val="00052060"/>
    <w:rsid w:val="00052D9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AF5"/>
    <w:rsid w:val="00092D94"/>
    <w:rsid w:val="00093023"/>
    <w:rsid w:val="00094FAD"/>
    <w:rsid w:val="00096757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8A3"/>
    <w:rsid w:val="001269A7"/>
    <w:rsid w:val="00131092"/>
    <w:rsid w:val="001401B8"/>
    <w:rsid w:val="00140E6A"/>
    <w:rsid w:val="001454B6"/>
    <w:rsid w:val="00146545"/>
    <w:rsid w:val="00146B75"/>
    <w:rsid w:val="0015266D"/>
    <w:rsid w:val="0015288A"/>
    <w:rsid w:val="00160F47"/>
    <w:rsid w:val="00177CA1"/>
    <w:rsid w:val="00182E6A"/>
    <w:rsid w:val="00183823"/>
    <w:rsid w:val="00183942"/>
    <w:rsid w:val="00193DA7"/>
    <w:rsid w:val="001A009E"/>
    <w:rsid w:val="001A1287"/>
    <w:rsid w:val="001A3859"/>
    <w:rsid w:val="001A3C9D"/>
    <w:rsid w:val="001A43F8"/>
    <w:rsid w:val="001B79E5"/>
    <w:rsid w:val="001D51DB"/>
    <w:rsid w:val="001D56F0"/>
    <w:rsid w:val="001D663B"/>
    <w:rsid w:val="001D7B41"/>
    <w:rsid w:val="001E3ED5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0790B"/>
    <w:rsid w:val="00213640"/>
    <w:rsid w:val="00221292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47826"/>
    <w:rsid w:val="0025734A"/>
    <w:rsid w:val="002622FD"/>
    <w:rsid w:val="00263255"/>
    <w:rsid w:val="00276494"/>
    <w:rsid w:val="00277B0C"/>
    <w:rsid w:val="002A2043"/>
    <w:rsid w:val="002B176C"/>
    <w:rsid w:val="002B1978"/>
    <w:rsid w:val="002B1A2C"/>
    <w:rsid w:val="002C34F2"/>
    <w:rsid w:val="002C58FF"/>
    <w:rsid w:val="002C7AFE"/>
    <w:rsid w:val="002D05D2"/>
    <w:rsid w:val="002E0D61"/>
    <w:rsid w:val="002E4C7B"/>
    <w:rsid w:val="00301766"/>
    <w:rsid w:val="00306F2F"/>
    <w:rsid w:val="0030740C"/>
    <w:rsid w:val="00315833"/>
    <w:rsid w:val="003215EE"/>
    <w:rsid w:val="003224BF"/>
    <w:rsid w:val="003241A8"/>
    <w:rsid w:val="003253F0"/>
    <w:rsid w:val="0033000D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40F0"/>
    <w:rsid w:val="00386093"/>
    <w:rsid w:val="003904A4"/>
    <w:rsid w:val="00391841"/>
    <w:rsid w:val="00391B6D"/>
    <w:rsid w:val="00394922"/>
    <w:rsid w:val="003A0E32"/>
    <w:rsid w:val="003A14D8"/>
    <w:rsid w:val="003A2854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0F63"/>
    <w:rsid w:val="00417A56"/>
    <w:rsid w:val="00420957"/>
    <w:rsid w:val="00421AC1"/>
    <w:rsid w:val="00422A10"/>
    <w:rsid w:val="00430179"/>
    <w:rsid w:val="00431998"/>
    <w:rsid w:val="004414B5"/>
    <w:rsid w:val="0044277C"/>
    <w:rsid w:val="00442E43"/>
    <w:rsid w:val="00444482"/>
    <w:rsid w:val="00444B42"/>
    <w:rsid w:val="00445E44"/>
    <w:rsid w:val="0044649D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0E36"/>
    <w:rsid w:val="004927E2"/>
    <w:rsid w:val="00493A35"/>
    <w:rsid w:val="0049527A"/>
    <w:rsid w:val="004966BF"/>
    <w:rsid w:val="00497984"/>
    <w:rsid w:val="004A5088"/>
    <w:rsid w:val="004B0AAA"/>
    <w:rsid w:val="004B291E"/>
    <w:rsid w:val="004C1E3F"/>
    <w:rsid w:val="004C23F4"/>
    <w:rsid w:val="004C3475"/>
    <w:rsid w:val="004C4AEE"/>
    <w:rsid w:val="004C58B6"/>
    <w:rsid w:val="004C7C7E"/>
    <w:rsid w:val="004D16A3"/>
    <w:rsid w:val="004D4AA1"/>
    <w:rsid w:val="004D6D68"/>
    <w:rsid w:val="004E103B"/>
    <w:rsid w:val="004E5EDD"/>
    <w:rsid w:val="004F163A"/>
    <w:rsid w:val="004F448A"/>
    <w:rsid w:val="004F493D"/>
    <w:rsid w:val="004F65E8"/>
    <w:rsid w:val="0050005E"/>
    <w:rsid w:val="00502B88"/>
    <w:rsid w:val="005049DC"/>
    <w:rsid w:val="005142C4"/>
    <w:rsid w:val="00514F05"/>
    <w:rsid w:val="0051509C"/>
    <w:rsid w:val="005272E2"/>
    <w:rsid w:val="0053108F"/>
    <w:rsid w:val="00532B56"/>
    <w:rsid w:val="00534B10"/>
    <w:rsid w:val="005446A2"/>
    <w:rsid w:val="00544D2F"/>
    <w:rsid w:val="00551BD8"/>
    <w:rsid w:val="00551FB2"/>
    <w:rsid w:val="00552AF7"/>
    <w:rsid w:val="0055371E"/>
    <w:rsid w:val="00567552"/>
    <w:rsid w:val="00581055"/>
    <w:rsid w:val="00591E38"/>
    <w:rsid w:val="0059759C"/>
    <w:rsid w:val="005A19C5"/>
    <w:rsid w:val="005A3034"/>
    <w:rsid w:val="005A462D"/>
    <w:rsid w:val="005B253B"/>
    <w:rsid w:val="005B530F"/>
    <w:rsid w:val="005B771D"/>
    <w:rsid w:val="005C5D16"/>
    <w:rsid w:val="005D3193"/>
    <w:rsid w:val="005D4A6E"/>
    <w:rsid w:val="005E5819"/>
    <w:rsid w:val="005E6979"/>
    <w:rsid w:val="005E75CB"/>
    <w:rsid w:val="006013C1"/>
    <w:rsid w:val="0060669E"/>
    <w:rsid w:val="00610F2E"/>
    <w:rsid w:val="00611399"/>
    <w:rsid w:val="00624C4E"/>
    <w:rsid w:val="00625200"/>
    <w:rsid w:val="00627268"/>
    <w:rsid w:val="00627373"/>
    <w:rsid w:val="00633C1B"/>
    <w:rsid w:val="006363A8"/>
    <w:rsid w:val="00636DB7"/>
    <w:rsid w:val="00636FD6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C2C93"/>
    <w:rsid w:val="006C78E6"/>
    <w:rsid w:val="006D79EA"/>
    <w:rsid w:val="006E5D05"/>
    <w:rsid w:val="006F3CC7"/>
    <w:rsid w:val="00701053"/>
    <w:rsid w:val="00701507"/>
    <w:rsid w:val="00706F2C"/>
    <w:rsid w:val="00714021"/>
    <w:rsid w:val="00716A0F"/>
    <w:rsid w:val="00717D45"/>
    <w:rsid w:val="007208F7"/>
    <w:rsid w:val="00720FDD"/>
    <w:rsid w:val="007218AF"/>
    <w:rsid w:val="007365D1"/>
    <w:rsid w:val="00740E0E"/>
    <w:rsid w:val="00750212"/>
    <w:rsid w:val="00754779"/>
    <w:rsid w:val="0075716D"/>
    <w:rsid w:val="00765F14"/>
    <w:rsid w:val="00770E31"/>
    <w:rsid w:val="00772D46"/>
    <w:rsid w:val="007753C4"/>
    <w:rsid w:val="007770F1"/>
    <w:rsid w:val="00783FB1"/>
    <w:rsid w:val="00785CDD"/>
    <w:rsid w:val="00791847"/>
    <w:rsid w:val="007925F0"/>
    <w:rsid w:val="007939B3"/>
    <w:rsid w:val="0079509C"/>
    <w:rsid w:val="00796708"/>
    <w:rsid w:val="007A2D83"/>
    <w:rsid w:val="007A501F"/>
    <w:rsid w:val="007A6D9F"/>
    <w:rsid w:val="007B0584"/>
    <w:rsid w:val="007B1B42"/>
    <w:rsid w:val="007B7C3F"/>
    <w:rsid w:val="007C30EB"/>
    <w:rsid w:val="007E063C"/>
    <w:rsid w:val="007E09B8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63CA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952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94F"/>
    <w:rsid w:val="00946A33"/>
    <w:rsid w:val="0095260E"/>
    <w:rsid w:val="009578DD"/>
    <w:rsid w:val="00961124"/>
    <w:rsid w:val="009621B6"/>
    <w:rsid w:val="00964C0A"/>
    <w:rsid w:val="00966F2B"/>
    <w:rsid w:val="00974F2D"/>
    <w:rsid w:val="00977524"/>
    <w:rsid w:val="00977E88"/>
    <w:rsid w:val="00984920"/>
    <w:rsid w:val="0099303A"/>
    <w:rsid w:val="009971C2"/>
    <w:rsid w:val="009A00CB"/>
    <w:rsid w:val="009A1254"/>
    <w:rsid w:val="009B2FF2"/>
    <w:rsid w:val="009B380C"/>
    <w:rsid w:val="009B4843"/>
    <w:rsid w:val="009B6543"/>
    <w:rsid w:val="009C199D"/>
    <w:rsid w:val="009C278F"/>
    <w:rsid w:val="009C2B94"/>
    <w:rsid w:val="009C45B6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4ABA"/>
    <w:rsid w:val="00A27E2D"/>
    <w:rsid w:val="00A27FC8"/>
    <w:rsid w:val="00A31D99"/>
    <w:rsid w:val="00A357BA"/>
    <w:rsid w:val="00A35ADC"/>
    <w:rsid w:val="00A402A3"/>
    <w:rsid w:val="00A53681"/>
    <w:rsid w:val="00A633D4"/>
    <w:rsid w:val="00A6461A"/>
    <w:rsid w:val="00A8027C"/>
    <w:rsid w:val="00A84504"/>
    <w:rsid w:val="00A858F8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D1970"/>
    <w:rsid w:val="00AE2745"/>
    <w:rsid w:val="00AE2F64"/>
    <w:rsid w:val="00AF2931"/>
    <w:rsid w:val="00AF42CB"/>
    <w:rsid w:val="00AF483F"/>
    <w:rsid w:val="00AF5E07"/>
    <w:rsid w:val="00AF5F06"/>
    <w:rsid w:val="00B00A25"/>
    <w:rsid w:val="00B1422A"/>
    <w:rsid w:val="00B1765C"/>
    <w:rsid w:val="00B213C4"/>
    <w:rsid w:val="00B32FAB"/>
    <w:rsid w:val="00B40C60"/>
    <w:rsid w:val="00B4724C"/>
    <w:rsid w:val="00B479A9"/>
    <w:rsid w:val="00B52EDF"/>
    <w:rsid w:val="00B61EBB"/>
    <w:rsid w:val="00B636F8"/>
    <w:rsid w:val="00B64CED"/>
    <w:rsid w:val="00B71188"/>
    <w:rsid w:val="00B75A59"/>
    <w:rsid w:val="00B76A41"/>
    <w:rsid w:val="00B87D4C"/>
    <w:rsid w:val="00B93646"/>
    <w:rsid w:val="00BA0B38"/>
    <w:rsid w:val="00BA1DBB"/>
    <w:rsid w:val="00BA4510"/>
    <w:rsid w:val="00BA529A"/>
    <w:rsid w:val="00BB612A"/>
    <w:rsid w:val="00BC26BA"/>
    <w:rsid w:val="00BD499F"/>
    <w:rsid w:val="00BD56DE"/>
    <w:rsid w:val="00BF2406"/>
    <w:rsid w:val="00BF44AE"/>
    <w:rsid w:val="00C06E43"/>
    <w:rsid w:val="00C107BC"/>
    <w:rsid w:val="00C16315"/>
    <w:rsid w:val="00C3091E"/>
    <w:rsid w:val="00C36646"/>
    <w:rsid w:val="00C40FF1"/>
    <w:rsid w:val="00C419E2"/>
    <w:rsid w:val="00C5020E"/>
    <w:rsid w:val="00C52B0B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44BA"/>
    <w:rsid w:val="00C96589"/>
    <w:rsid w:val="00C978F0"/>
    <w:rsid w:val="00CA58FE"/>
    <w:rsid w:val="00CB1CB1"/>
    <w:rsid w:val="00CB6102"/>
    <w:rsid w:val="00CB6BC1"/>
    <w:rsid w:val="00CB6CB8"/>
    <w:rsid w:val="00CC1A68"/>
    <w:rsid w:val="00CC2123"/>
    <w:rsid w:val="00CC4646"/>
    <w:rsid w:val="00CD2BFD"/>
    <w:rsid w:val="00CE5AD6"/>
    <w:rsid w:val="00CE617F"/>
    <w:rsid w:val="00CE78EF"/>
    <w:rsid w:val="00CF1C7B"/>
    <w:rsid w:val="00D048F7"/>
    <w:rsid w:val="00D0517E"/>
    <w:rsid w:val="00D140FC"/>
    <w:rsid w:val="00D21D8C"/>
    <w:rsid w:val="00D31300"/>
    <w:rsid w:val="00D31357"/>
    <w:rsid w:val="00D33220"/>
    <w:rsid w:val="00D334D1"/>
    <w:rsid w:val="00D44C89"/>
    <w:rsid w:val="00D516CD"/>
    <w:rsid w:val="00D53D41"/>
    <w:rsid w:val="00D668E6"/>
    <w:rsid w:val="00D70670"/>
    <w:rsid w:val="00D74D80"/>
    <w:rsid w:val="00D764E3"/>
    <w:rsid w:val="00D76624"/>
    <w:rsid w:val="00D87570"/>
    <w:rsid w:val="00D91CB9"/>
    <w:rsid w:val="00D97989"/>
    <w:rsid w:val="00D97D8D"/>
    <w:rsid w:val="00DA352E"/>
    <w:rsid w:val="00DB31FC"/>
    <w:rsid w:val="00DB7802"/>
    <w:rsid w:val="00DC7694"/>
    <w:rsid w:val="00DD1BF6"/>
    <w:rsid w:val="00DD2F9B"/>
    <w:rsid w:val="00DE2513"/>
    <w:rsid w:val="00DE26E8"/>
    <w:rsid w:val="00DE60F5"/>
    <w:rsid w:val="00DF5F1D"/>
    <w:rsid w:val="00DF6F36"/>
    <w:rsid w:val="00E0084C"/>
    <w:rsid w:val="00E025AB"/>
    <w:rsid w:val="00E02B23"/>
    <w:rsid w:val="00E066C1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1DED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284F"/>
    <w:rsid w:val="00EB3D1B"/>
    <w:rsid w:val="00ED1D89"/>
    <w:rsid w:val="00ED5E65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318F2"/>
    <w:rsid w:val="00F43AD5"/>
    <w:rsid w:val="00F4402E"/>
    <w:rsid w:val="00F56DD0"/>
    <w:rsid w:val="00F6491C"/>
    <w:rsid w:val="00F67BBB"/>
    <w:rsid w:val="00F72DD1"/>
    <w:rsid w:val="00F76E34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53D9"/>
    <w:rsid w:val="00FC60A2"/>
    <w:rsid w:val="00FC61DF"/>
    <w:rsid w:val="00FD1871"/>
    <w:rsid w:val="00FD3110"/>
    <w:rsid w:val="00FD531E"/>
    <w:rsid w:val="00FD6EC0"/>
    <w:rsid w:val="00FF5C3D"/>
    <w:rsid w:val="00F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5"/>
    <o:shapelayout v:ext="edit">
      <o:idmap v:ext="edit" data="1"/>
    </o:shapelayout>
  </w:shapeDefaults>
  <w:decimalSymbol w:val="."/>
  <w:listSeparator w:val=","/>
  <w14:docId w14:val="0C32E6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6C2C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2C9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2C93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2C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2C93"/>
    <w:rPr>
      <w:b/>
      <w:bCs/>
      <w:szCs w:val="20"/>
    </w:rPr>
  </w:style>
  <w:style w:type="table" w:styleId="LightShading-Accent2">
    <w:name w:val="Light Shading Accent 2"/>
    <w:aliases w:val="SWA Table Style"/>
    <w:basedOn w:val="TableNormal"/>
    <w:uiPriority w:val="60"/>
    <w:rsid w:val="00A858F8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7A2D83"/>
    <w:pPr>
      <w:numPr>
        <w:numId w:val="1"/>
      </w:numPr>
      <w:contextualSpacing/>
    </w:pPr>
  </w:style>
  <w:style w:type="paragraph" w:styleId="BodyText">
    <w:name w:val="Body Text"/>
    <w:basedOn w:val="Normal"/>
    <w:link w:val="BodyTextChar"/>
    <w:qFormat/>
    <w:rsid w:val="00C52B0B"/>
    <w:pPr>
      <w:tabs>
        <w:tab w:val="left" w:pos="2268"/>
        <w:tab w:val="left" w:pos="4536"/>
        <w:tab w:val="left" w:pos="6804"/>
        <w:tab w:val="right" w:pos="9638"/>
      </w:tabs>
      <w:spacing w:before="120" w:line="288" w:lineRule="auto"/>
    </w:pPr>
    <w:rPr>
      <w:rFonts w:asciiTheme="minorHAnsi" w:eastAsia="Times New Roman" w:hAnsi="Times New Roman" w:cs="Times New Roman"/>
      <w:szCs w:val="20"/>
      <w:lang w:eastAsia="en-AU"/>
    </w:rPr>
  </w:style>
  <w:style w:type="character" w:customStyle="1" w:styleId="BodyTextChar">
    <w:name w:val="Body Text Char"/>
    <w:basedOn w:val="DefaultParagraphFont"/>
    <w:link w:val="BodyText"/>
    <w:rsid w:val="00C52B0B"/>
    <w:rPr>
      <w:rFonts w:asciiTheme="minorHAnsi" w:eastAsia="Times New Roman" w:hAnsi="Times New Roman" w:cs="Times New Roman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45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CE1881E48B884022A2CB551087E01C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E9BD3E-EE94-40DB-8174-719E8F726ECC}"/>
      </w:docPartPr>
      <w:docPartBody>
        <w:p w:rsidR="001A35E9" w:rsidRDefault="009601B7" w:rsidP="009601B7">
          <w:pPr>
            <w:pStyle w:val="CE1881E48B884022A2CB551087E01CF9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0FD1887FE9248B6BDBF105761C4DD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F7EC9C-BBD2-4171-8C17-2F5A96A018A9}"/>
      </w:docPartPr>
      <w:docPartBody>
        <w:p w:rsidR="004A5A45" w:rsidRDefault="00D421D1" w:rsidP="00D421D1">
          <w:pPr>
            <w:pStyle w:val="E0FD1887FE9248B6BDBF105761C4DD7C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DFB2E302A4DD4920B07CA67D0C3F03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6F2A48-6548-4913-9DF4-ACD500554B15}"/>
      </w:docPartPr>
      <w:docPartBody>
        <w:p w:rsidR="00DC7F34" w:rsidRDefault="002408FC" w:rsidP="002408FC">
          <w:pPr>
            <w:pStyle w:val="DFB2E302A4DD4920B07CA67D0C3F03DE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A35E9"/>
    <w:rsid w:val="002408FC"/>
    <w:rsid w:val="00290E2D"/>
    <w:rsid w:val="004107E9"/>
    <w:rsid w:val="004A5A45"/>
    <w:rsid w:val="004B0AAA"/>
    <w:rsid w:val="009601B7"/>
    <w:rsid w:val="00D21A9F"/>
    <w:rsid w:val="00D421D1"/>
    <w:rsid w:val="00DC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408FC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FFDE270CB50461B826B0194984892C5">
    <w:name w:val="CFFDE270CB50461B826B0194984892C5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CE1881E48B884022A2CB551087E01CF9">
    <w:name w:val="CE1881E48B884022A2CB551087E01CF9"/>
    <w:rsid w:val="009601B7"/>
    <w:rPr>
      <w:lang w:val="en-US" w:eastAsia="en-US"/>
    </w:rPr>
  </w:style>
  <w:style w:type="paragraph" w:customStyle="1" w:styleId="E0FD1887FE9248B6BDBF105761C4DD7C">
    <w:name w:val="E0FD1887FE9248B6BDBF105761C4DD7C"/>
    <w:rsid w:val="00D421D1"/>
  </w:style>
  <w:style w:type="paragraph" w:customStyle="1" w:styleId="DFB2E302A4DD4920B07CA67D0C3F03DE">
    <w:name w:val="DFB2E302A4DD4920B07CA67D0C3F03DE"/>
    <w:rsid w:val="002408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938F32-C3BC-4615-8AA3-FCA7D10A56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C3D9D66-04C0-4D1F-93A8-0788BAD359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A22836-7AB0-49E6-A263-5CB945E4C2C0}"/>
</file>

<file path=customXml/itemProps4.xml><?xml version="1.0" encoding="utf-8"?>
<ds:datastoreItem xmlns:ds="http://schemas.openxmlformats.org/officeDocument/2006/customXml" ds:itemID="{3EA84539-01A2-4244-92B0-747FA9A433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1465</Words>
  <Characters>8351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2019-12-18T00:58:00Z</dcterms:created>
  <dcterms:modified xsi:type="dcterms:W3CDTF">2025-12-24T00:04:00Z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2025-12-24T00:04:17Z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e23fc443-4bbd-4d4e-a8ca-a728fed42b93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