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C25F96B" w14:textId="77777777" w:rsidR="00BD499F" w:rsidRPr="004C23F4" w:rsidRDefault="00BF7452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M</w:t>
          </w:r>
          <w:r w:rsidR="002D6295">
            <w:rPr>
              <w:rFonts w:ascii="Arial" w:hAnsi="Arial" w:cs="Arial"/>
            </w:rPr>
            <w:t>anganese cyclopenta-dienyl tricarbonyl (as mn)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62"/>
        <w:gridCol w:w="5064"/>
      </w:tblGrid>
      <w:tr w:rsidR="00F43AD5" w:rsidRPr="004C23F4" w14:paraId="258B11FE" w14:textId="77777777" w:rsidTr="00E64097">
        <w:trPr>
          <w:cantSplit/>
          <w:tblHeader/>
        </w:trPr>
        <w:tc>
          <w:tcPr>
            <w:tcW w:w="3962" w:type="dxa"/>
          </w:tcPr>
          <w:p w14:paraId="57DE73A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64" w:type="dxa"/>
          </w:tcPr>
          <w:p w14:paraId="0C07E28E" w14:textId="77777777" w:rsidR="00F43AD5" w:rsidRPr="00717D45" w:rsidRDefault="002D6295" w:rsidP="002D6295">
            <w:pPr>
              <w:pStyle w:val="Tablefont"/>
              <w:tabs>
                <w:tab w:val="left" w:pos="1703"/>
              </w:tabs>
            </w:pPr>
            <w:r>
              <w:t>12079-65-1</w:t>
            </w:r>
          </w:p>
        </w:tc>
      </w:tr>
      <w:tr w:rsidR="00F43AD5" w:rsidRPr="004C23F4" w14:paraId="4F504C99" w14:textId="77777777" w:rsidTr="00E64097">
        <w:trPr>
          <w:cantSplit/>
        </w:trPr>
        <w:tc>
          <w:tcPr>
            <w:tcW w:w="3962" w:type="dxa"/>
          </w:tcPr>
          <w:p w14:paraId="633DFDC9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64" w:type="dxa"/>
          </w:tcPr>
          <w:p w14:paraId="5C3DF0EB" w14:textId="77777777" w:rsidR="00F43AD5" w:rsidRPr="00717D45" w:rsidRDefault="002D6295" w:rsidP="002D6295">
            <w:pPr>
              <w:pStyle w:val="Tablefont"/>
              <w:tabs>
                <w:tab w:val="left" w:pos="1703"/>
              </w:tabs>
            </w:pPr>
            <w:r w:rsidRPr="002D6295">
              <w:t>Cyclope</w:t>
            </w:r>
            <w:r>
              <w:t>ntadienyl manganese tricarbonyl,</w:t>
            </w:r>
            <w:r w:rsidRPr="002D6295">
              <w:t xml:space="preserve"> MCT</w:t>
            </w:r>
            <w:r w:rsidR="008648D2" w:rsidRPr="008648D2">
              <w:t>, manganese cyclopentadienyl tricarbonyl, tricarbony</w:t>
            </w:r>
            <w:r w:rsidR="000E0554">
              <w:t>l-pi-</w:t>
            </w:r>
            <w:proofErr w:type="spellStart"/>
            <w:r w:rsidR="000E0554">
              <w:t>cyclopentadienylmanganese</w:t>
            </w:r>
            <w:proofErr w:type="spellEnd"/>
          </w:p>
        </w:tc>
      </w:tr>
      <w:tr w:rsidR="00F43AD5" w:rsidRPr="004C23F4" w14:paraId="52825079" w14:textId="77777777" w:rsidTr="00E64097">
        <w:trPr>
          <w:cantSplit/>
        </w:trPr>
        <w:tc>
          <w:tcPr>
            <w:tcW w:w="3962" w:type="dxa"/>
          </w:tcPr>
          <w:p w14:paraId="569772A1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64" w:type="dxa"/>
          </w:tcPr>
          <w:p w14:paraId="0B157DA8" w14:textId="77777777" w:rsidR="00F43AD5" w:rsidRPr="00717D45" w:rsidRDefault="002D6295" w:rsidP="002D6295">
            <w:pPr>
              <w:pStyle w:val="Tablefont"/>
              <w:tabs>
                <w:tab w:val="left" w:pos="1703"/>
              </w:tabs>
            </w:pPr>
            <w:r w:rsidRPr="002D6295">
              <w:t>C</w:t>
            </w:r>
            <w:r w:rsidRPr="002D6295">
              <w:rPr>
                <w:vertAlign w:val="subscript"/>
              </w:rPr>
              <w:t>8</w:t>
            </w:r>
            <w:r w:rsidRPr="002D6295">
              <w:t>H</w:t>
            </w:r>
            <w:r w:rsidRPr="002D6295">
              <w:rPr>
                <w:vertAlign w:val="subscript"/>
              </w:rPr>
              <w:t>5</w:t>
            </w:r>
            <w:r w:rsidRPr="002D6295">
              <w:t>MnO</w:t>
            </w:r>
            <w:r w:rsidRPr="002D6295">
              <w:rPr>
                <w:vertAlign w:val="subscript"/>
              </w:rPr>
              <w:t>3</w:t>
            </w:r>
          </w:p>
        </w:tc>
      </w:tr>
    </w:tbl>
    <w:p w14:paraId="71F99CE3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E04E1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45B387" w14:textId="77777777" w:rsidTr="002D6295">
        <w:trPr>
          <w:cantSplit/>
          <w:tblHeader/>
        </w:trPr>
        <w:tc>
          <w:tcPr>
            <w:tcW w:w="4010" w:type="dxa"/>
            <w:vAlign w:val="center"/>
          </w:tcPr>
          <w:p w14:paraId="10049C7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1BF244CA" w14:textId="77777777" w:rsidR="002C7AFE" w:rsidRPr="00EB3D1B" w:rsidRDefault="00CE04E1" w:rsidP="00017C82">
            <w:pPr>
              <w:pStyle w:val="Tablefont"/>
              <w:rPr>
                <w:b/>
              </w:rPr>
            </w:pPr>
            <w:r w:rsidRPr="00CE04E1">
              <w:rPr>
                <w:b/>
              </w:rPr>
              <w:t>0.1 mg/m</w:t>
            </w:r>
            <w:r w:rsidRPr="00CE04E1">
              <w:rPr>
                <w:b/>
                <w:vertAlign w:val="superscript"/>
              </w:rPr>
              <w:t>3</w:t>
            </w:r>
          </w:p>
        </w:tc>
      </w:tr>
      <w:tr w:rsidR="002D6295" w:rsidRPr="004C23F4" w14:paraId="4D715DF1" w14:textId="77777777" w:rsidTr="002D6295">
        <w:trPr>
          <w:cantSplit/>
        </w:trPr>
        <w:tc>
          <w:tcPr>
            <w:tcW w:w="4010" w:type="dxa"/>
            <w:vAlign w:val="center"/>
          </w:tcPr>
          <w:p w14:paraId="65051A15" w14:textId="77777777" w:rsidR="002D6295" w:rsidRPr="002C58FF" w:rsidRDefault="002D6295" w:rsidP="002D6295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0FC681E1" w14:textId="77777777" w:rsidR="002D6295" w:rsidRPr="00EB3D1B" w:rsidRDefault="002D6295" w:rsidP="002D6295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D6295" w:rsidRPr="004C23F4" w14:paraId="2F96777A" w14:textId="77777777" w:rsidTr="002D6295">
        <w:trPr>
          <w:cantSplit/>
        </w:trPr>
        <w:tc>
          <w:tcPr>
            <w:tcW w:w="4010" w:type="dxa"/>
            <w:vAlign w:val="center"/>
          </w:tcPr>
          <w:p w14:paraId="112DD227" w14:textId="77777777" w:rsidR="002D6295" w:rsidRPr="002C58FF" w:rsidRDefault="002D6295" w:rsidP="002D6295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25E3CF5A" w14:textId="77777777" w:rsidR="002D6295" w:rsidRPr="00EB3D1B" w:rsidRDefault="002D6295" w:rsidP="002D6295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D6295" w:rsidRPr="004C23F4" w14:paraId="0CA4726A" w14:textId="77777777" w:rsidTr="002D6295">
        <w:trPr>
          <w:cantSplit/>
        </w:trPr>
        <w:tc>
          <w:tcPr>
            <w:tcW w:w="4010" w:type="dxa"/>
          </w:tcPr>
          <w:p w14:paraId="3A725D9C" w14:textId="77777777" w:rsidR="002D6295" w:rsidRPr="002C58FF" w:rsidRDefault="002D6295" w:rsidP="002D6295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507DFECA" w14:textId="58C31989" w:rsidR="002D6295" w:rsidRPr="00EB3D1B" w:rsidRDefault="00E64097" w:rsidP="002D6295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D6295" w:rsidRPr="004C23F4" w14:paraId="62E9E166" w14:textId="77777777" w:rsidTr="002D6295">
        <w:trPr>
          <w:cantSplit/>
        </w:trPr>
        <w:tc>
          <w:tcPr>
            <w:tcW w:w="4010" w:type="dxa"/>
            <w:vAlign w:val="center"/>
          </w:tcPr>
          <w:p w14:paraId="1BC5F69F" w14:textId="77777777" w:rsidR="002D6295" w:rsidRPr="002C58FF" w:rsidRDefault="002D6295" w:rsidP="002D6295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1492E863" w14:textId="77777777" w:rsidR="002D6295" w:rsidRPr="00EB3D1B" w:rsidRDefault="002D6295" w:rsidP="002D6295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CE04E1" w:rsidRPr="004C23F4" w14:paraId="57EF864E" w14:textId="77777777" w:rsidTr="001B784D">
        <w:trPr>
          <w:cantSplit/>
        </w:trPr>
        <w:tc>
          <w:tcPr>
            <w:tcW w:w="9026" w:type="dxa"/>
            <w:gridSpan w:val="2"/>
            <w:vAlign w:val="center"/>
          </w:tcPr>
          <w:p w14:paraId="4178F22D" w14:textId="77777777" w:rsidR="00CE04E1" w:rsidRPr="00EB3D1B" w:rsidRDefault="00CE04E1" w:rsidP="002D6295">
            <w:pPr>
              <w:pStyle w:val="Tablefont"/>
              <w:rPr>
                <w:b/>
              </w:rPr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C33362D499CC4608B7C3B21C9ECBF476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AA7B5F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B005600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6EFF48B" w14:textId="75F6A17A" w:rsidR="006639B4" w:rsidRPr="004C23F4" w:rsidRDefault="00F402E6" w:rsidP="000C139A">
      <w:pPr>
        <w:rPr>
          <w:rFonts w:cs="Arial"/>
        </w:rPr>
      </w:pPr>
      <w:r>
        <w:rPr>
          <w:rFonts w:cs="Arial"/>
        </w:rPr>
        <w:t>A TWA of 0.1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is recommended to protect for </w:t>
      </w:r>
      <w:r w:rsidR="00E64097">
        <w:rPr>
          <w:rFonts w:cs="Arial"/>
        </w:rPr>
        <w:t>irritation of the</w:t>
      </w:r>
      <w:r w:rsidR="00DD580C">
        <w:t xml:space="preserve"> </w:t>
      </w:r>
      <w:r w:rsidR="00D367F1">
        <w:t>skin</w:t>
      </w:r>
      <w:r w:rsidR="00E64097">
        <w:t xml:space="preserve"> and effects on the</w:t>
      </w:r>
      <w:r w:rsidR="00D367F1">
        <w:t xml:space="preserve"> </w:t>
      </w:r>
      <w:r>
        <w:t>nervous system and respiratory tract in exposed workers.</w:t>
      </w:r>
    </w:p>
    <w:p w14:paraId="6E8581B0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2CD2D42" w14:textId="77777777" w:rsidR="0012270F" w:rsidRDefault="004E6917" w:rsidP="006639B4">
      <w:pPr>
        <w:rPr>
          <w:rFonts w:cs="Arial"/>
        </w:rPr>
      </w:pPr>
      <w:r>
        <w:rPr>
          <w:rFonts w:cs="Arial"/>
        </w:rPr>
        <w:t xml:space="preserve">Manganese </w:t>
      </w:r>
      <w:proofErr w:type="spellStart"/>
      <w:r>
        <w:rPr>
          <w:rFonts w:cs="Arial"/>
        </w:rPr>
        <w:t>cyclopenta</w:t>
      </w:r>
      <w:proofErr w:type="spellEnd"/>
      <w:r>
        <w:rPr>
          <w:rFonts w:cs="Arial"/>
        </w:rPr>
        <w:t xml:space="preserve">-dienyl tricarbonyl (MCT) is commonly used as an antiknock agent, increasing the octane rating in unleaded petrol. </w:t>
      </w:r>
    </w:p>
    <w:p w14:paraId="1EAC5131" w14:textId="34BE2191" w:rsidR="00350DBF" w:rsidRDefault="00AA7B5F" w:rsidP="006639B4">
      <w:r>
        <w:rPr>
          <w:rFonts w:cs="Arial"/>
        </w:rPr>
        <w:t>Critical effects</w:t>
      </w:r>
      <w:r w:rsidR="00E64097">
        <w:rPr>
          <w:rFonts w:cs="Arial"/>
        </w:rPr>
        <w:t xml:space="preserve"> of exposure</w:t>
      </w:r>
      <w:r>
        <w:rPr>
          <w:rFonts w:cs="Arial"/>
        </w:rPr>
        <w:t xml:space="preserve"> include </w:t>
      </w:r>
      <w:r>
        <w:t>skin irritation and effects on the nervous system and respiratory tract.</w:t>
      </w:r>
      <w:r w:rsidR="00E64097">
        <w:t xml:space="preserve"> </w:t>
      </w:r>
      <w:r w:rsidR="004E6917">
        <w:rPr>
          <w:rFonts w:cs="Arial"/>
        </w:rPr>
        <w:t xml:space="preserve">No </w:t>
      </w:r>
      <w:r w:rsidR="00E0067A">
        <w:rPr>
          <w:rFonts w:cs="Arial"/>
        </w:rPr>
        <w:t xml:space="preserve">toxicological </w:t>
      </w:r>
      <w:r w:rsidR="004E6917">
        <w:rPr>
          <w:rFonts w:cs="Arial"/>
        </w:rPr>
        <w:t xml:space="preserve">data from human studies </w:t>
      </w:r>
      <w:r w:rsidR="00303F9A">
        <w:rPr>
          <w:rFonts w:cs="Arial"/>
        </w:rPr>
        <w:t>are</w:t>
      </w:r>
      <w:r w:rsidR="004E6917">
        <w:rPr>
          <w:rFonts w:cs="Arial"/>
        </w:rPr>
        <w:t xml:space="preserve"> available</w:t>
      </w:r>
      <w:r w:rsidR="00E0067A">
        <w:rPr>
          <w:rFonts w:cs="Arial"/>
        </w:rPr>
        <w:t xml:space="preserve">. Limited data from animal studies found no deaths at </w:t>
      </w:r>
      <w:r w:rsidR="00E0067A">
        <w:t>20</w:t>
      </w:r>
      <w:r w:rsidR="00950BAE">
        <w:t xml:space="preserve"> to </w:t>
      </w:r>
      <w:r w:rsidR="00E0067A">
        <w:t>40 mg/m</w:t>
      </w:r>
      <w:r w:rsidR="00E0067A">
        <w:rPr>
          <w:vertAlign w:val="superscript"/>
        </w:rPr>
        <w:t>3</w:t>
      </w:r>
      <w:r w:rsidR="00E0067A">
        <w:t xml:space="preserve"> (</w:t>
      </w:r>
      <w:proofErr w:type="gramStart"/>
      <w:r w:rsidR="00E0067A">
        <w:t>two hour</w:t>
      </w:r>
      <w:proofErr w:type="gramEnd"/>
      <w:r w:rsidR="00E0067A">
        <w:t xml:space="preserve"> exposure) in</w:t>
      </w:r>
      <w:r w:rsidR="00E64097">
        <w:t xml:space="preserve"> an</w:t>
      </w:r>
      <w:r w:rsidR="00E0067A">
        <w:t xml:space="preserve"> inhalation study </w:t>
      </w:r>
      <w:r w:rsidR="00E64097">
        <w:t>in</w:t>
      </w:r>
      <w:r w:rsidR="00E0067A">
        <w:t xml:space="preserve"> rats</w:t>
      </w:r>
      <w:r w:rsidR="00E64097">
        <w:t>. This study reported</w:t>
      </w:r>
      <w:r w:rsidR="00E0067A">
        <w:t xml:space="preserve"> 80</w:t>
      </w:r>
      <w:r w:rsidR="00E64097">
        <w:t xml:space="preserve"> per cent</w:t>
      </w:r>
      <w:r w:rsidR="00E0067A">
        <w:t xml:space="preserve"> mortality at </w:t>
      </w:r>
      <w:r w:rsidR="00ED3074">
        <w:t>1</w:t>
      </w:r>
      <w:r w:rsidR="00E0067A">
        <w:t>20</w:t>
      </w:r>
      <w:r w:rsidR="0012270F">
        <w:t> </w:t>
      </w:r>
      <w:r w:rsidR="00E0067A">
        <w:t>mg/m</w:t>
      </w:r>
      <w:r w:rsidR="00E0067A">
        <w:rPr>
          <w:vertAlign w:val="superscript"/>
        </w:rPr>
        <w:t>3</w:t>
      </w:r>
      <w:r w:rsidR="00E0067A">
        <w:t xml:space="preserve"> (ACGIH, 20</w:t>
      </w:r>
      <w:r w:rsidR="0012270F">
        <w:t xml:space="preserve">18; </w:t>
      </w:r>
      <w:r w:rsidR="00696A13">
        <w:t>HCOTN, 2002</w:t>
      </w:r>
      <w:r w:rsidR="00E0067A">
        <w:t>).</w:t>
      </w:r>
      <w:r w:rsidR="00696A13">
        <w:t xml:space="preserve"> </w:t>
      </w:r>
      <w:r w:rsidR="00CC5B10">
        <w:t>A s</w:t>
      </w:r>
      <w:r w:rsidR="00696A13">
        <w:t xml:space="preserve">ub-chronic inhalation study in rats over </w:t>
      </w:r>
      <w:r w:rsidR="002D57C9">
        <w:t xml:space="preserve">11 </w:t>
      </w:r>
      <w:r w:rsidR="00696A13">
        <w:t xml:space="preserve">months </w:t>
      </w:r>
      <w:r w:rsidR="00CC5B10">
        <w:t xml:space="preserve">showed that </w:t>
      </w:r>
      <w:r w:rsidR="00696A13">
        <w:t xml:space="preserve">exposure </w:t>
      </w:r>
      <w:r w:rsidR="007D3E50">
        <w:t xml:space="preserve">at </w:t>
      </w:r>
      <w:r w:rsidR="00696A13">
        <w:t>1 mg/m</w:t>
      </w:r>
      <w:r w:rsidR="00696A13" w:rsidRPr="00E642E6">
        <w:rPr>
          <w:vertAlign w:val="superscript"/>
        </w:rPr>
        <w:t>3</w:t>
      </w:r>
      <w:r w:rsidR="00696A13">
        <w:t xml:space="preserve"> for four hours a day did not produce visible signs of toxicity </w:t>
      </w:r>
      <w:r w:rsidR="00CC5B10">
        <w:t xml:space="preserve">except </w:t>
      </w:r>
      <w:r w:rsidR="00696A13">
        <w:t>some effects on nervous system (ACGIH, 20</w:t>
      </w:r>
      <w:r w:rsidR="0012270F">
        <w:t>18</w:t>
      </w:r>
      <w:r w:rsidR="00696A13">
        <w:t>)</w:t>
      </w:r>
      <w:r w:rsidR="00907531">
        <w:t>.</w:t>
      </w:r>
      <w:r w:rsidR="00696A13">
        <w:t xml:space="preserve"> </w:t>
      </w:r>
      <w:r w:rsidR="00907531">
        <w:t xml:space="preserve">HCOTN (2002) note difficulty in assessing significance of </w:t>
      </w:r>
      <w:r w:rsidR="00950BAE">
        <w:t>th</w:t>
      </w:r>
      <w:r w:rsidR="00E64097">
        <w:t>e results of th</w:t>
      </w:r>
      <w:r w:rsidR="00950BAE">
        <w:t xml:space="preserve">is </w:t>
      </w:r>
      <w:r w:rsidR="00907531">
        <w:t>sub-chronic study</w:t>
      </w:r>
      <w:r w:rsidR="00950BAE">
        <w:t xml:space="preserve"> including </w:t>
      </w:r>
      <w:r w:rsidR="00FE0F59">
        <w:t xml:space="preserve">lack of </w:t>
      </w:r>
      <w:r w:rsidR="00950BAE">
        <w:t>statistical analysis</w:t>
      </w:r>
      <w:r w:rsidR="00907531">
        <w:t>.</w:t>
      </w:r>
      <w:r w:rsidR="0050220F">
        <w:t xml:space="preserve"> </w:t>
      </w:r>
    </w:p>
    <w:p w14:paraId="53B38C35" w14:textId="3E38255B" w:rsidR="006639B4" w:rsidRPr="00696A13" w:rsidRDefault="00350DBF" w:rsidP="006639B4">
      <w:pPr>
        <w:rPr>
          <w:rFonts w:cs="Arial"/>
        </w:rPr>
      </w:pPr>
      <w:r>
        <w:t>Based on the above</w:t>
      </w:r>
      <w:r w:rsidR="00E64097">
        <w:t>,</w:t>
      </w:r>
      <w:r>
        <w:t xml:space="preserve"> the TWA </w:t>
      </w:r>
      <w:r w:rsidR="00AA7B5F">
        <w:t>of 0.1 mg/m</w:t>
      </w:r>
      <w:r w:rsidR="00AA7B5F" w:rsidRPr="000E0554">
        <w:rPr>
          <w:vertAlign w:val="superscript"/>
        </w:rPr>
        <w:t>3</w:t>
      </w:r>
      <w:r w:rsidR="00AA7B5F">
        <w:t xml:space="preserve"> </w:t>
      </w:r>
      <w:r w:rsidR="00E64097">
        <w:t>is recommended to be</w:t>
      </w:r>
      <w:r>
        <w:t xml:space="preserve"> retained and is considered sufficiently low to minimise the potential for</w:t>
      </w:r>
      <w:r w:rsidR="00696A13">
        <w:t xml:space="preserve"> </w:t>
      </w:r>
      <w:r>
        <w:t>irritant and systemic effects.</w:t>
      </w:r>
    </w:p>
    <w:p w14:paraId="2A16AB11" w14:textId="77777777" w:rsidR="004529F0" w:rsidRPr="004C23F4" w:rsidRDefault="004529F0" w:rsidP="00E64097">
      <w:pPr>
        <w:pStyle w:val="Heading2"/>
        <w:keepNext w:val="0"/>
      </w:pPr>
      <w:r>
        <w:t>Recommendation for notations</w:t>
      </w:r>
    </w:p>
    <w:p w14:paraId="42AD6E89" w14:textId="77777777" w:rsidR="002D6295" w:rsidRPr="00F533BB" w:rsidRDefault="002D6295" w:rsidP="00E64097">
      <w:pPr>
        <w:rPr>
          <w:rFonts w:cs="Arial"/>
        </w:rPr>
      </w:pPr>
      <w:r w:rsidRPr="00F533BB">
        <w:rPr>
          <w:rFonts w:cs="Arial"/>
        </w:rPr>
        <w:t>Not classified as a carcinogen according to the Globally Harmonized System of</w:t>
      </w:r>
      <w:r w:rsidR="00696A13">
        <w:rPr>
          <w:rFonts w:cs="Arial"/>
        </w:rPr>
        <w:t xml:space="preserve"> Classification and Labelling of</w:t>
      </w:r>
      <w:r w:rsidRPr="00F533BB">
        <w:rPr>
          <w:rFonts w:cs="Arial"/>
        </w:rPr>
        <w:t xml:space="preserve"> Chemicals (GHS). </w:t>
      </w:r>
    </w:p>
    <w:p w14:paraId="127662ED" w14:textId="77777777" w:rsidR="002D6295" w:rsidRPr="00F533BB" w:rsidRDefault="002D6295" w:rsidP="00E64097">
      <w:pPr>
        <w:rPr>
          <w:rFonts w:cs="Arial"/>
        </w:rPr>
      </w:pPr>
      <w:r w:rsidRPr="00F533BB">
        <w:rPr>
          <w:rFonts w:cs="Arial"/>
        </w:rPr>
        <w:t xml:space="preserve">Not classified as a skin </w:t>
      </w:r>
      <w:r w:rsidR="00696A13" w:rsidRPr="00011ADB">
        <w:rPr>
          <w:rFonts w:cs="Arial"/>
        </w:rPr>
        <w:t xml:space="preserve">sensitiser </w:t>
      </w:r>
      <w:r w:rsidRPr="00F533BB">
        <w:rPr>
          <w:rFonts w:cs="Arial"/>
        </w:rPr>
        <w:t>or respiratory sensitiser according to the GHS.</w:t>
      </w:r>
    </w:p>
    <w:p w14:paraId="2859F7DA" w14:textId="0AFDEC1A" w:rsidR="0025734A" w:rsidRPr="004C23F4" w:rsidRDefault="000E0554">
      <w:pPr>
        <w:rPr>
          <w:rFonts w:cs="Arial"/>
        </w:rPr>
      </w:pPr>
      <w:r>
        <w:rPr>
          <w:rFonts w:cs="Arial"/>
        </w:rPr>
        <w:t>There are i</w:t>
      </w:r>
      <w:r w:rsidR="002D6295" w:rsidRPr="00350DBF">
        <w:rPr>
          <w:rFonts w:cs="Arial"/>
        </w:rPr>
        <w:t xml:space="preserve">nsufficient </w:t>
      </w:r>
      <w:r>
        <w:rPr>
          <w:rFonts w:cs="Arial"/>
        </w:rPr>
        <w:t>data</w:t>
      </w:r>
      <w:r w:rsidRPr="00350DBF">
        <w:rPr>
          <w:rFonts w:cs="Arial"/>
        </w:rPr>
        <w:t xml:space="preserve"> </w:t>
      </w:r>
      <w:r w:rsidR="002D6295" w:rsidRPr="00350DBF">
        <w:rPr>
          <w:rFonts w:cs="Arial"/>
        </w:rPr>
        <w:t>to recommend a skin notation.</w:t>
      </w:r>
    </w:p>
    <w:p w14:paraId="1E862044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A90A1C7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99B174D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E16B2" w:rsidRPr="00CE16B2" w14:paraId="72ED8097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DD9ADCE" w14:textId="77777777" w:rsidR="00C978F0" w:rsidRPr="00CE16B2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color w:val="auto"/>
              </w:rPr>
            </w:pPr>
            <w:r w:rsidRPr="00CE16B2">
              <w:rPr>
                <w:color w:val="auto"/>
              </w:rPr>
              <w:t>Source</w:t>
            </w:r>
            <w:r w:rsidR="00DA352E" w:rsidRPr="00CE16B2">
              <w:rPr>
                <w:color w:val="auto"/>
              </w:rPr>
              <w:tab/>
              <w:t>Year set</w:t>
            </w:r>
            <w:r w:rsidR="00DA352E" w:rsidRPr="00CE16B2">
              <w:rPr>
                <w:color w:val="auto"/>
              </w:rPr>
              <w:tab/>
              <w:t>Standard</w:t>
            </w:r>
            <w:r w:rsidR="00974F2D" w:rsidRPr="00CE16B2">
              <w:rPr>
                <w:color w:val="auto"/>
              </w:rPr>
              <w:tab/>
            </w:r>
          </w:p>
        </w:tc>
      </w:tr>
      <w:tr w:rsidR="00CE16B2" w:rsidRPr="00CE16B2" w14:paraId="514557C9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C6B0902" w14:textId="77777777" w:rsidR="00DE26E8" w:rsidRPr="00CE16B2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CE16B2">
              <w:t>SWA</w:t>
            </w:r>
            <w:r w:rsidRPr="00CE16B2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8648D2" w:rsidRPr="00CE16B2">
                  <w:t>1991</w:t>
                </w:r>
              </w:sdtContent>
            </w:sdt>
            <w:r w:rsidRPr="00CE16B2">
              <w:tab/>
            </w:r>
            <w:r w:rsidRPr="00CE16B2"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8648D2" w:rsidRPr="00CE16B2">
                  <w:t>TWA: 0.1 mg/m</w:t>
                </w:r>
                <w:r w:rsidR="008648D2" w:rsidRPr="00CE16B2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E16B2" w:rsidRPr="00CE16B2" w14:paraId="4351DB9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C458D7D" w14:textId="77777777" w:rsidR="00C978F0" w:rsidRPr="00CE16B2" w:rsidRDefault="00C978F0" w:rsidP="003365A5">
            <w:pPr>
              <w:pStyle w:val="Tabletextprimarysource"/>
            </w:pPr>
          </w:p>
        </w:tc>
      </w:tr>
      <w:tr w:rsidR="00CE16B2" w:rsidRPr="00CE16B2" w14:paraId="650D3D8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661E7FA" w14:textId="77777777" w:rsidR="00C978F0" w:rsidRPr="00CE16B2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CE16B2">
              <w:t>ACGIH</w:t>
            </w:r>
            <w:r w:rsidR="00916EC0" w:rsidRPr="00CE16B2">
              <w:t xml:space="preserve"> </w:t>
            </w:r>
            <w:r w:rsidR="00916EC0" w:rsidRPr="00CE16B2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8648D2" w:rsidRPr="00CE16B2">
                  <w:t>2001</w:t>
                </w:r>
              </w:sdtContent>
            </w:sdt>
            <w:r w:rsidR="00916EC0" w:rsidRPr="00CE16B2">
              <w:tab/>
            </w:r>
            <w:r w:rsidR="0051509C" w:rsidRPr="00CE16B2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8648D2" w:rsidRPr="00CE16B2">
                  <w:t>TLV-TWA: 0.1 mg/m</w:t>
                </w:r>
                <w:r w:rsidR="008648D2" w:rsidRPr="00CE16B2">
                  <w:rPr>
                    <w:vertAlign w:val="superscript"/>
                  </w:rPr>
                  <w:t>3</w:t>
                </w:r>
                <w:r w:rsidR="008648D2" w:rsidRPr="00CE16B2">
                  <w:t xml:space="preserve"> (as Mn)</w:t>
                </w:r>
              </w:sdtContent>
            </w:sdt>
          </w:p>
        </w:tc>
      </w:tr>
      <w:tr w:rsidR="00CE16B2" w:rsidRPr="00CE16B2" w14:paraId="1DFA77F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7FE70D5" w14:textId="77777777" w:rsidR="00C978F0" w:rsidRPr="00CE16B2" w:rsidRDefault="00AC29EC" w:rsidP="003365A5">
            <w:pPr>
              <w:pStyle w:val="Tabletextprimarysource"/>
            </w:pPr>
            <w:r w:rsidRPr="00CE16B2">
              <w:t xml:space="preserve">TLV-TWA is recommended to minimise potential </w:t>
            </w:r>
            <w:r w:rsidR="00D367F1" w:rsidRPr="00CE16B2">
              <w:t xml:space="preserve">for skin irritation, </w:t>
            </w:r>
            <w:r w:rsidRPr="00CE16B2">
              <w:t xml:space="preserve">effects </w:t>
            </w:r>
            <w:r w:rsidR="000F0A19" w:rsidRPr="00CE16B2">
              <w:t>on</w:t>
            </w:r>
            <w:r w:rsidRPr="00CE16B2">
              <w:t xml:space="preserve"> nervous system</w:t>
            </w:r>
            <w:r w:rsidR="000F0A19" w:rsidRPr="00CE16B2">
              <w:t xml:space="preserve"> and respiratory tract</w:t>
            </w:r>
            <w:r w:rsidR="00CC5B10" w:rsidRPr="00CE16B2">
              <w:t xml:space="preserve"> (n</w:t>
            </w:r>
            <w:r w:rsidR="00CE16B2" w:rsidRPr="00CE16B2">
              <w:t>o further information on derivation of TLV-TWA</w:t>
            </w:r>
            <w:r w:rsidR="00CC5B10" w:rsidRPr="00CE16B2">
              <w:t>)</w:t>
            </w:r>
            <w:r w:rsidR="000F0A19" w:rsidRPr="00CE16B2">
              <w:t>.</w:t>
            </w:r>
          </w:p>
          <w:p w14:paraId="073B80D6" w14:textId="77777777" w:rsidR="00AC29EC" w:rsidRPr="00CE16B2" w:rsidRDefault="00AC29EC" w:rsidP="00AC29EC">
            <w:pPr>
              <w:pStyle w:val="Tabletextprimarysource"/>
            </w:pPr>
            <w:r w:rsidRPr="00CE16B2">
              <w:t>Summary of data:</w:t>
            </w:r>
          </w:p>
          <w:p w14:paraId="10CA42F9" w14:textId="77777777" w:rsidR="00AC29EC" w:rsidRPr="00CE16B2" w:rsidRDefault="003F7819" w:rsidP="00AC29EC">
            <w:pPr>
              <w:pStyle w:val="Tabletextprimarysource"/>
            </w:pPr>
            <w:r w:rsidRPr="00CE16B2">
              <w:t>No h</w:t>
            </w:r>
            <w:r w:rsidR="00AC29EC" w:rsidRPr="00CE16B2">
              <w:t>uman data</w:t>
            </w:r>
            <w:r w:rsidRPr="00CE16B2">
              <w:t xml:space="preserve"> available.</w:t>
            </w:r>
          </w:p>
          <w:p w14:paraId="3A780AE5" w14:textId="77777777" w:rsidR="003F7819" w:rsidRPr="00CE16B2" w:rsidRDefault="003F7819" w:rsidP="003F7819">
            <w:pPr>
              <w:pStyle w:val="Tabletextprimarysource"/>
            </w:pPr>
            <w:r w:rsidRPr="00CE16B2">
              <w:t>Animal data:</w:t>
            </w:r>
          </w:p>
          <w:p w14:paraId="2A46D520" w14:textId="724A5F69" w:rsidR="003F7819" w:rsidRPr="00CE16B2" w:rsidRDefault="00EA29DE" w:rsidP="00CC5B10">
            <w:pPr>
              <w:pStyle w:val="ListBullet"/>
              <w:spacing w:before="60" w:after="60"/>
              <w:ind w:left="714" w:hanging="357"/>
              <w:contextualSpacing w:val="0"/>
            </w:pPr>
            <w:r w:rsidRPr="00CE16B2">
              <w:t xml:space="preserve">Inhalation study </w:t>
            </w:r>
            <w:r w:rsidR="00E64097">
              <w:t>in</w:t>
            </w:r>
            <w:r w:rsidRPr="00CE16B2">
              <w:t xml:space="preserve"> rats, guinea pigs and rabbits caused 80% mortality in rats at 120 mg/m</w:t>
            </w:r>
            <w:r w:rsidRPr="00CE16B2">
              <w:rPr>
                <w:vertAlign w:val="superscript"/>
              </w:rPr>
              <w:t>3</w:t>
            </w:r>
            <w:r w:rsidRPr="00CE16B2">
              <w:t xml:space="preserve"> (2 h exposure) and no deaths at 20</w:t>
            </w:r>
            <w:r w:rsidR="002D57C9" w:rsidRPr="00CE16B2">
              <w:t>–</w:t>
            </w:r>
            <w:r w:rsidRPr="00CE16B2">
              <w:t>40 mg/m</w:t>
            </w:r>
            <w:r w:rsidRPr="00CE16B2">
              <w:rPr>
                <w:vertAlign w:val="superscript"/>
              </w:rPr>
              <w:t>3</w:t>
            </w:r>
            <w:r w:rsidRPr="00CE16B2">
              <w:t xml:space="preserve"> (2 h exposure)</w:t>
            </w:r>
          </w:p>
          <w:p w14:paraId="7A6AEF9C" w14:textId="77777777" w:rsidR="00AC29EC" w:rsidRPr="00CE16B2" w:rsidRDefault="003F7819" w:rsidP="00CC5B10">
            <w:pPr>
              <w:pStyle w:val="ListBullet"/>
              <w:spacing w:before="60" w:after="60"/>
              <w:ind w:left="714" w:hanging="357"/>
              <w:contextualSpacing w:val="0"/>
            </w:pPr>
            <w:r w:rsidRPr="00CE16B2">
              <w:t>MCT applied as oil emulsion to rabbit skin caused a degree of irritation</w:t>
            </w:r>
          </w:p>
          <w:p w14:paraId="73771C58" w14:textId="66CA1775" w:rsidR="003F7819" w:rsidRPr="00CE16B2" w:rsidRDefault="003F7819" w:rsidP="00CC5B10">
            <w:pPr>
              <w:pStyle w:val="ListBullet"/>
              <w:spacing w:before="60" w:after="60"/>
              <w:ind w:left="714" w:hanging="357"/>
              <w:contextualSpacing w:val="0"/>
            </w:pPr>
            <w:r w:rsidRPr="00CE16B2">
              <w:t>LD</w:t>
            </w:r>
            <w:r w:rsidRPr="00CE16B2">
              <w:rPr>
                <w:vertAlign w:val="subscript"/>
              </w:rPr>
              <w:t>50</w:t>
            </w:r>
            <w:r w:rsidRPr="00CE16B2">
              <w:t xml:space="preserve">: 22 mg/kg (rat, oral) and 14 mg/kg (rat, </w:t>
            </w:r>
            <w:r w:rsidR="00E64097">
              <w:t>IP</w:t>
            </w:r>
            <w:r w:rsidRPr="00CE16B2">
              <w:t>)</w:t>
            </w:r>
          </w:p>
          <w:p w14:paraId="729C46D2" w14:textId="77777777" w:rsidR="00E64097" w:rsidRDefault="00D367F1" w:rsidP="00CC5B10">
            <w:pPr>
              <w:pStyle w:val="ListBullet"/>
              <w:spacing w:before="60" w:after="60"/>
              <w:ind w:left="714" w:hanging="357"/>
              <w:contextualSpacing w:val="0"/>
            </w:pPr>
            <w:r w:rsidRPr="00CE16B2">
              <w:t xml:space="preserve">Tail immersion study of rats in 1 g of MCT/100 mL </w:t>
            </w:r>
            <w:r w:rsidR="0069424D" w:rsidRPr="00CE16B2">
              <w:t>gasoline</w:t>
            </w:r>
            <w:r w:rsidR="008F1DDD" w:rsidRPr="00CE16B2">
              <w:t>, 2 h/d for 5 d</w:t>
            </w:r>
            <w:r w:rsidR="0069424D" w:rsidRPr="00CE16B2">
              <w:t xml:space="preserve"> </w:t>
            </w:r>
            <w:r w:rsidR="008F1DDD" w:rsidRPr="00CE16B2">
              <w:t>resulted in same death rate as group exposed to gasoline without MCT</w:t>
            </w:r>
          </w:p>
          <w:p w14:paraId="3B8752BB" w14:textId="71F2C7C1" w:rsidR="00D367F1" w:rsidRPr="00CE16B2" w:rsidRDefault="00E64097" w:rsidP="00E64097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e</w:t>
            </w:r>
            <w:r w:rsidR="008F1DDD" w:rsidRPr="00CE16B2">
              <w:t>ffects were therefore likely caused by compounds in gasoline</w:t>
            </w:r>
          </w:p>
          <w:p w14:paraId="72E22356" w14:textId="77777777" w:rsidR="00E64097" w:rsidRDefault="008F1DDD" w:rsidP="00CC5B10">
            <w:pPr>
              <w:pStyle w:val="ListBullet"/>
              <w:spacing w:before="60" w:after="60"/>
              <w:ind w:left="714" w:hanging="357"/>
              <w:contextualSpacing w:val="0"/>
            </w:pPr>
            <w:r w:rsidRPr="00CE16B2">
              <w:t>Lethality of MCT appeared to be greatly increased when dissolved in tetrahydrofuran (used in the manufacture of MCT)</w:t>
            </w:r>
          </w:p>
          <w:p w14:paraId="517DA607" w14:textId="09E638AB" w:rsidR="008F1DDD" w:rsidRPr="00CE16B2" w:rsidRDefault="00E64097" w:rsidP="00E64097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a</w:t>
            </w:r>
            <w:r w:rsidR="008F1DDD" w:rsidRPr="00CE16B2">
              <w:t>ll animals with tails immersed in tetrahydrofuran solution of MCT died within 1 h, whereas no deaths in animals whose tails were immersed in pure tetrahydrofuran</w:t>
            </w:r>
          </w:p>
          <w:p w14:paraId="01D52044" w14:textId="77777777" w:rsidR="00E64097" w:rsidRDefault="00E642E6" w:rsidP="00CC5B10">
            <w:pPr>
              <w:pStyle w:val="ListBullet"/>
              <w:spacing w:before="60" w:after="60"/>
              <w:ind w:left="714" w:hanging="357"/>
              <w:contextualSpacing w:val="0"/>
            </w:pPr>
            <w:r w:rsidRPr="00CE16B2">
              <w:t>Sub-chronic study of rats inhaling MCT at 1 mg/m</w:t>
            </w:r>
            <w:r w:rsidRPr="00CE16B2">
              <w:rPr>
                <w:vertAlign w:val="superscript"/>
              </w:rPr>
              <w:t>3</w:t>
            </w:r>
            <w:r w:rsidRPr="00CE16B2">
              <w:t xml:space="preserve">, 4 h/d for 11 </w:t>
            </w:r>
            <w:proofErr w:type="spellStart"/>
            <w:r w:rsidRPr="00CE16B2">
              <w:t>mo</w:t>
            </w:r>
            <w:proofErr w:type="spellEnd"/>
            <w:r w:rsidRPr="00CE16B2">
              <w:t xml:space="preserve"> did not produce outward manifestations of poisoning</w:t>
            </w:r>
          </w:p>
          <w:p w14:paraId="5C572911" w14:textId="10F2E2D7" w:rsidR="003F7819" w:rsidRPr="00CE16B2" w:rsidRDefault="00303F9A" w:rsidP="00E64097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an</w:t>
            </w:r>
            <w:r w:rsidR="00E642E6" w:rsidRPr="00CE16B2">
              <w:t xml:space="preserve"> increase in the threshold level of neuromuscular excitability measured by electric stimuli and some renal </w:t>
            </w:r>
            <w:proofErr w:type="gramStart"/>
            <w:r w:rsidR="00E642E6" w:rsidRPr="00CE16B2">
              <w:t>damage</w:t>
            </w:r>
            <w:proofErr w:type="gramEnd"/>
            <w:r w:rsidR="00E642E6" w:rsidRPr="00CE16B2">
              <w:t xml:space="preserve"> </w:t>
            </w:r>
            <w:r>
              <w:t>were observed at 7 mo.</w:t>
            </w:r>
          </w:p>
          <w:p w14:paraId="6D67EC43" w14:textId="77777777" w:rsidR="00E64097" w:rsidRDefault="00E64097" w:rsidP="00015CFB">
            <w:pPr>
              <w:pStyle w:val="Tabletextprimarysource"/>
            </w:pPr>
          </w:p>
          <w:p w14:paraId="16CF58CE" w14:textId="7A5015F9" w:rsidR="00ED3074" w:rsidRPr="00CE16B2" w:rsidRDefault="00ED3074" w:rsidP="00015CFB">
            <w:pPr>
              <w:pStyle w:val="Tabletextprimarysource"/>
            </w:pPr>
            <w:r w:rsidRPr="00CE16B2">
              <w:t>A skin notation is recommended based on systemic toxicity and mortality in animals following tail immersion study.</w:t>
            </w:r>
          </w:p>
          <w:p w14:paraId="2B8E9255" w14:textId="77777777" w:rsidR="00015CFB" w:rsidRPr="00CE16B2" w:rsidRDefault="00015CFB" w:rsidP="00015CFB">
            <w:pPr>
              <w:pStyle w:val="Tabletextprimarysource"/>
            </w:pPr>
            <w:r w:rsidRPr="00CE16B2">
              <w:t>Insufficient data to recommend SEN, TLV-STEL or carcinogenicity notations.</w:t>
            </w:r>
          </w:p>
          <w:p w14:paraId="179082E6" w14:textId="77777777" w:rsidR="00986AAA" w:rsidRPr="00CE16B2" w:rsidRDefault="00986AAA" w:rsidP="00015CFB">
            <w:pPr>
              <w:pStyle w:val="Tabletextprimarysource"/>
            </w:pPr>
          </w:p>
        </w:tc>
      </w:tr>
      <w:tr w:rsidR="00CE16B2" w:rsidRPr="00CE16B2" w14:paraId="40936E7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CD9F4DC" w14:textId="77777777" w:rsidR="00C978F0" w:rsidRPr="00CE16B2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CE16B2">
              <w:t>DFG</w:t>
            </w:r>
            <w:r w:rsidR="00916EC0" w:rsidRPr="00CE16B2">
              <w:t xml:space="preserve"> </w:t>
            </w:r>
            <w:r w:rsidR="00916EC0" w:rsidRPr="00CE16B2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8648D2" w:rsidRPr="00CE16B2">
                  <w:t>NA</w:t>
                </w:r>
              </w:sdtContent>
            </w:sdt>
            <w:r w:rsidR="00916EC0" w:rsidRPr="00CE16B2">
              <w:tab/>
            </w:r>
            <w:r w:rsidR="0051509C" w:rsidRPr="00CE16B2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8648D2" w:rsidRPr="00CE16B2">
                  <w:t>NA</w:t>
                </w:r>
                <w:proofErr w:type="spellEnd"/>
              </w:sdtContent>
            </w:sdt>
          </w:p>
        </w:tc>
      </w:tr>
      <w:tr w:rsidR="00CE16B2" w:rsidRPr="00CE16B2" w14:paraId="4A5BDA9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302B80E" w14:textId="77777777" w:rsidR="00C978F0" w:rsidRPr="00CE16B2" w:rsidRDefault="008648D2" w:rsidP="003365A5">
            <w:pPr>
              <w:pStyle w:val="Tabletextprimarysource"/>
            </w:pPr>
            <w:r w:rsidRPr="00CE16B2">
              <w:t>No report</w:t>
            </w:r>
            <w:r w:rsidR="002D57C9" w:rsidRPr="00CE16B2">
              <w:t>.</w:t>
            </w:r>
          </w:p>
        </w:tc>
      </w:tr>
      <w:tr w:rsidR="00CE16B2" w:rsidRPr="00CE16B2" w14:paraId="0C074D1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DD7CBE" w14:textId="77777777" w:rsidR="00C978F0" w:rsidRPr="00CE16B2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CE16B2">
              <w:t>SCOEL</w:t>
            </w:r>
            <w:r w:rsidR="00916EC0" w:rsidRPr="00CE16B2">
              <w:t xml:space="preserve"> </w:t>
            </w:r>
            <w:r w:rsidR="00916EC0" w:rsidRPr="00CE16B2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8648D2" w:rsidRPr="00CE16B2">
                  <w:t>NA</w:t>
                </w:r>
              </w:sdtContent>
            </w:sdt>
            <w:r w:rsidR="00916EC0" w:rsidRPr="00CE16B2">
              <w:tab/>
            </w:r>
            <w:r w:rsidR="0051509C" w:rsidRPr="00CE16B2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8648D2" w:rsidRPr="00CE16B2">
                  <w:t>NA</w:t>
                </w:r>
                <w:proofErr w:type="spellEnd"/>
              </w:sdtContent>
            </w:sdt>
          </w:p>
        </w:tc>
      </w:tr>
      <w:tr w:rsidR="00CE16B2" w:rsidRPr="00CE16B2" w14:paraId="395A294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F25D49C" w14:textId="77777777" w:rsidR="00C978F0" w:rsidRPr="00CE16B2" w:rsidRDefault="008648D2" w:rsidP="003365A5">
            <w:pPr>
              <w:pStyle w:val="Tabletextprimarysource"/>
            </w:pPr>
            <w:r w:rsidRPr="00CE16B2">
              <w:t>No report</w:t>
            </w:r>
            <w:r w:rsidR="002D57C9" w:rsidRPr="00CE16B2">
              <w:t>.</w:t>
            </w:r>
          </w:p>
        </w:tc>
      </w:tr>
      <w:tr w:rsidR="00CE16B2" w:rsidRPr="00CE16B2" w14:paraId="48BC49A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2EF7DDC" w14:textId="77777777" w:rsidR="00DA352E" w:rsidRPr="00CE16B2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CE16B2">
              <w:t>OARS/AIHA</w:t>
            </w:r>
            <w:r w:rsidR="00916EC0" w:rsidRPr="00CE16B2">
              <w:t xml:space="preserve"> </w:t>
            </w:r>
            <w:r w:rsidR="00916EC0" w:rsidRPr="00CE16B2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8648D2" w:rsidRPr="00CE16B2">
                  <w:t>NA</w:t>
                </w:r>
              </w:sdtContent>
            </w:sdt>
            <w:r w:rsidR="00916EC0" w:rsidRPr="00CE16B2">
              <w:tab/>
            </w:r>
            <w:r w:rsidR="0051509C" w:rsidRPr="00CE16B2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8648D2" w:rsidRPr="00CE16B2">
                  <w:t>NA</w:t>
                </w:r>
                <w:proofErr w:type="spellEnd"/>
              </w:sdtContent>
            </w:sdt>
          </w:p>
        </w:tc>
      </w:tr>
      <w:tr w:rsidR="00CE16B2" w:rsidRPr="00CE16B2" w14:paraId="4839F73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A6322C6" w14:textId="77777777" w:rsidR="00DA352E" w:rsidRPr="00CE16B2" w:rsidRDefault="008648D2" w:rsidP="003365A5">
            <w:pPr>
              <w:pStyle w:val="Tabletextprimarysource"/>
            </w:pPr>
            <w:r w:rsidRPr="00CE16B2">
              <w:t>No report</w:t>
            </w:r>
            <w:r w:rsidR="002D57C9" w:rsidRPr="00CE16B2">
              <w:t>.</w:t>
            </w:r>
          </w:p>
        </w:tc>
      </w:tr>
      <w:tr w:rsidR="00CE16B2" w:rsidRPr="00CE16B2" w14:paraId="668C275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2CE11C2" w14:textId="77777777" w:rsidR="00DA352E" w:rsidRPr="00CE16B2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CE16B2">
              <w:lastRenderedPageBreak/>
              <w:t>HCOTN</w:t>
            </w:r>
            <w:r w:rsidR="00916EC0" w:rsidRPr="00CE16B2">
              <w:t xml:space="preserve"> </w:t>
            </w:r>
            <w:r w:rsidR="00916EC0" w:rsidRPr="00CE16B2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8648D2" w:rsidRPr="00CE16B2">
                  <w:t>2002</w:t>
                </w:r>
              </w:sdtContent>
            </w:sdt>
            <w:r w:rsidR="00916EC0" w:rsidRPr="00CE16B2">
              <w:tab/>
            </w:r>
            <w:r w:rsidR="0051509C" w:rsidRPr="00CE16B2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134C5D" w:rsidRPr="00CE16B2">
                  <w:t>TWA</w:t>
                </w:r>
                <w:r w:rsidR="00BB3AB4" w:rsidRPr="00CE16B2">
                  <w:t xml:space="preserve"> 8 hours</w:t>
                </w:r>
                <w:r w:rsidR="00134C5D" w:rsidRPr="00CE16B2">
                  <w:t>: 0.1 mg/m</w:t>
                </w:r>
                <w:r w:rsidR="00134C5D" w:rsidRPr="00CE16B2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E16B2" w:rsidRPr="00CE16B2" w14:paraId="715E420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9CD9211" w14:textId="77777777" w:rsidR="00DA352E" w:rsidRPr="00CE16B2" w:rsidRDefault="00CE3B72" w:rsidP="003365A5">
            <w:pPr>
              <w:pStyle w:val="Tabletextprimarysource"/>
            </w:pPr>
            <w:r w:rsidRPr="00CE16B2">
              <w:t>Summary of additional data</w:t>
            </w:r>
            <w:r w:rsidR="00FA1F52" w:rsidRPr="00CE16B2">
              <w:t>:</w:t>
            </w:r>
          </w:p>
          <w:p w14:paraId="4E6953C4" w14:textId="77777777" w:rsidR="00584F2E" w:rsidRPr="00CE16B2" w:rsidRDefault="00584F2E" w:rsidP="00CC5B10">
            <w:pPr>
              <w:pStyle w:val="ListBullet"/>
              <w:spacing w:before="60" w:after="60"/>
              <w:ind w:left="714" w:hanging="357"/>
              <w:contextualSpacing w:val="0"/>
            </w:pPr>
            <w:r w:rsidRPr="00CE16B2">
              <w:t>Acute effects in animals following inhalation exposure include vascular changes (increased permeability of vessels, oedema, haemorrhages, decreased blood pressure), atrophic changes</w:t>
            </w:r>
            <w:r w:rsidR="0003580E" w:rsidRPr="00CE16B2">
              <w:t xml:space="preserve"> </w:t>
            </w:r>
            <w:r w:rsidRPr="00CE16B2">
              <w:t>in nerve cells and haematological changes</w:t>
            </w:r>
          </w:p>
          <w:p w14:paraId="39BF6BE2" w14:textId="1B909FD8" w:rsidR="00584F2E" w:rsidRPr="00CE16B2" w:rsidRDefault="003C717F" w:rsidP="00CC5B10">
            <w:pPr>
              <w:pStyle w:val="ListBullet"/>
              <w:spacing w:before="60" w:after="60"/>
              <w:ind w:left="714" w:hanging="357"/>
              <w:contextualSpacing w:val="0"/>
            </w:pPr>
            <w:r w:rsidRPr="00CE16B2">
              <w:t>LD</w:t>
            </w:r>
            <w:r w:rsidRPr="00CE16B2">
              <w:rPr>
                <w:vertAlign w:val="subscript"/>
              </w:rPr>
              <w:t>50</w:t>
            </w:r>
            <w:r w:rsidRPr="00CE16B2">
              <w:t>: 150 mg/kg (mice, oral)</w:t>
            </w:r>
          </w:p>
          <w:p w14:paraId="7F9A833B" w14:textId="77777777" w:rsidR="00915276" w:rsidRPr="00CE16B2" w:rsidRDefault="00915276" w:rsidP="00CC5B10">
            <w:pPr>
              <w:pStyle w:val="ListBullet"/>
              <w:spacing w:before="60" w:after="60"/>
              <w:ind w:left="714" w:hanging="357"/>
              <w:contextualSpacing w:val="0"/>
            </w:pPr>
            <w:r w:rsidRPr="00CE16B2">
              <w:t xml:space="preserve">Some limitations </w:t>
            </w:r>
            <w:r w:rsidR="00630210" w:rsidRPr="00CE16B2">
              <w:t xml:space="preserve">and discrepancies </w:t>
            </w:r>
            <w:r w:rsidRPr="00CE16B2">
              <w:t xml:space="preserve">highlighted </w:t>
            </w:r>
            <w:r w:rsidR="00630210" w:rsidRPr="00CE16B2">
              <w:t xml:space="preserve">regarding sub-chronic study </w:t>
            </w:r>
            <w:r w:rsidR="00950BAE">
              <w:t>(1 mg/m</w:t>
            </w:r>
            <w:r w:rsidR="00950BAE" w:rsidRPr="00950BAE">
              <w:rPr>
                <w:vertAlign w:val="superscript"/>
              </w:rPr>
              <w:t>3</w:t>
            </w:r>
            <w:r w:rsidR="00950BAE">
              <w:t xml:space="preserve">, 4 h/d, 11 </w:t>
            </w:r>
            <w:proofErr w:type="spellStart"/>
            <w:r w:rsidR="00950BAE">
              <w:t>mo</w:t>
            </w:r>
            <w:proofErr w:type="spellEnd"/>
            <w:r w:rsidR="00950BAE">
              <w:t xml:space="preserve">) </w:t>
            </w:r>
            <w:r w:rsidR="00630210" w:rsidRPr="00CE16B2">
              <w:t>presented above (ACGIH, 2001), including lack of statistics</w:t>
            </w:r>
          </w:p>
          <w:p w14:paraId="65A96F3C" w14:textId="77777777" w:rsidR="00630210" w:rsidRPr="00CE16B2" w:rsidRDefault="00630210" w:rsidP="00CC5B10">
            <w:pPr>
              <w:pStyle w:val="ListBullet"/>
              <w:spacing w:before="60" w:after="60"/>
              <w:ind w:left="714" w:hanging="357"/>
              <w:contextualSpacing w:val="0"/>
            </w:pPr>
            <w:r w:rsidRPr="00CE16B2">
              <w:t xml:space="preserve">Lung is </w:t>
            </w:r>
            <w:proofErr w:type="gramStart"/>
            <w:r w:rsidRPr="00CE16B2">
              <w:t>target</w:t>
            </w:r>
            <w:proofErr w:type="gramEnd"/>
            <w:r w:rsidRPr="00CE16B2">
              <w:t xml:space="preserve"> organ although convulsions also reported</w:t>
            </w:r>
          </w:p>
          <w:p w14:paraId="301D33EE" w14:textId="77777777" w:rsidR="00630210" w:rsidRPr="00CE16B2" w:rsidRDefault="00630210" w:rsidP="00CC5B10">
            <w:pPr>
              <w:pStyle w:val="ListBullet"/>
              <w:spacing w:before="60" w:after="60"/>
              <w:ind w:left="714" w:hanging="357"/>
              <w:contextualSpacing w:val="0"/>
            </w:pPr>
            <w:r w:rsidRPr="00CE16B2">
              <w:t>Committee concluded insufficient information was available to comment on the current occupational exposure limit</w:t>
            </w:r>
          </w:p>
          <w:p w14:paraId="6B5DF0D9" w14:textId="3AB4C3A8" w:rsidR="004D46DD" w:rsidRPr="00CE16B2" w:rsidRDefault="004D46DD" w:rsidP="00CC5B10">
            <w:pPr>
              <w:pStyle w:val="ListBullet"/>
              <w:spacing w:before="60" w:after="60"/>
              <w:ind w:left="714" w:hanging="357"/>
              <w:contextualSpacing w:val="0"/>
            </w:pPr>
            <w:r w:rsidRPr="00CE16B2">
              <w:t>No genotoxicity and carcinogenicity studies</w:t>
            </w:r>
            <w:r w:rsidR="008E7CC2" w:rsidRPr="00CE16B2">
              <w:t xml:space="preserve"> </w:t>
            </w:r>
            <w:r w:rsidR="00E64097">
              <w:t>reported</w:t>
            </w:r>
            <w:r w:rsidRPr="00CE16B2">
              <w:t>.</w:t>
            </w:r>
          </w:p>
          <w:p w14:paraId="0DEDA84D" w14:textId="77777777" w:rsidR="00986AAA" w:rsidRPr="00CE16B2" w:rsidRDefault="00986AAA" w:rsidP="00CC5B10">
            <w:pPr>
              <w:pStyle w:val="ListBullet"/>
              <w:numPr>
                <w:ilvl w:val="0"/>
                <w:numId w:val="0"/>
              </w:numPr>
              <w:spacing w:before="60" w:after="60"/>
              <w:ind w:left="714"/>
              <w:contextualSpacing w:val="0"/>
            </w:pPr>
          </w:p>
        </w:tc>
      </w:tr>
    </w:tbl>
    <w:p w14:paraId="4816E466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7179B95E" w14:textId="77777777" w:rsidTr="00575626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3144F43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3D590585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B35939D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716CAEC5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B9B5798" w14:textId="77777777" w:rsidTr="00575626">
        <w:trPr>
          <w:cantSplit/>
        </w:trPr>
        <w:tc>
          <w:tcPr>
            <w:tcW w:w="1497" w:type="dxa"/>
          </w:tcPr>
          <w:p w14:paraId="65C94A73" w14:textId="77777777" w:rsidR="004966BF" w:rsidRPr="004C23F4" w:rsidRDefault="004966BF" w:rsidP="00224EE2">
            <w:pPr>
              <w:pStyle w:val="Tablefont"/>
            </w:pPr>
            <w:r>
              <w:t>Nordic Council</w:t>
            </w:r>
          </w:p>
        </w:tc>
        <w:tc>
          <w:tcPr>
            <w:tcW w:w="424" w:type="dxa"/>
          </w:tcPr>
          <w:p w14:paraId="763A0EFE" w14:textId="77777777" w:rsidR="004966BF" w:rsidRPr="00CE617F" w:rsidRDefault="00C43F2D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0487844"/>
                <w:placeholder>
                  <w:docPart w:val="CA68404C5F6B4780904F09DAAE62489A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7562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C5E11B9" w14:textId="77777777" w:rsidR="004966BF" w:rsidRPr="004C23F4" w:rsidRDefault="0057562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1982</w:t>
            </w:r>
          </w:p>
        </w:tc>
        <w:tc>
          <w:tcPr>
            <w:tcW w:w="6444" w:type="dxa"/>
          </w:tcPr>
          <w:p w14:paraId="2FDAABF7" w14:textId="77777777" w:rsidR="004966BF" w:rsidRDefault="00575626" w:rsidP="00CC5B10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Insufficient data to establish occupational exposure limit</w:t>
            </w:r>
          </w:p>
          <w:p w14:paraId="730400B0" w14:textId="77777777" w:rsidR="00575626" w:rsidRPr="004C23F4" w:rsidRDefault="00575626" w:rsidP="00CC5B10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Liquid MCT is easily absorbed from skin indicating a need to limit this form of exposure</w:t>
            </w:r>
            <w:r w:rsidR="000E0554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1E9A346F" w14:textId="77777777" w:rsidTr="00575626">
        <w:trPr>
          <w:cantSplit/>
        </w:trPr>
        <w:tc>
          <w:tcPr>
            <w:tcW w:w="1497" w:type="dxa"/>
          </w:tcPr>
          <w:p w14:paraId="117C6592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4" w:type="dxa"/>
          </w:tcPr>
          <w:p w14:paraId="6C51558C" w14:textId="77777777" w:rsidR="004966BF" w:rsidRDefault="00C43F2D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91A5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74BCEF4" w14:textId="77777777" w:rsidR="004966BF" w:rsidRPr="004C23F4" w:rsidRDefault="00E91A5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2007</w:t>
            </w:r>
          </w:p>
        </w:tc>
        <w:tc>
          <w:tcPr>
            <w:tcW w:w="6444" w:type="dxa"/>
          </w:tcPr>
          <w:p w14:paraId="024F1A1F" w14:textId="77777777" w:rsidR="004966BF" w:rsidRDefault="00F51665" w:rsidP="00CC5B10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TWA 0.1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</w:p>
          <w:p w14:paraId="2FA9C292" w14:textId="77777777" w:rsidR="00F51665" w:rsidRPr="004C23F4" w:rsidRDefault="00F51665" w:rsidP="00CC5B10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Symptoms in animals: skin irritation, pulmonary oedema, convulsions, respiratory system, kidney changes, decreased resistance to infection</w:t>
            </w:r>
            <w:r w:rsidR="001008DE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1CDA4531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9"/>
        <w:gridCol w:w="2427"/>
      </w:tblGrid>
      <w:tr w:rsidR="002E0D61" w14:paraId="18DF2381" w14:textId="77777777" w:rsidTr="006E191A">
        <w:trPr>
          <w:trHeight w:val="454"/>
          <w:tblHeader/>
        </w:trPr>
        <w:tc>
          <w:tcPr>
            <w:tcW w:w="6599" w:type="dxa"/>
            <w:vAlign w:val="center"/>
          </w:tcPr>
          <w:p w14:paraId="7C9D2B7C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tc>
          <w:tcPr>
            <w:tcW w:w="2427" w:type="dxa"/>
            <w:vAlign w:val="center"/>
          </w:tcPr>
          <w:p w14:paraId="349A2736" w14:textId="77777777" w:rsidR="002E0D61" w:rsidRDefault="00C43F2D" w:rsidP="00C3091E">
            <w:pPr>
              <w:pStyle w:val="Tablefont"/>
              <w:keepNext/>
              <w:keepLines/>
              <w:spacing w:before="40" w:after="40"/>
            </w:pPr>
            <w:sdt>
              <w:sdtPr>
                <w:id w:val="319705052"/>
                <w:placeholder>
                  <w:docPart w:val="0168237C60E6479CAFA3D9A1A8409B78"/>
                </w:placeholder>
                <w:comboBox>
                  <w:listItem w:value="Choose an item."/>
                  <w:listItem w:displayText="Yes" w:value="Yes"/>
                  <w:listItem w:displayText="No" w:value="No"/>
                  <w:listItem w:displayText="Insufficient data" w:value="Insufficient data"/>
                </w:comboBox>
              </w:sdtPr>
              <w:sdtEndPr/>
              <w:sdtContent>
                <w:r w:rsidR="001008DE">
                  <w:t>Insufficient data</w:t>
                </w:r>
              </w:sdtContent>
            </w:sdt>
          </w:p>
        </w:tc>
      </w:tr>
      <w:tr w:rsidR="008A36CF" w14:paraId="4738A4F2" w14:textId="77777777" w:rsidTr="006E191A">
        <w:trPr>
          <w:trHeight w:val="454"/>
        </w:trPr>
        <w:tc>
          <w:tcPr>
            <w:tcW w:w="6599" w:type="dxa"/>
            <w:vAlign w:val="center"/>
          </w:tcPr>
          <w:p w14:paraId="4361BA05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7" w:type="dxa"/>
                <w:vAlign w:val="center"/>
              </w:tcPr>
              <w:p w14:paraId="172A2776" w14:textId="77777777" w:rsidR="008A36CF" w:rsidRDefault="008E7CC2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17236E31" w14:textId="77777777" w:rsidTr="006E191A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9" w:type="dxa"/>
                <w:vAlign w:val="center"/>
              </w:tcPr>
              <w:p w14:paraId="631CB1E7" w14:textId="77777777" w:rsidR="008A36CF" w:rsidRPr="006901A2" w:rsidRDefault="006E191A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7" w:type="dxa"/>
            <w:vAlign w:val="center"/>
          </w:tcPr>
          <w:p w14:paraId="5EE1CA8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45471CC6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57BB467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427C300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470C67F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16E50DD" w14:textId="77777777" w:rsidTr="00812887">
        <w:trPr>
          <w:cantSplit/>
        </w:trPr>
        <w:tc>
          <w:tcPr>
            <w:tcW w:w="3227" w:type="dxa"/>
          </w:tcPr>
          <w:p w14:paraId="35C4AB16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4E43266" w14:textId="77777777" w:rsidR="00687890" w:rsidRPr="00DD2F9B" w:rsidRDefault="008648D2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64F33ED1" w14:textId="77777777" w:rsidTr="00812887">
        <w:trPr>
          <w:cantSplit/>
        </w:trPr>
        <w:tc>
          <w:tcPr>
            <w:tcW w:w="3227" w:type="dxa"/>
          </w:tcPr>
          <w:p w14:paraId="10211803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0A2E9E1" w14:textId="77777777" w:rsidR="007925F0" w:rsidRPr="00DD2F9B" w:rsidRDefault="00134C5D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285762CC" w14:textId="77777777" w:rsidTr="00812887">
        <w:trPr>
          <w:cantSplit/>
        </w:trPr>
        <w:tc>
          <w:tcPr>
            <w:tcW w:w="3227" w:type="dxa"/>
          </w:tcPr>
          <w:p w14:paraId="62BDCF36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6C32B0D" w14:textId="77777777" w:rsidR="00AF483F" w:rsidRPr="00DD2F9B" w:rsidRDefault="00134C5D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51BA2DB0" w14:textId="77777777" w:rsidTr="00812887">
        <w:trPr>
          <w:cantSplit/>
        </w:trPr>
        <w:tc>
          <w:tcPr>
            <w:tcW w:w="3227" w:type="dxa"/>
          </w:tcPr>
          <w:p w14:paraId="3B75F41E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722EBBB" w14:textId="77777777" w:rsidR="00687890" w:rsidRPr="00DD2F9B" w:rsidRDefault="00134C5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515B751" w14:textId="77777777" w:rsidTr="00812887">
        <w:trPr>
          <w:cantSplit/>
        </w:trPr>
        <w:tc>
          <w:tcPr>
            <w:tcW w:w="3227" w:type="dxa"/>
          </w:tcPr>
          <w:p w14:paraId="6E77A116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E6BB543" w14:textId="77777777" w:rsidR="00E41A26" w:rsidRPr="00DD2F9B" w:rsidRDefault="00134C5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1F9A076" w14:textId="77777777" w:rsidTr="00812887">
        <w:trPr>
          <w:cantSplit/>
        </w:trPr>
        <w:tc>
          <w:tcPr>
            <w:tcW w:w="3227" w:type="dxa"/>
          </w:tcPr>
          <w:p w14:paraId="2D26482A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0AB2D67" w14:textId="77777777" w:rsidR="002E0D61" w:rsidRPr="00DD2F9B" w:rsidRDefault="008648D2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5C0F7205" w14:textId="77777777" w:rsidTr="00812887">
        <w:trPr>
          <w:cantSplit/>
        </w:trPr>
        <w:tc>
          <w:tcPr>
            <w:tcW w:w="3227" w:type="dxa"/>
          </w:tcPr>
          <w:p w14:paraId="508D92C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243BF51" w14:textId="77777777" w:rsidR="002E0D61" w:rsidRPr="00DD2F9B" w:rsidRDefault="00134C5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B617CFC" w14:textId="77777777" w:rsidTr="00812887">
        <w:trPr>
          <w:cantSplit/>
        </w:trPr>
        <w:tc>
          <w:tcPr>
            <w:tcW w:w="3227" w:type="dxa"/>
          </w:tcPr>
          <w:p w14:paraId="579623B9" w14:textId="77777777" w:rsidR="004079B4" w:rsidRPr="004C23F4" w:rsidRDefault="002E0D61" w:rsidP="00F4402E">
            <w:pPr>
              <w:pStyle w:val="Tablefont"/>
            </w:pPr>
            <w:r>
              <w:lastRenderedPageBreak/>
              <w:t>SCOEL</w:t>
            </w:r>
          </w:p>
        </w:tc>
        <w:tc>
          <w:tcPr>
            <w:tcW w:w="6015" w:type="dxa"/>
          </w:tcPr>
          <w:p w14:paraId="35E55E5A" w14:textId="77777777" w:rsidR="002E0D61" w:rsidRPr="00DD2F9B" w:rsidRDefault="00134C5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D14937E" w14:textId="77777777" w:rsidTr="00812887">
        <w:trPr>
          <w:cantSplit/>
        </w:trPr>
        <w:tc>
          <w:tcPr>
            <w:tcW w:w="3227" w:type="dxa"/>
          </w:tcPr>
          <w:p w14:paraId="2604A4AB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B2DF4C9" w14:textId="77777777" w:rsidR="002E0D61" w:rsidRPr="00DD2F9B" w:rsidRDefault="00134C5D" w:rsidP="00DD2F9B">
            <w:pPr>
              <w:pStyle w:val="Tablefont"/>
            </w:pPr>
            <w:r>
              <w:t>Skin</w:t>
            </w:r>
          </w:p>
        </w:tc>
      </w:tr>
      <w:tr w:rsidR="00386093" w:rsidRPr="004C23F4" w14:paraId="6F31028C" w14:textId="77777777" w:rsidTr="00812887">
        <w:trPr>
          <w:cantSplit/>
        </w:trPr>
        <w:tc>
          <w:tcPr>
            <w:tcW w:w="3227" w:type="dxa"/>
          </w:tcPr>
          <w:p w14:paraId="296B25C3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E946D47" w14:textId="77777777" w:rsidR="00386093" w:rsidRPr="00DD2F9B" w:rsidRDefault="00134C5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779062A" w14:textId="77777777" w:rsidTr="00812887">
        <w:trPr>
          <w:cantSplit/>
        </w:trPr>
        <w:tc>
          <w:tcPr>
            <w:tcW w:w="3227" w:type="dxa"/>
          </w:tcPr>
          <w:p w14:paraId="463BB92F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C3C1185" w14:textId="77777777" w:rsidR="00386093" w:rsidRPr="00DD2F9B" w:rsidRDefault="00134C5D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8EE53F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A193634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4EF2585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4413731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FCE6207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457F4D89" w14:textId="3EAF7AB7" w:rsidR="00932DCE" w:rsidRPr="004C23F4" w:rsidRDefault="004D46DD" w:rsidP="00F9496B">
            <w:pPr>
              <w:pStyle w:val="Tablefont"/>
            </w:pPr>
            <w:r w:rsidRPr="00EA0DA8">
              <w:t>Insufficient data to assign a skin notation</w:t>
            </w:r>
            <w:r w:rsidR="00E64097">
              <w:t>.</w:t>
            </w:r>
          </w:p>
        </w:tc>
      </w:tr>
    </w:tbl>
    <w:bookmarkEnd w:id="3"/>
    <w:p w14:paraId="6B93778A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0FF45597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35DD089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115E4B9" w14:textId="77777777" w:rsidR="00EB3D1B" w:rsidRDefault="00134C5D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2B84472A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B6E3E8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CAAF0C6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4E39F98" w14:textId="77777777" w:rsidR="001B79E5" w:rsidRDefault="00134C5D" w:rsidP="001B79E5">
                <w:pPr>
                  <w:pStyle w:val="Tablefont"/>
                </w:pPr>
                <w:r>
                  <w:t>204.1</w:t>
                </w:r>
              </w:p>
            </w:tc>
          </w:sdtContent>
        </w:sdt>
      </w:tr>
      <w:tr w:rsidR="00A31D99" w:rsidRPr="004C23F4" w14:paraId="3587D22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F6145EA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1C3F481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1B6C7B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696F5F8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866FAF7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B3BB1BF" w14:textId="77777777" w:rsidTr="00EA6243">
        <w:trPr>
          <w:cantSplit/>
        </w:trPr>
        <w:tc>
          <w:tcPr>
            <w:tcW w:w="4077" w:type="dxa"/>
            <w:vAlign w:val="center"/>
          </w:tcPr>
          <w:p w14:paraId="5C17DC11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A62614E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8C8AD7E" w14:textId="77777777" w:rsidTr="00EA6243">
        <w:trPr>
          <w:cantSplit/>
        </w:trPr>
        <w:tc>
          <w:tcPr>
            <w:tcW w:w="4077" w:type="dxa"/>
            <w:vAlign w:val="center"/>
          </w:tcPr>
          <w:p w14:paraId="4C1EC002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2B8DB7A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BB05F77" w14:textId="77777777" w:rsidTr="00EA6243">
        <w:trPr>
          <w:cantSplit/>
        </w:trPr>
        <w:tc>
          <w:tcPr>
            <w:tcW w:w="4077" w:type="dxa"/>
            <w:vAlign w:val="center"/>
          </w:tcPr>
          <w:p w14:paraId="65B469E7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54FA66C" w14:textId="77777777" w:rsidR="00E06F40" w:rsidRPr="00A006A0" w:rsidRDefault="00C43F2D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84B3716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51F175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88D45B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EB79D6C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66E5C2B" w14:textId="77777777" w:rsidTr="00F053FA">
        <w:trPr>
          <w:tblHeader/>
        </w:trPr>
        <w:sdt>
          <w:sdtPr>
            <w:id w:val="-25557549"/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4CE6B85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DFFB923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2D2990B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445F00D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A16C6EB" w14:textId="77777777" w:rsidR="00134C5D" w:rsidRDefault="00134C5D" w:rsidP="00134C5D">
      <w:r w:rsidRPr="002022B6">
        <w:t>Health Council of the Netherlands</w:t>
      </w:r>
      <w:r>
        <w:t xml:space="preserve"> (HCOTN) (2002) Tricarbonyl(eta-cyclopentadienyl)- manganese</w:t>
      </w:r>
      <w:r w:rsidRPr="005F7416">
        <w:t xml:space="preserve">. </w:t>
      </w:r>
      <w:r>
        <w:t>Health-based Reassessment of Administrative Occupational Exposure Limits</w:t>
      </w:r>
      <w:r w:rsidRPr="005F7416">
        <w:t xml:space="preserve">. The Hague: Health Council of the Netherlands; publication no. </w:t>
      </w:r>
      <w:r>
        <w:t>2000/15OSH/042.</w:t>
      </w:r>
    </w:p>
    <w:p w14:paraId="26D9CE95" w14:textId="77777777" w:rsidR="0003580E" w:rsidRDefault="0003580E" w:rsidP="00134C5D">
      <w:r w:rsidRPr="002022B6">
        <w:t>Nordic Expert Group for Criteria Documentation of Health Risks of Chemicals</w:t>
      </w:r>
      <w:r>
        <w:t xml:space="preserve"> (1982) 30. Manganese and methylcyclopentadienyl manganese tricarbonyl, MMT</w:t>
      </w:r>
      <w:r w:rsidR="00F402E6">
        <w:t>. 1982:10.</w:t>
      </w:r>
    </w:p>
    <w:p w14:paraId="0CD7003A" w14:textId="77777777" w:rsidR="00134C5D" w:rsidRPr="00351FE0" w:rsidRDefault="00F51665" w:rsidP="00084859">
      <w:r w:rsidRPr="00D86E03">
        <w:lastRenderedPageBreak/>
        <w:t>US National Institute for Occupational Safety and Health (NIOSH)</w:t>
      </w:r>
      <w:r>
        <w:t xml:space="preserve"> (2007) NIOSH Pocket Guide to Chemical Hazards</w:t>
      </w:r>
      <w:r w:rsidR="001008DE">
        <w:t xml:space="preserve"> - </w:t>
      </w:r>
      <w:r w:rsidR="001008DE" w:rsidRPr="001008DE">
        <w:t>Manganese cyclopentadienyl tricarbonyl (as Mn)</w:t>
      </w:r>
      <w:r w:rsidR="001008DE">
        <w:t>.</w:t>
      </w:r>
      <w:r w:rsidR="002D57C9">
        <w:t xml:space="preserve"> </w:t>
      </w:r>
    </w:p>
    <w:sectPr w:rsidR="00134C5D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14EFC" w14:textId="77777777" w:rsidR="00245255" w:rsidRDefault="00245255" w:rsidP="00F43AD5">
      <w:pPr>
        <w:spacing w:after="0" w:line="240" w:lineRule="auto"/>
      </w:pPr>
      <w:r>
        <w:separator/>
      </w:r>
    </w:p>
  </w:endnote>
  <w:endnote w:type="continuationSeparator" w:id="0">
    <w:p w14:paraId="65D35000" w14:textId="77777777" w:rsidR="00245255" w:rsidRDefault="0024525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8C6F2" w14:textId="77777777" w:rsidR="002351CC" w:rsidRDefault="002351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4E3462D" w14:textId="77777777" w:rsidR="008A36CF" w:rsidRDefault="002D6295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 xml:space="preserve">Manganese </w:t>
        </w:r>
        <w:proofErr w:type="spellStart"/>
        <w:r>
          <w:rPr>
            <w:b/>
            <w:sz w:val="18"/>
            <w:szCs w:val="18"/>
          </w:rPr>
          <w:t>cyclopenta</w:t>
        </w:r>
        <w:proofErr w:type="spellEnd"/>
        <w:r>
          <w:rPr>
            <w:b/>
            <w:sz w:val="18"/>
            <w:szCs w:val="18"/>
          </w:rPr>
          <w:t>-dienyl tricarbonyl (as Mn)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12079-65-1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E081445" w14:textId="174761CE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2351CC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F660E" w14:textId="77777777" w:rsidR="002351CC" w:rsidRDefault="002351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A2DE5" w14:textId="77777777" w:rsidR="00245255" w:rsidRDefault="00245255" w:rsidP="00F43AD5">
      <w:pPr>
        <w:spacing w:after="0" w:line="240" w:lineRule="auto"/>
      </w:pPr>
      <w:r>
        <w:separator/>
      </w:r>
    </w:p>
  </w:footnote>
  <w:footnote w:type="continuationSeparator" w:id="0">
    <w:p w14:paraId="4B33A4A9" w14:textId="77777777" w:rsidR="00245255" w:rsidRDefault="0024525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10929" w14:textId="77777777" w:rsidR="002351CC" w:rsidRDefault="002351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5ABF0" w14:textId="1877A112" w:rsidR="002351CC" w:rsidRDefault="002351CC" w:rsidP="002351CC">
    <w:pPr>
      <w:pStyle w:val="Header"/>
      <w:jc w:val="right"/>
    </w:pPr>
    <w:r>
      <w:rPr>
        <w:noProof/>
        <w:lang w:eastAsia="en-AU"/>
      </w:rPr>
      <w:drawing>
        <wp:inline distT="0" distB="0" distL="0" distR="0" wp14:anchorId="2006B40A" wp14:editId="1C0DB103">
          <wp:extent cx="294132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FD1AD1" w14:textId="4EF705E7" w:rsidR="008A36CF" w:rsidRPr="002351CC" w:rsidRDefault="008A36CF" w:rsidP="002351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AE216" w14:textId="77777777" w:rsidR="002351CC" w:rsidRDefault="002351C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68138" w14:textId="6E839167" w:rsidR="002351CC" w:rsidRDefault="002351CC" w:rsidP="002351CC">
    <w:pPr>
      <w:pStyle w:val="Header"/>
      <w:jc w:val="right"/>
    </w:pPr>
    <w:r>
      <w:rPr>
        <w:noProof/>
        <w:lang w:eastAsia="en-AU"/>
      </w:rPr>
      <w:drawing>
        <wp:inline distT="0" distB="0" distL="0" distR="0" wp14:anchorId="261E907E" wp14:editId="1F169B35">
          <wp:extent cx="294132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389C28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EDE07C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E3253E"/>
    <w:multiLevelType w:val="hybridMultilevel"/>
    <w:tmpl w:val="07D2801A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343214793">
    <w:abstractNumId w:val="0"/>
  </w:num>
  <w:num w:numId="2" w16cid:durableId="1079055241">
    <w:abstractNumId w:val="1"/>
  </w:num>
  <w:num w:numId="3" w16cid:durableId="315688349">
    <w:abstractNumId w:val="0"/>
  </w:num>
  <w:num w:numId="4" w16cid:durableId="442310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5CFB"/>
    <w:rsid w:val="00017C82"/>
    <w:rsid w:val="00032B88"/>
    <w:rsid w:val="0003580E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0554"/>
    <w:rsid w:val="000E5A54"/>
    <w:rsid w:val="000E63D3"/>
    <w:rsid w:val="000E67CF"/>
    <w:rsid w:val="000F0A19"/>
    <w:rsid w:val="001008DE"/>
    <w:rsid w:val="0010461E"/>
    <w:rsid w:val="00106FAA"/>
    <w:rsid w:val="00113443"/>
    <w:rsid w:val="0012270F"/>
    <w:rsid w:val="001269A7"/>
    <w:rsid w:val="00131092"/>
    <w:rsid w:val="00134C5D"/>
    <w:rsid w:val="00140E6A"/>
    <w:rsid w:val="00146545"/>
    <w:rsid w:val="00146B75"/>
    <w:rsid w:val="00151B86"/>
    <w:rsid w:val="0015266D"/>
    <w:rsid w:val="0015288A"/>
    <w:rsid w:val="00160F47"/>
    <w:rsid w:val="00177CA1"/>
    <w:rsid w:val="00183823"/>
    <w:rsid w:val="00183942"/>
    <w:rsid w:val="001A009E"/>
    <w:rsid w:val="001A0612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51CC"/>
    <w:rsid w:val="00244AD1"/>
    <w:rsid w:val="00245255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D57C9"/>
    <w:rsid w:val="002D6295"/>
    <w:rsid w:val="002E0D61"/>
    <w:rsid w:val="002E4C7B"/>
    <w:rsid w:val="00303F9A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0DBF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717F"/>
    <w:rsid w:val="003D4FA3"/>
    <w:rsid w:val="003E0807"/>
    <w:rsid w:val="003E51FB"/>
    <w:rsid w:val="003E6B39"/>
    <w:rsid w:val="003F07E1"/>
    <w:rsid w:val="003F62EB"/>
    <w:rsid w:val="003F7819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2D0F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6DD"/>
    <w:rsid w:val="004D4AA1"/>
    <w:rsid w:val="004D6D68"/>
    <w:rsid w:val="004E5EDD"/>
    <w:rsid w:val="004E6917"/>
    <w:rsid w:val="004F448A"/>
    <w:rsid w:val="004F493D"/>
    <w:rsid w:val="004F65E8"/>
    <w:rsid w:val="0050005E"/>
    <w:rsid w:val="0050220F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75626"/>
    <w:rsid w:val="00581055"/>
    <w:rsid w:val="00584F2E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021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424D"/>
    <w:rsid w:val="00695B72"/>
    <w:rsid w:val="00696A13"/>
    <w:rsid w:val="006B160A"/>
    <w:rsid w:val="006B4E6C"/>
    <w:rsid w:val="006B50B6"/>
    <w:rsid w:val="006D79EA"/>
    <w:rsid w:val="006E191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36CC"/>
    <w:rsid w:val="007C30EB"/>
    <w:rsid w:val="007D3E50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880"/>
    <w:rsid w:val="008648D2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E7CC2"/>
    <w:rsid w:val="008F1DDD"/>
    <w:rsid w:val="008F5DCD"/>
    <w:rsid w:val="00900951"/>
    <w:rsid w:val="00907531"/>
    <w:rsid w:val="009118A6"/>
    <w:rsid w:val="00915276"/>
    <w:rsid w:val="00916909"/>
    <w:rsid w:val="00916EC0"/>
    <w:rsid w:val="00920467"/>
    <w:rsid w:val="00921DE7"/>
    <w:rsid w:val="00927038"/>
    <w:rsid w:val="0093041A"/>
    <w:rsid w:val="00930714"/>
    <w:rsid w:val="00931B03"/>
    <w:rsid w:val="009323B9"/>
    <w:rsid w:val="00932DCE"/>
    <w:rsid w:val="0093327E"/>
    <w:rsid w:val="00934028"/>
    <w:rsid w:val="0093760E"/>
    <w:rsid w:val="009438A8"/>
    <w:rsid w:val="00946044"/>
    <w:rsid w:val="0094660B"/>
    <w:rsid w:val="00946A33"/>
    <w:rsid w:val="00950BAE"/>
    <w:rsid w:val="0095260E"/>
    <w:rsid w:val="009578DD"/>
    <w:rsid w:val="00961124"/>
    <w:rsid w:val="009621B6"/>
    <w:rsid w:val="00974F2D"/>
    <w:rsid w:val="00977524"/>
    <w:rsid w:val="00977E88"/>
    <w:rsid w:val="00984920"/>
    <w:rsid w:val="00986AAA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3CA4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A7B5F"/>
    <w:rsid w:val="00AB2672"/>
    <w:rsid w:val="00AB2817"/>
    <w:rsid w:val="00AB43C4"/>
    <w:rsid w:val="00AC29EC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53F0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3AB4"/>
    <w:rsid w:val="00BB612A"/>
    <w:rsid w:val="00BD499F"/>
    <w:rsid w:val="00BD56DE"/>
    <w:rsid w:val="00BF2406"/>
    <w:rsid w:val="00BF7452"/>
    <w:rsid w:val="00C06E43"/>
    <w:rsid w:val="00C16315"/>
    <w:rsid w:val="00C3091E"/>
    <w:rsid w:val="00C40FF1"/>
    <w:rsid w:val="00C419E2"/>
    <w:rsid w:val="00C43F2D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7D3E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C5B10"/>
    <w:rsid w:val="00CD2BFD"/>
    <w:rsid w:val="00CE04E1"/>
    <w:rsid w:val="00CE16B2"/>
    <w:rsid w:val="00CE3B72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367F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D580C"/>
    <w:rsid w:val="00DE2513"/>
    <w:rsid w:val="00DE26E8"/>
    <w:rsid w:val="00DF6F36"/>
    <w:rsid w:val="00E0067A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4097"/>
    <w:rsid w:val="00E642E6"/>
    <w:rsid w:val="00E67C2F"/>
    <w:rsid w:val="00E67EF5"/>
    <w:rsid w:val="00E804EA"/>
    <w:rsid w:val="00E80A71"/>
    <w:rsid w:val="00E82337"/>
    <w:rsid w:val="00E91A55"/>
    <w:rsid w:val="00E92499"/>
    <w:rsid w:val="00E949AF"/>
    <w:rsid w:val="00E96077"/>
    <w:rsid w:val="00EA0A06"/>
    <w:rsid w:val="00EA29DE"/>
    <w:rsid w:val="00EA6243"/>
    <w:rsid w:val="00EA74AB"/>
    <w:rsid w:val="00EB3D1B"/>
    <w:rsid w:val="00ED1D89"/>
    <w:rsid w:val="00ED3074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02E6"/>
    <w:rsid w:val="00F43AD5"/>
    <w:rsid w:val="00F4402E"/>
    <w:rsid w:val="00F51665"/>
    <w:rsid w:val="00F533BB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1F52"/>
    <w:rsid w:val="00FA3DF5"/>
    <w:rsid w:val="00FA741F"/>
    <w:rsid w:val="00FB4E07"/>
    <w:rsid w:val="00FB629C"/>
    <w:rsid w:val="00FB755A"/>
    <w:rsid w:val="00FC60A2"/>
    <w:rsid w:val="00FD1871"/>
    <w:rsid w:val="00FD3110"/>
    <w:rsid w:val="00FE0F59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47616AEA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134C5D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0F0A19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E19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191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191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19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191A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6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A68404C5F6B4780904F09DAAE6248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49F3A-3709-4B4B-A8CF-1DE054402F6A}"/>
      </w:docPartPr>
      <w:docPartBody>
        <w:p w:rsidR="00D21A9F" w:rsidRDefault="00D21A9F">
          <w:pPr>
            <w:pStyle w:val="CA68404C5F6B4780904F09DAAE62489A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33362D499CC4608B7C3B21C9ECBF4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EECC25-1857-414A-A846-766A3B608703}"/>
      </w:docPartPr>
      <w:docPartBody>
        <w:p w:rsidR="00A34280" w:rsidRDefault="00AA1C90" w:rsidP="00AA1C90">
          <w:pPr>
            <w:pStyle w:val="C33362D499CC4608B7C3B21C9ECBF476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73753"/>
    <w:rsid w:val="001260CD"/>
    <w:rsid w:val="00927038"/>
    <w:rsid w:val="009438A8"/>
    <w:rsid w:val="00A34280"/>
    <w:rsid w:val="00AA1C90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A1C90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A68404C5F6B4780904F09DAAE62489A">
    <w:name w:val="CA68404C5F6B4780904F09DAAE62489A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C33362D499CC4608B7C3B21C9ECBF476">
    <w:name w:val="C33362D499CC4608B7C3B21C9ECBF476"/>
    <w:rsid w:val="00AA1C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purl.org/dc/dcmitype/"/>
    <ds:schemaRef ds:uri="http://purl.org/dc/elements/1.1/"/>
    <ds:schemaRef ds:uri="http://www.w3.org/XML/1998/namespace"/>
    <ds:schemaRef ds:uri="a0509f21-ed56-4150-9955-96be669e5f2d"/>
    <ds:schemaRef ds:uri="1c567317-0c4d-4a62-8516-c22afd1b5354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034397AA-1994-47AE-8659-F4DDB56945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E8C9FC-4027-44A9-927C-F469759B5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14</cp:revision>
  <cp:lastPrinted>2018-10-22T22:41:00Z</cp:lastPrinted>
  <dcterms:created xsi:type="dcterms:W3CDTF">2019-10-24T05:40:00Z</dcterms:created>
  <dcterms:modified xsi:type="dcterms:W3CDTF">2026-01-08T23:39:00Z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2025-12-23T03:56:26Z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2da320b1-403b-46f3-a50a-3273bf45b833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