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0A1A8227" w14:textId="77777777" w:rsidR="00BD499F" w:rsidRPr="004C23F4" w:rsidRDefault="00BE036E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Magnesium oxide (fume)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9"/>
        <w:gridCol w:w="5037"/>
      </w:tblGrid>
      <w:tr w:rsidR="00F43AD5" w:rsidRPr="004C23F4" w14:paraId="149DCFF4" w14:textId="77777777" w:rsidTr="007720D5">
        <w:trPr>
          <w:cantSplit/>
          <w:tblHeader/>
        </w:trPr>
        <w:tc>
          <w:tcPr>
            <w:tcW w:w="3989" w:type="dxa"/>
          </w:tcPr>
          <w:p w14:paraId="35FFBB01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37" w:type="dxa"/>
          </w:tcPr>
          <w:p w14:paraId="2EB5EEFB" w14:textId="77777777" w:rsidR="00F43AD5" w:rsidRPr="00717D45" w:rsidRDefault="00BE036E" w:rsidP="00B76A41">
            <w:pPr>
              <w:pStyle w:val="Tablefont"/>
            </w:pPr>
            <w:r w:rsidRPr="00BE036E">
              <w:t>1309-48-4</w:t>
            </w:r>
          </w:p>
        </w:tc>
      </w:tr>
      <w:tr w:rsidR="00F43AD5" w:rsidRPr="004C23F4" w14:paraId="42B7FE0B" w14:textId="77777777" w:rsidTr="007720D5">
        <w:trPr>
          <w:cantSplit/>
        </w:trPr>
        <w:tc>
          <w:tcPr>
            <w:tcW w:w="3989" w:type="dxa"/>
          </w:tcPr>
          <w:p w14:paraId="053F8309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37" w:type="dxa"/>
          </w:tcPr>
          <w:p w14:paraId="70929701" w14:textId="77777777" w:rsidR="00F43AD5" w:rsidRPr="00717D45" w:rsidRDefault="00C2576C" w:rsidP="00C2576C">
            <w:pPr>
              <w:pStyle w:val="Tablefont"/>
            </w:pPr>
            <w:r>
              <w:t>Periclase, magnesia</w:t>
            </w:r>
          </w:p>
        </w:tc>
      </w:tr>
      <w:tr w:rsidR="00F43AD5" w:rsidRPr="004C23F4" w14:paraId="607ED1E7" w14:textId="77777777" w:rsidTr="007720D5">
        <w:trPr>
          <w:cantSplit/>
        </w:trPr>
        <w:tc>
          <w:tcPr>
            <w:tcW w:w="3989" w:type="dxa"/>
          </w:tcPr>
          <w:p w14:paraId="2799CF6E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37" w:type="dxa"/>
          </w:tcPr>
          <w:p w14:paraId="52B763DC" w14:textId="77777777" w:rsidR="00F43AD5" w:rsidRPr="00717D45" w:rsidRDefault="00BE036E" w:rsidP="00B76A41">
            <w:pPr>
              <w:pStyle w:val="Tablefont"/>
            </w:pPr>
            <w:r>
              <w:t>MgO</w:t>
            </w:r>
          </w:p>
        </w:tc>
      </w:tr>
    </w:tbl>
    <w:p w14:paraId="55262DC9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BF2174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2970E62C" w14:textId="77777777" w:rsidTr="00BE036E">
        <w:trPr>
          <w:cantSplit/>
          <w:tblHeader/>
        </w:trPr>
        <w:tc>
          <w:tcPr>
            <w:tcW w:w="4010" w:type="dxa"/>
            <w:vAlign w:val="center"/>
          </w:tcPr>
          <w:p w14:paraId="34B75229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77D7B613" w14:textId="77777777" w:rsidR="002C7AFE" w:rsidRPr="00BF2174" w:rsidRDefault="00BF2174" w:rsidP="00017C82">
            <w:pPr>
              <w:pStyle w:val="Tablefont"/>
              <w:rPr>
                <w:b/>
                <w:vertAlign w:val="superscript"/>
              </w:rPr>
            </w:pPr>
            <w:r>
              <w:rPr>
                <w:b/>
              </w:rPr>
              <w:t>10 mg/m</w:t>
            </w:r>
            <w:r>
              <w:rPr>
                <w:b/>
                <w:vertAlign w:val="superscript"/>
              </w:rPr>
              <w:t>3</w:t>
            </w:r>
          </w:p>
        </w:tc>
      </w:tr>
      <w:tr w:rsidR="002C7AFE" w:rsidRPr="004C23F4" w14:paraId="5A97C331" w14:textId="77777777" w:rsidTr="00BE036E">
        <w:trPr>
          <w:cantSplit/>
        </w:trPr>
        <w:tc>
          <w:tcPr>
            <w:tcW w:w="4010" w:type="dxa"/>
            <w:vAlign w:val="center"/>
          </w:tcPr>
          <w:p w14:paraId="6B3AF5C8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16" w:type="dxa"/>
          </w:tcPr>
          <w:p w14:paraId="4FF3E4A7" w14:textId="77777777" w:rsidR="002C7AFE" w:rsidRPr="00EB3D1B" w:rsidRDefault="00BE036E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BE036E" w:rsidRPr="004C23F4" w14:paraId="05BCB9E3" w14:textId="77777777" w:rsidTr="00BE036E">
        <w:trPr>
          <w:cantSplit/>
        </w:trPr>
        <w:tc>
          <w:tcPr>
            <w:tcW w:w="4010" w:type="dxa"/>
            <w:vAlign w:val="center"/>
          </w:tcPr>
          <w:p w14:paraId="0B28178E" w14:textId="77777777" w:rsidR="00BE036E" w:rsidRPr="002C58FF" w:rsidRDefault="00BE036E" w:rsidP="00BE036E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1C1C5384" w14:textId="77777777" w:rsidR="00BE036E" w:rsidRPr="00EB3D1B" w:rsidRDefault="00BE036E" w:rsidP="00BE036E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BE036E" w:rsidRPr="004C23F4" w14:paraId="62BA6736" w14:textId="77777777" w:rsidTr="00BE036E">
        <w:trPr>
          <w:cantSplit/>
        </w:trPr>
        <w:tc>
          <w:tcPr>
            <w:tcW w:w="4010" w:type="dxa"/>
          </w:tcPr>
          <w:p w14:paraId="3433DF28" w14:textId="77777777" w:rsidR="00BE036E" w:rsidRPr="002C58FF" w:rsidRDefault="00BE036E" w:rsidP="00BE036E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4504C305" w14:textId="77777777" w:rsidR="00BE036E" w:rsidRPr="00EB3D1B" w:rsidRDefault="00BE036E" w:rsidP="00BE036E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BE036E" w:rsidRPr="004C23F4" w14:paraId="06BD3556" w14:textId="77777777" w:rsidTr="00BE036E">
        <w:trPr>
          <w:cantSplit/>
        </w:trPr>
        <w:tc>
          <w:tcPr>
            <w:tcW w:w="4010" w:type="dxa"/>
            <w:vAlign w:val="center"/>
          </w:tcPr>
          <w:p w14:paraId="24167F00" w14:textId="77777777" w:rsidR="00BE036E" w:rsidRPr="002C58FF" w:rsidRDefault="00BE036E" w:rsidP="00BE036E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0E12EA8F" w14:textId="77777777" w:rsidR="00BE036E" w:rsidRPr="00EB3D1B" w:rsidRDefault="00AF6320" w:rsidP="00BE036E">
            <w:pPr>
              <w:pStyle w:val="Tablefont"/>
              <w:rPr>
                <w:b/>
              </w:rPr>
            </w:pPr>
            <w:r>
              <w:rPr>
                <w:b/>
              </w:rPr>
              <w:t>750 mg/m</w:t>
            </w:r>
            <w:r w:rsidRPr="00AF6320">
              <w:rPr>
                <w:b/>
                <w:vertAlign w:val="superscript"/>
              </w:rPr>
              <w:t>3</w:t>
            </w:r>
          </w:p>
        </w:tc>
      </w:tr>
      <w:tr w:rsidR="00CC02F4" w:rsidRPr="004C23F4" w14:paraId="1EA1F531" w14:textId="77777777" w:rsidTr="00291626">
        <w:trPr>
          <w:cantSplit/>
        </w:trPr>
        <w:tc>
          <w:tcPr>
            <w:tcW w:w="9026" w:type="dxa"/>
            <w:gridSpan w:val="2"/>
            <w:vAlign w:val="center"/>
          </w:tcPr>
          <w:p w14:paraId="468CB253" w14:textId="592724FC" w:rsidR="00CC02F4" w:rsidRPr="00EB3D1B" w:rsidRDefault="00CC02F4" w:rsidP="00BE036E">
            <w:pPr>
              <w:pStyle w:val="Tablefont"/>
              <w:rPr>
                <w:b/>
              </w:rPr>
            </w:pPr>
            <w:r w:rsidRPr="00CC02F4">
              <w:rPr>
                <w:b/>
              </w:rPr>
              <w:t>Sampling and analysis:</w:t>
            </w:r>
            <w: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5947E578C86342BDB734856515480AB5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CB5C48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464826E0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908438E" w14:textId="7D4100C5" w:rsidR="006639B4" w:rsidRDefault="00BF2174" w:rsidP="000C139A">
      <w:pPr>
        <w:rPr>
          <w:rFonts w:cs="Arial"/>
        </w:rPr>
      </w:pPr>
      <w:r w:rsidRPr="008A482F">
        <w:rPr>
          <w:rFonts w:cs="Arial"/>
        </w:rPr>
        <w:t xml:space="preserve">A TWA of </w:t>
      </w:r>
      <w:r>
        <w:rPr>
          <w:rFonts w:cs="Arial"/>
        </w:rPr>
        <w:t>10</w:t>
      </w:r>
      <w:r w:rsidRPr="008A482F">
        <w:rPr>
          <w:rFonts w:cs="Arial"/>
        </w:rPr>
        <w:t xml:space="preserve"> mg/m</w:t>
      </w:r>
      <w:r w:rsidRPr="008A482F">
        <w:rPr>
          <w:rFonts w:cs="Arial"/>
          <w:vertAlign w:val="superscript"/>
        </w:rPr>
        <w:t>3</w:t>
      </w:r>
      <w:r>
        <w:rPr>
          <w:rFonts w:cs="Arial"/>
        </w:rPr>
        <w:t xml:space="preserve"> </w:t>
      </w:r>
      <w:r w:rsidRPr="008A482F">
        <w:rPr>
          <w:rFonts w:cs="Arial"/>
        </w:rPr>
        <w:t xml:space="preserve">is </w:t>
      </w:r>
      <w:r>
        <w:rPr>
          <w:rFonts w:cs="Arial"/>
        </w:rPr>
        <w:t>re</w:t>
      </w:r>
      <w:r w:rsidR="006323B1">
        <w:rPr>
          <w:rFonts w:cs="Arial"/>
        </w:rPr>
        <w:t>commend</w:t>
      </w:r>
      <w:r>
        <w:rPr>
          <w:rFonts w:cs="Arial"/>
        </w:rPr>
        <w:t xml:space="preserve">ed to </w:t>
      </w:r>
      <w:r w:rsidR="00176E30">
        <w:rPr>
          <w:rFonts w:cs="Arial"/>
        </w:rPr>
        <w:t>protect</w:t>
      </w:r>
      <w:r>
        <w:rPr>
          <w:rFonts w:cs="Arial"/>
        </w:rPr>
        <w:t xml:space="preserve"> </w:t>
      </w:r>
      <w:r w:rsidR="00976F6B">
        <w:rPr>
          <w:rFonts w:cs="Arial"/>
        </w:rPr>
        <w:t xml:space="preserve">for </w:t>
      </w:r>
      <w:r>
        <w:t>upper respiratory tract</w:t>
      </w:r>
      <w:r w:rsidR="00717042">
        <w:t xml:space="preserve"> </w:t>
      </w:r>
      <w:r w:rsidR="00976F6B">
        <w:rPr>
          <w:rFonts w:cs="Arial"/>
        </w:rPr>
        <w:t xml:space="preserve">irritation </w:t>
      </w:r>
      <w:r>
        <w:rPr>
          <w:rFonts w:cs="Arial"/>
        </w:rPr>
        <w:t>in exposed workers</w:t>
      </w:r>
      <w:r w:rsidR="00E23587">
        <w:rPr>
          <w:rFonts w:cs="Arial"/>
        </w:rPr>
        <w:t>.</w:t>
      </w:r>
    </w:p>
    <w:p w14:paraId="2D1472CF" w14:textId="77777777" w:rsidR="00C7155E" w:rsidRPr="004C23F4" w:rsidRDefault="00F10C97" w:rsidP="003365A5">
      <w:pPr>
        <w:pStyle w:val="Heading2"/>
      </w:pPr>
      <w:r>
        <w:t>Discussion and conclusions</w:t>
      </w:r>
    </w:p>
    <w:p w14:paraId="6AE1B185" w14:textId="1A32BBAE" w:rsidR="007720D5" w:rsidRDefault="00782085" w:rsidP="006639B4">
      <w:r>
        <w:t>M</w:t>
      </w:r>
      <w:r w:rsidR="003F49AD">
        <w:t xml:space="preserve">agnesium oxide </w:t>
      </w:r>
      <w:r w:rsidR="007720D5">
        <w:t xml:space="preserve">(MgO) </w:t>
      </w:r>
      <w:r>
        <w:t xml:space="preserve">powder </w:t>
      </w:r>
      <w:r w:rsidR="00EE0426">
        <w:t xml:space="preserve">is used in </w:t>
      </w:r>
      <w:r w:rsidR="008649F8">
        <w:t xml:space="preserve">heat-resistant </w:t>
      </w:r>
      <w:r w:rsidR="00EE0426">
        <w:t>ceramics, firebricks, pharmaceuticals, food additive</w:t>
      </w:r>
      <w:r w:rsidR="008649F8">
        <w:t>s</w:t>
      </w:r>
      <w:r w:rsidR="00EE0426">
        <w:t xml:space="preserve"> and enteric acid-neutralising agent</w:t>
      </w:r>
      <w:r w:rsidR="008649F8">
        <w:t>s</w:t>
      </w:r>
      <w:r w:rsidR="00EE0426">
        <w:t>. In solution, it</w:t>
      </w:r>
      <w:r w:rsidR="00040CB9">
        <w:t xml:space="preserve"> is</w:t>
      </w:r>
      <w:r w:rsidR="00EE0426">
        <w:t xml:space="preserve"> hydrated to magnesium hydroxide and used as an antacid and cathartic.</w:t>
      </w:r>
      <w:r w:rsidR="008649F8">
        <w:t xml:space="preserve"> </w:t>
      </w:r>
    </w:p>
    <w:p w14:paraId="269B20B0" w14:textId="768DF897" w:rsidR="009A792F" w:rsidRDefault="00040CB9" w:rsidP="006639B4">
      <w:r>
        <w:t xml:space="preserve">Critical effects </w:t>
      </w:r>
      <w:r w:rsidR="007720D5">
        <w:t xml:space="preserve">of exposure </w:t>
      </w:r>
      <w:r>
        <w:t xml:space="preserve">from </w:t>
      </w:r>
      <w:r w:rsidR="007720D5">
        <w:t>MgO</w:t>
      </w:r>
      <w:r>
        <w:t xml:space="preserve"> fume </w:t>
      </w:r>
      <w:proofErr w:type="gramStart"/>
      <w:r w:rsidR="00976F6B">
        <w:t>is</w:t>
      </w:r>
      <w:proofErr w:type="gramEnd"/>
      <w:r>
        <w:t xml:space="preserve"> irritation </w:t>
      </w:r>
      <w:r w:rsidR="00A9556F">
        <w:t>of</w:t>
      </w:r>
      <w:r>
        <w:t xml:space="preserve"> the upper respiratory tract. </w:t>
      </w:r>
      <w:r w:rsidR="008649F8">
        <w:t>Limited toxicological data</w:t>
      </w:r>
      <w:r w:rsidR="00717042">
        <w:t xml:space="preserve"> are</w:t>
      </w:r>
      <w:r w:rsidR="008649F8">
        <w:t xml:space="preserve"> available</w:t>
      </w:r>
      <w:r w:rsidR="00C36ADE">
        <w:t xml:space="preserve">. Following industrial exposures, reported effects include conjunctivitis, nasal catarrh and discoloured sputum. No systemic effects </w:t>
      </w:r>
      <w:r w:rsidR="007720D5">
        <w:t xml:space="preserve">are </w:t>
      </w:r>
      <w:r w:rsidR="00C36ADE">
        <w:t>identified following increased exposures</w:t>
      </w:r>
      <w:r w:rsidR="007720D5">
        <w:t xml:space="preserve"> that double the concentration of serum magnesium</w:t>
      </w:r>
      <w:r w:rsidR="00C36ADE">
        <w:t xml:space="preserve">. </w:t>
      </w:r>
      <w:r w:rsidR="003E024B">
        <w:t xml:space="preserve">Volunteers exposed </w:t>
      </w:r>
      <w:r w:rsidR="00717042">
        <w:t xml:space="preserve">at </w:t>
      </w:r>
      <w:r w:rsidR="00C36ADE">
        <w:t>410</w:t>
      </w:r>
      <w:r w:rsidR="00176E30">
        <w:t xml:space="preserve"> to </w:t>
      </w:r>
      <w:r w:rsidR="007720D5">
        <w:t>580 </w:t>
      </w:r>
      <w:r w:rsidR="00C36ADE">
        <w:t>mg/m</w:t>
      </w:r>
      <w:r w:rsidR="00C36ADE">
        <w:rPr>
          <w:vertAlign w:val="superscript"/>
        </w:rPr>
        <w:t>3</w:t>
      </w:r>
      <w:r w:rsidR="00C36ADE">
        <w:t xml:space="preserve"> </w:t>
      </w:r>
      <w:r w:rsidR="007720D5">
        <w:t>MgO</w:t>
      </w:r>
      <w:r w:rsidR="00C36ADE">
        <w:t xml:space="preserve"> fume for </w:t>
      </w:r>
      <w:r w:rsidR="00AE7279">
        <w:t>one to nine</w:t>
      </w:r>
      <w:r w:rsidR="00C36ADE">
        <w:t xml:space="preserve"> minutes demonstrated symptoms of metal fume fever and an increase in</w:t>
      </w:r>
      <w:r w:rsidR="003E024B">
        <w:t xml:space="preserve"> white blood cell </w:t>
      </w:r>
      <w:r w:rsidR="007720D5">
        <w:t xml:space="preserve">(WBC) </w:t>
      </w:r>
      <w:r w:rsidR="003E024B">
        <w:t>count.</w:t>
      </w:r>
      <w:r w:rsidR="00C36ADE" w:rsidDel="0026097E">
        <w:t xml:space="preserve"> </w:t>
      </w:r>
      <w:r w:rsidR="00C36ADE">
        <w:t>An approximate NOAE</w:t>
      </w:r>
      <w:r w:rsidR="00717042">
        <w:t>C</w:t>
      </w:r>
      <w:r w:rsidR="00C36ADE">
        <w:t xml:space="preserve"> of 100 </w:t>
      </w:r>
      <w:r w:rsidR="00A9556F">
        <w:t>mg/m</w:t>
      </w:r>
      <w:r w:rsidR="00A9556F" w:rsidRPr="00717042">
        <w:rPr>
          <w:vertAlign w:val="superscript"/>
        </w:rPr>
        <w:t>3</w:t>
      </w:r>
      <w:r w:rsidR="00C36ADE">
        <w:t xml:space="preserve"> </w:t>
      </w:r>
      <w:r w:rsidR="009A792F">
        <w:t xml:space="preserve">based on changes in pulmonary function, or cellular and biochemical parameters </w:t>
      </w:r>
      <w:r w:rsidR="007720D5">
        <w:t>i</w:t>
      </w:r>
      <w:r w:rsidR="00C36ADE">
        <w:t>s identified in</w:t>
      </w:r>
      <w:r w:rsidR="009A792F">
        <w:t xml:space="preserve"> </w:t>
      </w:r>
      <w:r w:rsidR="00C36ADE">
        <w:t>a short-term study</w:t>
      </w:r>
      <w:r w:rsidR="009A792F">
        <w:t xml:space="preserve"> in humans (ACGIH, 2018).</w:t>
      </w:r>
    </w:p>
    <w:p w14:paraId="048528F9" w14:textId="1C8F16EB" w:rsidR="006639B4" w:rsidRDefault="007720D5" w:rsidP="006639B4">
      <w:r>
        <w:t xml:space="preserve">The </w:t>
      </w:r>
      <w:r w:rsidR="00673A5D">
        <w:t>TWA of 10 mg/m</w:t>
      </w:r>
      <w:r w:rsidR="00673A5D" w:rsidRPr="00717042">
        <w:rPr>
          <w:vertAlign w:val="superscript"/>
        </w:rPr>
        <w:t>3</w:t>
      </w:r>
      <w:r w:rsidR="00673A5D">
        <w:rPr>
          <w:vertAlign w:val="superscript"/>
        </w:rPr>
        <w:t xml:space="preserve"> </w:t>
      </w:r>
      <w:r w:rsidR="00673A5D">
        <w:t xml:space="preserve">adopted from </w:t>
      </w:r>
      <w:r w:rsidR="00B545E5">
        <w:t xml:space="preserve">ACGIH </w:t>
      </w:r>
      <w:r w:rsidR="00673A5D">
        <w:t>is recommended to be retained</w:t>
      </w:r>
      <w:r w:rsidR="00B545E5">
        <w:t>. This TWA is considered protective of irritant effects</w:t>
      </w:r>
      <w:r>
        <w:t>.</w:t>
      </w:r>
      <w:r w:rsidR="00B545E5">
        <w:t xml:space="preserve"> </w:t>
      </w:r>
    </w:p>
    <w:p w14:paraId="357F6203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72DFE3EE" w14:textId="5627EBFA" w:rsidR="00BE036E" w:rsidRPr="003F49AD" w:rsidRDefault="00BE036E" w:rsidP="00BE036E">
      <w:pPr>
        <w:rPr>
          <w:rFonts w:cs="Arial"/>
        </w:rPr>
      </w:pPr>
      <w:r w:rsidRPr="003F49AD">
        <w:rPr>
          <w:rFonts w:cs="Arial"/>
        </w:rPr>
        <w:t>Not classified as a carcinogen according to the Globally Harmonized System of Classification and Labelling o</w:t>
      </w:r>
      <w:r w:rsidR="000C4E12">
        <w:rPr>
          <w:rFonts w:cs="Arial"/>
        </w:rPr>
        <w:t>f</w:t>
      </w:r>
      <w:r w:rsidRPr="003F49AD">
        <w:rPr>
          <w:rFonts w:cs="Arial"/>
        </w:rPr>
        <w:t xml:space="preserve"> Chemicals (GHS). </w:t>
      </w:r>
    </w:p>
    <w:p w14:paraId="12380F4F" w14:textId="0AA5E04E" w:rsidR="00BE036E" w:rsidRPr="003F49AD" w:rsidRDefault="00BE036E" w:rsidP="00BE036E">
      <w:pPr>
        <w:rPr>
          <w:rFonts w:cs="Arial"/>
        </w:rPr>
      </w:pPr>
      <w:r w:rsidRPr="003F49AD">
        <w:rPr>
          <w:rFonts w:cs="Arial"/>
        </w:rPr>
        <w:t xml:space="preserve">Not classified as a skin </w:t>
      </w:r>
      <w:r w:rsidR="000C4E12" w:rsidRPr="003F49AD">
        <w:rPr>
          <w:rFonts w:cs="Arial"/>
        </w:rPr>
        <w:t xml:space="preserve">sensitiser </w:t>
      </w:r>
      <w:r w:rsidRPr="003F49AD">
        <w:rPr>
          <w:rFonts w:cs="Arial"/>
        </w:rPr>
        <w:t>or respiratory sensitiser according to the GHS.</w:t>
      </w:r>
    </w:p>
    <w:p w14:paraId="0BB00845" w14:textId="2FEBA438" w:rsidR="004529F0" w:rsidRPr="004C23F4" w:rsidRDefault="00040CB9" w:rsidP="00BE036E">
      <w:pPr>
        <w:rPr>
          <w:rFonts w:cs="Arial"/>
        </w:rPr>
      </w:pPr>
      <w:r>
        <w:rPr>
          <w:rFonts w:cs="Arial"/>
        </w:rPr>
        <w:t xml:space="preserve">There </w:t>
      </w:r>
      <w:r w:rsidR="00CB5C48">
        <w:rPr>
          <w:rFonts w:cs="Arial"/>
        </w:rPr>
        <w:t>are</w:t>
      </w:r>
      <w:r>
        <w:rPr>
          <w:rFonts w:cs="Arial"/>
        </w:rPr>
        <w:t xml:space="preserve"> i</w:t>
      </w:r>
      <w:r w:rsidR="00BE036E" w:rsidRPr="003F49AD">
        <w:rPr>
          <w:rFonts w:cs="Arial"/>
        </w:rPr>
        <w:t xml:space="preserve">nsufficient </w:t>
      </w:r>
      <w:r>
        <w:rPr>
          <w:rFonts w:cs="Arial"/>
        </w:rPr>
        <w:t>data</w:t>
      </w:r>
      <w:r w:rsidRPr="003F49AD">
        <w:rPr>
          <w:rFonts w:cs="Arial"/>
        </w:rPr>
        <w:t xml:space="preserve"> </w:t>
      </w:r>
      <w:r w:rsidR="00BE036E" w:rsidRPr="003F49AD">
        <w:rPr>
          <w:rFonts w:cs="Arial"/>
        </w:rPr>
        <w:t>to recommend a skin notation.</w:t>
      </w:r>
    </w:p>
    <w:p w14:paraId="7734C605" w14:textId="0D693841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3E9DB390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42FE7DFE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4BAA2298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38345B95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21B7EA15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58FDF549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BE036E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F529C8">
                  <w:t>TWA: 10 mg/m</w:t>
                </w:r>
                <w:r w:rsidR="00F529C8" w:rsidRPr="00F529C8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22AFBB4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79BE512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714C4618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AB08788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F529C8">
                  <w:t>2003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F529C8">
                  <w:t>TLV-TWA: 10 mg/m</w:t>
                </w:r>
                <w:r w:rsidR="00F529C8" w:rsidRPr="00F529C8">
                  <w:rPr>
                    <w:vertAlign w:val="superscript"/>
                  </w:rPr>
                  <w:t>3</w:t>
                </w:r>
                <w:r w:rsidR="00F529C8">
                  <w:rPr>
                    <w:vertAlign w:val="superscript"/>
                  </w:rPr>
                  <w:t xml:space="preserve"> </w:t>
                </w:r>
                <w:r w:rsidR="00F529C8">
                  <w:t>(inhalable particulate mass)</w:t>
                </w:r>
              </w:sdtContent>
            </w:sdt>
          </w:p>
        </w:tc>
      </w:tr>
      <w:tr w:rsidR="00C978F0" w:rsidRPr="00DA352E" w14:paraId="21E9248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C23B6DB" w14:textId="77777777" w:rsidR="007720D5" w:rsidRDefault="0008504A" w:rsidP="00AE7279">
            <w:pPr>
              <w:pStyle w:val="Tabletextprimarysource"/>
            </w:pPr>
            <w:r>
              <w:t xml:space="preserve">TLV-TWA recommended to minimise occupational exposure and irritant effects </w:t>
            </w:r>
            <w:r w:rsidR="002D2E02">
              <w:t>on</w:t>
            </w:r>
            <w:r w:rsidR="00A9556F">
              <w:t xml:space="preserve"> the</w:t>
            </w:r>
            <w:r w:rsidR="002D2E02">
              <w:t xml:space="preserve"> upper respiratory tract </w:t>
            </w:r>
            <w:r>
              <w:t>associated with magnesium oxide fumes.</w:t>
            </w:r>
            <w:r w:rsidR="00673A5D">
              <w:t xml:space="preserve">  </w:t>
            </w:r>
          </w:p>
          <w:p w14:paraId="1629F0D2" w14:textId="03398690" w:rsidR="00C978F0" w:rsidRDefault="00673A5D" w:rsidP="00AE7279">
            <w:pPr>
              <w:pStyle w:val="Tabletextprimarysource"/>
            </w:pPr>
            <w:r>
              <w:t xml:space="preserve">TLV-TWA was derived from </w:t>
            </w:r>
            <w:r w:rsidR="007720D5">
              <w:t>a NOAEL</w:t>
            </w:r>
            <w:r>
              <w:t xml:space="preserve"> </w:t>
            </w:r>
            <w:r w:rsidR="002523D8">
              <w:t>of 100 mg/m</w:t>
            </w:r>
            <w:r w:rsidR="002523D8">
              <w:rPr>
                <w:vertAlign w:val="superscript"/>
              </w:rPr>
              <w:t>3</w:t>
            </w:r>
            <w:r w:rsidR="002523D8">
              <w:t xml:space="preserve"> </w:t>
            </w:r>
            <w:r>
              <w:t>d</w:t>
            </w:r>
            <w:r w:rsidR="002523D8">
              <w:t xml:space="preserve">ivided by </w:t>
            </w:r>
            <w:r w:rsidR="007720D5">
              <w:t>a UF of</w:t>
            </w:r>
            <w:r>
              <w:t xml:space="preserve"> ten </w:t>
            </w:r>
            <w:r w:rsidRPr="00C47448">
              <w:t>to</w:t>
            </w:r>
            <w:r w:rsidR="002523D8">
              <w:t xml:space="preserve"> </w:t>
            </w:r>
            <w:r>
              <w:t xml:space="preserve">account for </w:t>
            </w:r>
            <w:r w:rsidR="002523D8">
              <w:t>the sh</w:t>
            </w:r>
            <w:r>
              <w:t xml:space="preserve">ort term </w:t>
            </w:r>
            <w:r w:rsidR="002523D8">
              <w:t xml:space="preserve">of </w:t>
            </w:r>
            <w:r>
              <w:t>exposure</w:t>
            </w:r>
            <w:r w:rsidR="002523D8">
              <w:t>.</w:t>
            </w:r>
            <w:r>
              <w:t xml:space="preserve"> </w:t>
            </w:r>
          </w:p>
          <w:p w14:paraId="6208638E" w14:textId="77777777" w:rsidR="00853C26" w:rsidRDefault="00853C26" w:rsidP="00AE7279">
            <w:pPr>
              <w:pStyle w:val="Tabletextprimarysource"/>
            </w:pPr>
            <w:r>
              <w:t>Summary of data:</w:t>
            </w:r>
          </w:p>
          <w:p w14:paraId="11FB5266" w14:textId="77777777" w:rsidR="00853C26" w:rsidRDefault="00853C26" w:rsidP="00AE7279">
            <w:pPr>
              <w:pStyle w:val="Tabletextprimarysource"/>
            </w:pPr>
            <w:r>
              <w:t>Human data:</w:t>
            </w:r>
          </w:p>
          <w:p w14:paraId="7194BB97" w14:textId="50EC0453" w:rsidR="00853C26" w:rsidRDefault="00853C26" w:rsidP="00782085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Following industrial exposures, reported effects include conjunctivitis, nasal catarrh and discoloured sputum; no systemic effects noted following increased exposures (doubling serum </w:t>
            </w:r>
            <w:r w:rsidR="007720D5">
              <w:t>Mg</w:t>
            </w:r>
            <w:r>
              <w:t>)</w:t>
            </w:r>
          </w:p>
          <w:p w14:paraId="3D86719E" w14:textId="08479D24" w:rsidR="00853C26" w:rsidRDefault="00853C26" w:rsidP="00782085">
            <w:pPr>
              <w:pStyle w:val="ListBullet"/>
              <w:spacing w:before="60" w:after="60"/>
              <w:ind w:left="720"/>
              <w:contextualSpacing w:val="0"/>
            </w:pPr>
            <w:r>
              <w:t>Slight irritation of eyes and nose in 95 workers exposed to dust, concentration not specified</w:t>
            </w:r>
          </w:p>
          <w:p w14:paraId="438C63B7" w14:textId="7E1D0543" w:rsidR="00C36ADE" w:rsidRDefault="00976F6B" w:rsidP="00782085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Exposure of volunteers at </w:t>
            </w:r>
            <w:r w:rsidR="008F6C39">
              <w:t>410</w:t>
            </w:r>
            <w:r w:rsidR="00AE7279">
              <w:t>–</w:t>
            </w:r>
            <w:r w:rsidR="008F6C39">
              <w:t>580 mg/m</w:t>
            </w:r>
            <w:r w:rsidR="008F6C39">
              <w:rPr>
                <w:vertAlign w:val="superscript"/>
              </w:rPr>
              <w:t>3</w:t>
            </w:r>
            <w:r w:rsidR="008F6C39">
              <w:t xml:space="preserve"> fume </w:t>
            </w:r>
            <w:r w:rsidR="003E024B">
              <w:t>for 1</w:t>
            </w:r>
            <w:r w:rsidR="00AE7279">
              <w:t>–</w:t>
            </w:r>
            <w:r w:rsidR="003E024B">
              <w:t>9 min</w:t>
            </w:r>
            <w:r w:rsidR="008F6C39">
              <w:t xml:space="preserve"> </w:t>
            </w:r>
            <w:r>
              <w:t>resulted in</w:t>
            </w:r>
            <w:r w:rsidR="008F6C39">
              <w:t xml:space="preserve"> febrile reaction and leucocytosis</w:t>
            </w:r>
            <w:r>
              <w:t xml:space="preserve"> (</w:t>
            </w:r>
            <w:r w:rsidR="00C36ADE">
              <w:t>metal fume fever</w:t>
            </w:r>
            <w:r>
              <w:t>)</w:t>
            </w:r>
          </w:p>
          <w:p w14:paraId="43CC2993" w14:textId="335EA331" w:rsidR="007720D5" w:rsidRDefault="00C36ADE" w:rsidP="00782085">
            <w:pPr>
              <w:pStyle w:val="ListBullet"/>
              <w:spacing w:before="60" w:after="60"/>
              <w:ind w:left="720"/>
              <w:contextualSpacing w:val="0"/>
            </w:pPr>
            <w:r>
              <w:t>E</w:t>
            </w:r>
            <w:r w:rsidR="008F6C39">
              <w:t xml:space="preserve">xposure </w:t>
            </w:r>
            <w:r w:rsidR="00175028">
              <w:t xml:space="preserve">of volunteers </w:t>
            </w:r>
            <w:r w:rsidR="007720D5">
              <w:t>at</w:t>
            </w:r>
            <w:r w:rsidR="008F6C39">
              <w:t xml:space="preserve"> 137 mg/m</w:t>
            </w:r>
            <w:r w:rsidR="008F6C39">
              <w:rPr>
                <w:vertAlign w:val="superscript"/>
              </w:rPr>
              <w:t>3</w:t>
            </w:r>
            <w:r w:rsidR="003E024B">
              <w:t xml:space="preserve"> for 15</w:t>
            </w:r>
            <w:r w:rsidR="00AE7279">
              <w:t>–</w:t>
            </w:r>
            <w:r w:rsidR="003E024B">
              <w:t>45 min</w:t>
            </w:r>
            <w:r w:rsidR="008F6C39">
              <w:t xml:space="preserve"> produced no </w:t>
            </w:r>
            <w:r w:rsidR="00175028">
              <w:t xml:space="preserve">symptoms or </w:t>
            </w:r>
            <w:r w:rsidR="008F6C39">
              <w:t>significant change in pulmonary function,</w:t>
            </w:r>
            <w:r w:rsidR="00175028">
              <w:t xml:space="preserve"> or</w:t>
            </w:r>
            <w:r w:rsidR="008F6C39">
              <w:t xml:space="preserve"> cellular and biochemical parameters</w:t>
            </w:r>
          </w:p>
          <w:p w14:paraId="69C19EBA" w14:textId="6D246450" w:rsidR="008F6C39" w:rsidRDefault="00C36ADE" w:rsidP="007720D5">
            <w:pPr>
              <w:pStyle w:val="ListBullet"/>
              <w:numPr>
                <w:ilvl w:val="0"/>
                <w:numId w:val="8"/>
              </w:numPr>
              <w:spacing w:before="60" w:after="60"/>
              <w:contextualSpacing w:val="0"/>
            </w:pPr>
            <w:r>
              <w:t>NOAEL of 100</w:t>
            </w:r>
            <w:r w:rsidR="00A9556F">
              <w:t> </w:t>
            </w:r>
            <w:r>
              <w:t>mg/m</w:t>
            </w:r>
            <w:r>
              <w:rPr>
                <w:vertAlign w:val="superscript"/>
              </w:rPr>
              <w:t>3</w:t>
            </w:r>
            <w:r>
              <w:t xml:space="preserve"> estimated</w:t>
            </w:r>
            <w:r w:rsidR="003E438D">
              <w:t>.</w:t>
            </w:r>
          </w:p>
          <w:p w14:paraId="43F327BA" w14:textId="77777777" w:rsidR="008F6C39" w:rsidRDefault="00175028" w:rsidP="00AE7279">
            <w:pPr>
              <w:pStyle w:val="Tabletextprimarysource"/>
            </w:pPr>
            <w:r>
              <w:t>Animal data:</w:t>
            </w:r>
          </w:p>
          <w:p w14:paraId="7C49F292" w14:textId="609F86AB" w:rsidR="007720D5" w:rsidRDefault="00175028" w:rsidP="00782085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Estimated inhalation </w:t>
            </w:r>
            <w:r w:rsidR="00976F6B">
              <w:t>of</w:t>
            </w:r>
            <w:r>
              <w:t xml:space="preserve"> 21</w:t>
            </w:r>
            <w:r w:rsidR="00AE7279">
              <w:t>–</w:t>
            </w:r>
            <w:r>
              <w:t xml:space="preserve">156 mg </w:t>
            </w:r>
            <w:r w:rsidR="003E024B">
              <w:t>(fume</w:t>
            </w:r>
            <w:r w:rsidR="007720D5">
              <w:t xml:space="preserve">; </w:t>
            </w:r>
            <w:r w:rsidR="003E024B">
              <w:t>15 min</w:t>
            </w:r>
            <w:r w:rsidR="007720D5">
              <w:t>–</w:t>
            </w:r>
            <w:r w:rsidR="003E024B">
              <w:t>3 h</w:t>
            </w:r>
            <w:r>
              <w:t xml:space="preserve"> duration) in cats produced slight </w:t>
            </w:r>
            <w:r w:rsidR="00C65A93">
              <w:t>hypothermia</w:t>
            </w:r>
          </w:p>
          <w:p w14:paraId="40C17A3C" w14:textId="5A98E73B" w:rsidR="007720D5" w:rsidRDefault="007720D5" w:rsidP="007720D5">
            <w:pPr>
              <w:pStyle w:val="ListBullet"/>
              <w:numPr>
                <w:ilvl w:val="0"/>
                <w:numId w:val="8"/>
              </w:numPr>
              <w:spacing w:before="60" w:after="60"/>
              <w:contextualSpacing w:val="0"/>
            </w:pPr>
            <w:r>
              <w:t>a</w:t>
            </w:r>
            <w:r w:rsidR="00175028">
              <w:t xml:space="preserve">t 3 </w:t>
            </w:r>
            <w:r w:rsidR="003E024B">
              <w:t>h</w:t>
            </w:r>
            <w:r w:rsidR="00175028">
              <w:t xml:space="preserve"> duration</w:t>
            </w:r>
            <w:r w:rsidR="003E024B">
              <w:t xml:space="preserve"> point</w:t>
            </w:r>
            <w:r w:rsidR="00175028">
              <w:t>, obvious dyspnoea when removed from exposure chamber, lethargy and cold to touch</w:t>
            </w:r>
          </w:p>
          <w:p w14:paraId="6247E276" w14:textId="4117DD72" w:rsidR="00175028" w:rsidRDefault="007720D5" w:rsidP="007720D5">
            <w:pPr>
              <w:pStyle w:val="ListBullet"/>
              <w:numPr>
                <w:ilvl w:val="0"/>
                <w:numId w:val="8"/>
              </w:numPr>
              <w:spacing w:before="60" w:after="60"/>
              <w:contextualSpacing w:val="0"/>
            </w:pPr>
            <w:r>
              <w:t>r</w:t>
            </w:r>
            <w:r w:rsidR="00175028">
              <w:t>apid recovery at cessation of exposure</w:t>
            </w:r>
          </w:p>
          <w:p w14:paraId="4953EBC9" w14:textId="77777777" w:rsidR="007720D5" w:rsidRDefault="00175028" w:rsidP="00782085">
            <w:pPr>
              <w:pStyle w:val="ListBullet"/>
              <w:spacing w:before="60" w:after="60"/>
              <w:ind w:left="720"/>
              <w:contextualSpacing w:val="0"/>
            </w:pPr>
            <w:r>
              <w:t>M</w:t>
            </w:r>
            <w:r w:rsidRPr="00175028">
              <w:t>inor histologic changes</w:t>
            </w:r>
            <w:r>
              <w:t xml:space="preserve"> in lungs of rats and rabbits exposed</w:t>
            </w:r>
            <w:r w:rsidR="003E024B">
              <w:t xml:space="preserve"> for 6 </w:t>
            </w:r>
            <w:proofErr w:type="spellStart"/>
            <w:r w:rsidR="003E024B">
              <w:t>mo</w:t>
            </w:r>
            <w:proofErr w:type="spellEnd"/>
            <w:r>
              <w:t xml:space="preserve"> to contaminated air at worksite</w:t>
            </w:r>
          </w:p>
          <w:p w14:paraId="7AC7A52D" w14:textId="4B972B4A" w:rsidR="00175028" w:rsidRDefault="007720D5" w:rsidP="007720D5">
            <w:pPr>
              <w:pStyle w:val="ListBullet"/>
              <w:numPr>
                <w:ilvl w:val="0"/>
                <w:numId w:val="8"/>
              </w:numPr>
              <w:spacing w:before="60" w:after="60"/>
              <w:contextualSpacing w:val="0"/>
            </w:pPr>
            <w:r>
              <w:t>n</w:t>
            </w:r>
            <w:r w:rsidR="002D2E02">
              <w:t>o exposure concentration specified</w:t>
            </w:r>
          </w:p>
          <w:p w14:paraId="5818A728" w14:textId="6AA5EBB5" w:rsidR="002D2E02" w:rsidRDefault="002D2E02" w:rsidP="00782085">
            <w:pPr>
              <w:pStyle w:val="ListBullet"/>
              <w:spacing w:before="60" w:after="60"/>
              <w:ind w:left="720"/>
              <w:contextualSpacing w:val="0"/>
            </w:pPr>
            <w:r>
              <w:t>Studies of potential carcinogenic effects limited in scope and had confounders</w:t>
            </w:r>
          </w:p>
          <w:p w14:paraId="44D19474" w14:textId="270F4070" w:rsidR="00853C26" w:rsidRDefault="00853C26" w:rsidP="00782085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Negative for mutagenicity in standard </w:t>
            </w:r>
            <w:proofErr w:type="gramStart"/>
            <w:r>
              <w:t>Ames</w:t>
            </w:r>
            <w:proofErr w:type="gramEnd"/>
            <w:r>
              <w:t xml:space="preserve"> assay tests</w:t>
            </w:r>
            <w:r w:rsidR="002D2E02">
              <w:t>.</w:t>
            </w:r>
          </w:p>
          <w:p w14:paraId="0F27C396" w14:textId="77777777" w:rsidR="00A9556F" w:rsidRDefault="00A9556F" w:rsidP="00717042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  <w:p w14:paraId="50A8B093" w14:textId="77777777" w:rsidR="002D2E02" w:rsidRDefault="002D2E02" w:rsidP="00AE7279">
            <w:pPr>
              <w:pStyle w:val="Tabletextprimarysource"/>
            </w:pPr>
            <w:r>
              <w:t>Insufficient data to recommend sensitiser, skin notation or TLV-STEL.</w:t>
            </w:r>
          </w:p>
          <w:p w14:paraId="373907B3" w14:textId="0F267023" w:rsidR="00A9556F" w:rsidRPr="00DA352E" w:rsidRDefault="00A9556F" w:rsidP="00AE7279">
            <w:pPr>
              <w:pStyle w:val="Tabletextprimarysource"/>
            </w:pPr>
          </w:p>
        </w:tc>
      </w:tr>
      <w:tr w:rsidR="00C978F0" w:rsidRPr="00DA352E" w14:paraId="05DB986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82B72B1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F529C8">
                  <w:t>1991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F529C8">
                  <w:t>MAK: 6 mg/m</w:t>
                </w:r>
                <w:r w:rsidR="00F529C8" w:rsidRPr="00C2576C">
                  <w:rPr>
                    <w:vertAlign w:val="superscript"/>
                  </w:rPr>
                  <w:t>3</w:t>
                </w:r>
                <w:r w:rsidR="00C2576C">
                  <w:t xml:space="preserve"> (fine dust)</w:t>
                </w:r>
              </w:sdtContent>
            </w:sdt>
          </w:p>
        </w:tc>
      </w:tr>
      <w:tr w:rsidR="00C978F0" w:rsidRPr="00DA352E" w14:paraId="4DB0597E" w14:textId="77777777" w:rsidTr="007720D5">
        <w:trPr>
          <w:gridAfter w:val="1"/>
          <w:wAfter w:w="8" w:type="pct"/>
        </w:trPr>
        <w:tc>
          <w:tcPr>
            <w:tcW w:w="4992" w:type="pct"/>
          </w:tcPr>
          <w:p w14:paraId="5471EE9F" w14:textId="77777777" w:rsidR="00C978F0" w:rsidRDefault="0042784F" w:rsidP="00AE7279">
            <w:pPr>
              <w:pStyle w:val="Tabletextprimarysource"/>
            </w:pPr>
            <w:r>
              <w:t>Additional information:</w:t>
            </w:r>
          </w:p>
          <w:p w14:paraId="31DC2FBE" w14:textId="77777777" w:rsidR="0042784F" w:rsidRDefault="0042784F" w:rsidP="00782085">
            <w:pPr>
              <w:pStyle w:val="ListBullet"/>
              <w:spacing w:before="60" w:after="60"/>
              <w:ind w:left="720"/>
              <w:contextualSpacing w:val="0"/>
            </w:pPr>
            <w:r>
              <w:t>Differing toxic effects depending on whether in the form of dust or fumes</w:t>
            </w:r>
            <w:r w:rsidR="00AB14E5">
              <w:t>; overall hazard associated with fumes expected to be greater than dust</w:t>
            </w:r>
          </w:p>
          <w:p w14:paraId="672047AA" w14:textId="77777777" w:rsidR="0042784F" w:rsidRDefault="0042784F" w:rsidP="00782085">
            <w:pPr>
              <w:pStyle w:val="ListBullet"/>
              <w:spacing w:before="60" w:after="60"/>
              <w:ind w:left="720"/>
              <w:contextualSpacing w:val="0"/>
            </w:pPr>
            <w:r>
              <w:t>Oral toxicity considered low</w:t>
            </w:r>
          </w:p>
          <w:p w14:paraId="5C6A3513" w14:textId="77777777" w:rsidR="0042784F" w:rsidRDefault="0042784F" w:rsidP="00782085">
            <w:pPr>
              <w:pStyle w:val="ListBullet"/>
              <w:spacing w:before="60" w:after="60"/>
              <w:ind w:left="720"/>
              <w:contextualSpacing w:val="0"/>
            </w:pPr>
            <w:r>
              <w:t>Based on limited data, lowest lethal inhaled concentration of 400 mg/m</w:t>
            </w:r>
            <w:r>
              <w:rPr>
                <w:vertAlign w:val="superscript"/>
              </w:rPr>
              <w:t>3</w:t>
            </w:r>
            <w:r>
              <w:t xml:space="preserve"> reported in humans</w:t>
            </w:r>
          </w:p>
          <w:p w14:paraId="03D3B408" w14:textId="3554CE4E" w:rsidR="007720D5" w:rsidRDefault="007A0F52" w:rsidP="00782085">
            <w:pPr>
              <w:pStyle w:val="ListBullet"/>
              <w:spacing w:before="60" w:after="60"/>
              <w:ind w:left="720"/>
              <w:contextualSpacing w:val="0"/>
            </w:pPr>
            <w:r>
              <w:lastRenderedPageBreak/>
              <w:t>Inhalation of fresh</w:t>
            </w:r>
            <w:r w:rsidR="007720D5">
              <w:t xml:space="preserve"> MgO </w:t>
            </w:r>
            <w:r>
              <w:t>fumes (15</w:t>
            </w:r>
            <w:r w:rsidR="00AE7279">
              <w:t>–</w:t>
            </w:r>
            <w:r>
              <w:t>29 mg/m</w:t>
            </w:r>
            <w:r>
              <w:rPr>
                <w:vertAlign w:val="superscript"/>
              </w:rPr>
              <w:t>3</w:t>
            </w:r>
            <w:r w:rsidR="003E024B">
              <w:t>) in volunteers for 5</w:t>
            </w:r>
            <w:r w:rsidR="00AE7279">
              <w:t>–</w:t>
            </w:r>
            <w:r w:rsidR="003E024B">
              <w:t>9 min</w:t>
            </w:r>
            <w:r>
              <w:t xml:space="preserve"> produced slight increase in body temperature (2</w:t>
            </w:r>
            <w:r w:rsidR="00782085">
              <w:t>/</w:t>
            </w:r>
            <w:r>
              <w:t>4 individuals).</w:t>
            </w:r>
          </w:p>
          <w:p w14:paraId="116221AE" w14:textId="34E5093F" w:rsidR="007720D5" w:rsidRDefault="007720D5" w:rsidP="007720D5">
            <w:pPr>
              <w:pStyle w:val="ListBullet"/>
              <w:numPr>
                <w:ilvl w:val="0"/>
                <w:numId w:val="8"/>
              </w:numPr>
              <w:spacing w:before="60" w:after="60"/>
              <w:contextualSpacing w:val="0"/>
            </w:pPr>
            <w:r>
              <w:t>i</w:t>
            </w:r>
            <w:r w:rsidR="007A0F52">
              <w:t>ncrease</w:t>
            </w:r>
            <w:r>
              <w:t xml:space="preserve">d WBC count </w:t>
            </w:r>
            <w:r w:rsidR="003E024B">
              <w:t>after 5</w:t>
            </w:r>
            <w:r w:rsidR="00AE7279">
              <w:t>–</w:t>
            </w:r>
            <w:r w:rsidR="003E024B">
              <w:t>6 h</w:t>
            </w:r>
          </w:p>
          <w:p w14:paraId="7182FE74" w14:textId="18351E8E" w:rsidR="007A0F52" w:rsidRDefault="003E024B" w:rsidP="007720D5">
            <w:pPr>
              <w:pStyle w:val="ListBullet"/>
              <w:numPr>
                <w:ilvl w:val="0"/>
                <w:numId w:val="8"/>
              </w:numPr>
              <w:spacing w:before="60" w:after="60"/>
              <w:contextualSpacing w:val="0"/>
            </w:pPr>
            <w:r>
              <w:t>parameters returned</w:t>
            </w:r>
            <w:r w:rsidR="007A0F52">
              <w:t xml:space="preserve"> to normal following morning</w:t>
            </w:r>
            <w:r w:rsidR="00C36ADE">
              <w:t xml:space="preserve"> (same study as ACGIH</w:t>
            </w:r>
            <w:r w:rsidR="00A9556F">
              <w:t>,</w:t>
            </w:r>
            <w:r w:rsidR="00C36ADE">
              <w:t xml:space="preserve"> 2018)</w:t>
            </w:r>
          </w:p>
          <w:p w14:paraId="74F63539" w14:textId="77777777" w:rsidR="007720D5" w:rsidRDefault="0042784F" w:rsidP="00782085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Foundry workers exposed to high </w:t>
            </w:r>
            <w:r w:rsidR="00AB14E5">
              <w:t>concentrations of fumes reported episodic high temperatures, sweating and coughing</w:t>
            </w:r>
          </w:p>
          <w:p w14:paraId="02CB6CDF" w14:textId="1E052328" w:rsidR="0042784F" w:rsidRDefault="007720D5" w:rsidP="007720D5">
            <w:pPr>
              <w:pStyle w:val="ListBullet"/>
              <w:numPr>
                <w:ilvl w:val="0"/>
                <w:numId w:val="8"/>
              </w:numPr>
              <w:spacing w:before="60" w:after="60"/>
              <w:contextualSpacing w:val="0"/>
            </w:pPr>
            <w:r>
              <w:t>a</w:t>
            </w:r>
            <w:r w:rsidR="00AB14E5">
              <w:t xml:space="preserve">fter 9 </w:t>
            </w:r>
            <w:r w:rsidR="003E024B">
              <w:t>yr</w:t>
            </w:r>
            <w:r w:rsidR="00AB14E5">
              <w:t xml:space="preserve"> exposure at the highest concentrations</w:t>
            </w:r>
            <w:r>
              <w:t>,</w:t>
            </w:r>
            <w:r w:rsidR="00AB14E5">
              <w:t xml:space="preserve"> a severe reduction in pulmonary adaptability to exertion reported (concentrations not specified).</w:t>
            </w:r>
          </w:p>
          <w:p w14:paraId="49689F34" w14:textId="3E169127" w:rsidR="00176E30" w:rsidRPr="00DA352E" w:rsidRDefault="00176E30" w:rsidP="00717042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C978F0" w:rsidRPr="00DA352E" w14:paraId="452D7679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1661B2E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C2576C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C2576C">
                  <w:t>NA</w:t>
                </w:r>
                <w:proofErr w:type="spellEnd"/>
              </w:sdtContent>
            </w:sdt>
          </w:p>
        </w:tc>
      </w:tr>
      <w:tr w:rsidR="00C978F0" w:rsidRPr="00DA352E" w14:paraId="78956EB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C26D3BA" w14:textId="74BE0777" w:rsidR="00C978F0" w:rsidRPr="00DA352E" w:rsidRDefault="00C2576C" w:rsidP="003365A5">
            <w:pPr>
              <w:pStyle w:val="Tabletextprimarysource"/>
            </w:pPr>
            <w:r>
              <w:t>No report</w:t>
            </w:r>
            <w:r w:rsidR="00AE7279">
              <w:t>.</w:t>
            </w:r>
          </w:p>
        </w:tc>
      </w:tr>
      <w:tr w:rsidR="00DA352E" w:rsidRPr="00DA352E" w14:paraId="0D308540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7C57545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C2576C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C2576C">
                  <w:t>NA</w:t>
                </w:r>
                <w:proofErr w:type="spellEnd"/>
              </w:sdtContent>
            </w:sdt>
          </w:p>
        </w:tc>
      </w:tr>
      <w:tr w:rsidR="00DA352E" w:rsidRPr="00DA352E" w14:paraId="2C91FD3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974B009" w14:textId="39314A8E" w:rsidR="00DA352E" w:rsidRPr="00DA352E" w:rsidRDefault="00C2576C" w:rsidP="003365A5">
            <w:pPr>
              <w:pStyle w:val="Tabletextprimarysource"/>
            </w:pPr>
            <w:r>
              <w:t>No report</w:t>
            </w:r>
            <w:r w:rsidR="00AE7279">
              <w:t>.</w:t>
            </w:r>
          </w:p>
        </w:tc>
      </w:tr>
      <w:tr w:rsidR="00DA352E" w:rsidRPr="00DA352E" w14:paraId="7F347D2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7AB3C48" w14:textId="34A866A2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AF6320">
                  <w:t>2004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C2576C">
                  <w:t>TWA: 10</w:t>
                </w:r>
                <w:r w:rsidR="00AF6320">
                  <w:t xml:space="preserve"> </w:t>
                </w:r>
                <w:r w:rsidR="00C2576C">
                  <w:t>mg/m</w:t>
                </w:r>
                <w:r w:rsidR="00C2576C" w:rsidRPr="00C2576C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DA352E" w:rsidRPr="00DA352E" w14:paraId="03B75D9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589C015" w14:textId="4C1F059D" w:rsidR="00C36ADE" w:rsidRDefault="00C36ADE" w:rsidP="00AE7279">
            <w:pPr>
              <w:pStyle w:val="Tabletextprimarysource"/>
            </w:pPr>
            <w:r>
              <w:t>Current TWA is considered administrative and based on inert dust</w:t>
            </w:r>
            <w:r w:rsidR="003E024B">
              <w:t>.</w:t>
            </w:r>
          </w:p>
          <w:p w14:paraId="475C6BCA" w14:textId="1E81B87C" w:rsidR="00DA352E" w:rsidRDefault="00CE01EC" w:rsidP="00AE7279">
            <w:pPr>
              <w:pStyle w:val="Tabletextprimarysource"/>
            </w:pPr>
            <w:r>
              <w:t>Additional information:</w:t>
            </w:r>
          </w:p>
          <w:p w14:paraId="3FA01107" w14:textId="77777777" w:rsidR="002F72D2" w:rsidRDefault="002F72D2" w:rsidP="00782085">
            <w:pPr>
              <w:pStyle w:val="ListBullet"/>
              <w:spacing w:before="60" w:after="60"/>
              <w:ind w:left="720"/>
              <w:contextualSpacing w:val="0"/>
            </w:pPr>
            <w:r>
              <w:t>Valid data not available from studies in humans or animals of repeated inhalation exposure or potential carcinogenicity</w:t>
            </w:r>
          </w:p>
          <w:p w14:paraId="7038D990" w14:textId="2D1E4B3E" w:rsidR="00C36ADE" w:rsidRDefault="00F71438" w:rsidP="00782085">
            <w:pPr>
              <w:pStyle w:val="ListBullet"/>
              <w:spacing w:before="60" w:after="60"/>
              <w:ind w:left="720"/>
              <w:contextualSpacing w:val="0"/>
            </w:pPr>
            <w:r>
              <w:t>Adverse effects in animals following exposure to fumes commonly included increase in leukocytes and decrease in body temperature, whereas humans experience</w:t>
            </w:r>
            <w:r w:rsidR="003E438D">
              <w:t>d increase in body temperature</w:t>
            </w:r>
          </w:p>
          <w:p w14:paraId="7ABA21EA" w14:textId="2FFBF6D3" w:rsidR="00F71438" w:rsidRDefault="00F71438" w:rsidP="00782085">
            <w:pPr>
              <w:pStyle w:val="ListBullet"/>
              <w:spacing w:before="60" w:after="60"/>
              <w:ind w:left="720"/>
              <w:contextualSpacing w:val="0"/>
            </w:pPr>
            <w:r>
              <w:t>Effects seen in animals was different to that of metal fume fever</w:t>
            </w:r>
          </w:p>
          <w:p w14:paraId="67DC5619" w14:textId="77777777" w:rsidR="00F71438" w:rsidRDefault="00F71438" w:rsidP="00782085">
            <w:pPr>
              <w:pStyle w:val="ListBullet"/>
              <w:spacing w:before="60" w:after="60"/>
              <w:ind w:left="720"/>
              <w:contextualSpacing w:val="0"/>
            </w:pPr>
            <w:r>
              <w:t>TWA of 10 mg/m</w:t>
            </w:r>
            <w:r>
              <w:rPr>
                <w:vertAlign w:val="superscript"/>
              </w:rPr>
              <w:t>3</w:t>
            </w:r>
            <w:r>
              <w:t xml:space="preserve"> considered an inert dust</w:t>
            </w:r>
            <w:r w:rsidR="00C36ADE">
              <w:t>;</w:t>
            </w:r>
            <w:r w:rsidR="003E438D">
              <w:t xml:space="preserve"> </w:t>
            </w:r>
            <w:r>
              <w:t>available data shows fumes are not inert</w:t>
            </w:r>
            <w:r w:rsidR="00C36ADE">
              <w:t>;</w:t>
            </w:r>
            <w:r>
              <w:t xml:space="preserve"> </w:t>
            </w:r>
            <w:r w:rsidR="00C36ADE">
              <w:t>v</w:t>
            </w:r>
            <w:r>
              <w:t>alue may be too high</w:t>
            </w:r>
            <w:r w:rsidR="00A84D47">
              <w:t>.</w:t>
            </w:r>
          </w:p>
          <w:p w14:paraId="51B40F2F" w14:textId="0412FF64" w:rsidR="00A9556F" w:rsidRPr="00DA352E" w:rsidRDefault="00A9556F" w:rsidP="00717042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</w:tbl>
    <w:p w14:paraId="2C8EF3DA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7"/>
        <w:gridCol w:w="423"/>
        <w:gridCol w:w="661"/>
        <w:gridCol w:w="6445"/>
      </w:tblGrid>
      <w:tr w:rsidR="004966BF" w:rsidRPr="00263255" w14:paraId="32564222" w14:textId="77777777" w:rsidTr="00CB38EC">
        <w:trPr>
          <w:cantSplit/>
          <w:trHeight w:val="393"/>
          <w:tblHeader/>
        </w:trPr>
        <w:tc>
          <w:tcPr>
            <w:tcW w:w="1497" w:type="dxa"/>
            <w:shd w:val="clear" w:color="auto" w:fill="BFBFBF" w:themeFill="background1" w:themeFillShade="BF"/>
            <w:vAlign w:val="center"/>
          </w:tcPr>
          <w:p w14:paraId="032DC54B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0DF69296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47622AC8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5" w:type="dxa"/>
            <w:shd w:val="clear" w:color="auto" w:fill="BFBFBF" w:themeFill="background1" w:themeFillShade="BF"/>
            <w:vAlign w:val="center"/>
          </w:tcPr>
          <w:p w14:paraId="1C102488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27D72A7E" w14:textId="77777777" w:rsidTr="00CB38EC">
        <w:trPr>
          <w:cantSplit/>
        </w:trPr>
        <w:tc>
          <w:tcPr>
            <w:tcW w:w="1497" w:type="dxa"/>
          </w:tcPr>
          <w:p w14:paraId="732F9A5D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3" w:type="dxa"/>
          </w:tcPr>
          <w:p w14:paraId="0441E909" w14:textId="77777777" w:rsidR="004966BF" w:rsidRPr="00CE617F" w:rsidRDefault="0020410C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A84D47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6F95AC7F" w14:textId="18B4DBE6" w:rsidR="004966BF" w:rsidRPr="004C23F4" w:rsidRDefault="003E438D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N.D.</w:t>
            </w:r>
          </w:p>
        </w:tc>
        <w:tc>
          <w:tcPr>
            <w:tcW w:w="6445" w:type="dxa"/>
          </w:tcPr>
          <w:p w14:paraId="5C07871C" w14:textId="45623962" w:rsidR="004966BF" w:rsidRPr="004C23F4" w:rsidRDefault="00A84D47" w:rsidP="00782085">
            <w:pPr>
              <w:pStyle w:val="ListBullet"/>
              <w:spacing w:before="60" w:after="60"/>
              <w:ind w:left="720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Fonts w:cs="Arial"/>
              </w:rPr>
              <w:t>I</w:t>
            </w:r>
            <w:r w:rsidRPr="00A84D47">
              <w:rPr>
                <w:rFonts w:cs="Arial"/>
              </w:rPr>
              <w:t xml:space="preserve">dentified as low concern to </w:t>
            </w:r>
            <w:r w:rsidRPr="00AE7279">
              <w:t>human</w:t>
            </w:r>
            <w:r w:rsidRPr="00A84D47">
              <w:rPr>
                <w:rFonts w:cs="Arial"/>
              </w:rPr>
              <w:t xml:space="preserve"> health</w:t>
            </w:r>
            <w:r w:rsidR="00176E30">
              <w:rPr>
                <w:rFonts w:cs="Arial"/>
              </w:rPr>
              <w:t>.</w:t>
            </w:r>
          </w:p>
        </w:tc>
      </w:tr>
    </w:tbl>
    <w:bookmarkEnd w:id="0"/>
    <w:p w14:paraId="280A4B44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00368E2C" w14:textId="77777777" w:rsidTr="00114B05">
        <w:trPr>
          <w:trHeight w:val="454"/>
          <w:tblHeader/>
        </w:trPr>
        <w:tc>
          <w:tcPr>
            <w:tcW w:w="6603" w:type="dxa"/>
            <w:vAlign w:val="center"/>
          </w:tcPr>
          <w:p w14:paraId="2DF62F65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5884F84D" w14:textId="77777777" w:rsidR="002E0D61" w:rsidRDefault="00480E3B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5C70F6BA" w14:textId="77777777" w:rsidTr="00114B05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47F8EC8D" w14:textId="77777777" w:rsidR="008A36CF" w:rsidRPr="006901A2" w:rsidRDefault="00114B05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3397AA67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74B61815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35426A59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08C6C7A8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4CE62C68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4893A42" w14:textId="77777777" w:rsidTr="00812887">
        <w:trPr>
          <w:cantSplit/>
        </w:trPr>
        <w:tc>
          <w:tcPr>
            <w:tcW w:w="3227" w:type="dxa"/>
          </w:tcPr>
          <w:p w14:paraId="4FF6A6A2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44636793" w14:textId="77777777" w:rsidR="00687890" w:rsidRPr="00DD2F9B" w:rsidRDefault="00F529C8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47FAF826" w14:textId="77777777" w:rsidTr="00812887">
        <w:trPr>
          <w:cantSplit/>
        </w:trPr>
        <w:tc>
          <w:tcPr>
            <w:tcW w:w="3227" w:type="dxa"/>
          </w:tcPr>
          <w:p w14:paraId="0F8CD73D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2929E9CC" w14:textId="77777777" w:rsidR="007925F0" w:rsidRPr="00DD2F9B" w:rsidRDefault="00F529C8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7BEFB53B" w14:textId="77777777" w:rsidTr="00812887">
        <w:trPr>
          <w:cantSplit/>
        </w:trPr>
        <w:tc>
          <w:tcPr>
            <w:tcW w:w="3227" w:type="dxa"/>
          </w:tcPr>
          <w:p w14:paraId="020E96C3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04BA58DC" w14:textId="77777777" w:rsidR="00AF483F" w:rsidRPr="00DD2F9B" w:rsidRDefault="00C2576C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3031A7F8" w14:textId="77777777" w:rsidTr="00812887">
        <w:trPr>
          <w:cantSplit/>
        </w:trPr>
        <w:tc>
          <w:tcPr>
            <w:tcW w:w="3227" w:type="dxa"/>
          </w:tcPr>
          <w:p w14:paraId="360889F1" w14:textId="77777777" w:rsidR="004079B4" w:rsidRPr="004C23F4" w:rsidRDefault="00687890" w:rsidP="00F4402E">
            <w:pPr>
              <w:pStyle w:val="Tablefont"/>
            </w:pPr>
            <w:r w:rsidRPr="004C23F4">
              <w:lastRenderedPageBreak/>
              <w:t>EU Annex</w:t>
            </w:r>
          </w:p>
        </w:tc>
        <w:tc>
          <w:tcPr>
            <w:tcW w:w="6015" w:type="dxa"/>
          </w:tcPr>
          <w:p w14:paraId="00A0B44D" w14:textId="77777777" w:rsidR="00687890" w:rsidRPr="00DD2F9B" w:rsidRDefault="00AF6320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23B8B8AD" w14:textId="77777777" w:rsidTr="00812887">
        <w:trPr>
          <w:cantSplit/>
        </w:trPr>
        <w:tc>
          <w:tcPr>
            <w:tcW w:w="3227" w:type="dxa"/>
          </w:tcPr>
          <w:p w14:paraId="7C059F32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EB93F27" w14:textId="77777777" w:rsidR="00E41A26" w:rsidRPr="00DD2F9B" w:rsidRDefault="00AF6320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6033F0C" w14:textId="77777777" w:rsidTr="00812887">
        <w:trPr>
          <w:cantSplit/>
        </w:trPr>
        <w:tc>
          <w:tcPr>
            <w:tcW w:w="3227" w:type="dxa"/>
          </w:tcPr>
          <w:p w14:paraId="009181EB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6931C945" w14:textId="77777777" w:rsidR="002E0D61" w:rsidRPr="00DD2F9B" w:rsidRDefault="007A35CE" w:rsidP="00DD2F9B">
            <w:pPr>
              <w:pStyle w:val="Tablefont"/>
            </w:pPr>
            <w:r w:rsidRPr="007A35CE">
              <w:t>Carcinogenicity – A4</w:t>
            </w:r>
          </w:p>
        </w:tc>
      </w:tr>
      <w:tr w:rsidR="002E0D61" w:rsidRPr="004C23F4" w14:paraId="2F060B24" w14:textId="77777777" w:rsidTr="00812887">
        <w:trPr>
          <w:cantSplit/>
        </w:trPr>
        <w:tc>
          <w:tcPr>
            <w:tcW w:w="3227" w:type="dxa"/>
          </w:tcPr>
          <w:p w14:paraId="359692A4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6C846AE7" w14:textId="77777777" w:rsidR="002E0D61" w:rsidRPr="00DD2F9B" w:rsidRDefault="00C2576C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ABFC552" w14:textId="77777777" w:rsidTr="00812887">
        <w:trPr>
          <w:cantSplit/>
        </w:trPr>
        <w:tc>
          <w:tcPr>
            <w:tcW w:w="3227" w:type="dxa"/>
          </w:tcPr>
          <w:p w14:paraId="15E63B39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C7AB6B3" w14:textId="77777777" w:rsidR="002E0D61" w:rsidRPr="00DD2F9B" w:rsidRDefault="00C2576C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B5472EE" w14:textId="77777777" w:rsidTr="00812887">
        <w:trPr>
          <w:cantSplit/>
        </w:trPr>
        <w:tc>
          <w:tcPr>
            <w:tcW w:w="3227" w:type="dxa"/>
          </w:tcPr>
          <w:p w14:paraId="3A01C1E4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70781F44" w14:textId="77777777" w:rsidR="002E0D61" w:rsidRPr="00DD2F9B" w:rsidRDefault="00AF6320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63458047" w14:textId="77777777" w:rsidTr="00812887">
        <w:trPr>
          <w:cantSplit/>
        </w:trPr>
        <w:tc>
          <w:tcPr>
            <w:tcW w:w="3227" w:type="dxa"/>
          </w:tcPr>
          <w:p w14:paraId="01C9FECA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3D403531" w14:textId="77777777" w:rsidR="00386093" w:rsidRPr="00DD2F9B" w:rsidRDefault="00AF6320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4BF69A4A" w14:textId="77777777" w:rsidTr="00812887">
        <w:trPr>
          <w:cantSplit/>
        </w:trPr>
        <w:tc>
          <w:tcPr>
            <w:tcW w:w="3227" w:type="dxa"/>
          </w:tcPr>
          <w:p w14:paraId="7C570EB6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32DC640A" w14:textId="77777777" w:rsidR="00386093" w:rsidRPr="00DD2F9B" w:rsidRDefault="00AF6320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4E89EDBC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1C7231DF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074C3F06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63EFF30E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7AF92185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131A81FA" w14:textId="144608C9" w:rsidR="00932DCE" w:rsidRPr="004C23F4" w:rsidRDefault="00114B05" w:rsidP="00F9496B">
            <w:pPr>
              <w:pStyle w:val="Tablefont"/>
            </w:pPr>
            <w:r w:rsidRPr="00114B05">
              <w:t>Insufficient data to assign a skin notation</w:t>
            </w:r>
            <w:r w:rsidR="007720D5">
              <w:t>.</w:t>
            </w:r>
          </w:p>
        </w:tc>
      </w:tr>
    </w:tbl>
    <w:bookmarkEnd w:id="3"/>
    <w:p w14:paraId="4287D304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76F94B0A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6FB72946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60B7670D" w14:textId="77777777" w:rsidR="00EB3D1B" w:rsidRDefault="007A35CE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54C0BF5C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590D2AFB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17A08AA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1AB05E0" w14:textId="77777777" w:rsidR="001B79E5" w:rsidRDefault="00C2576C" w:rsidP="001B79E5">
                <w:pPr>
                  <w:pStyle w:val="Tablefont"/>
                </w:pPr>
                <w:r>
                  <w:t>40.31</w:t>
                </w:r>
              </w:p>
            </w:tc>
          </w:sdtContent>
        </w:sdt>
      </w:tr>
      <w:tr w:rsidR="00A31D99" w:rsidRPr="004C23F4" w14:paraId="11549B50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936C4DC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752B186A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5A5D5CD1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5D708D4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57A92C4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2AFCE891" w14:textId="77777777" w:rsidTr="00EA6243">
        <w:trPr>
          <w:cantSplit/>
        </w:trPr>
        <w:tc>
          <w:tcPr>
            <w:tcW w:w="4077" w:type="dxa"/>
            <w:vAlign w:val="center"/>
          </w:tcPr>
          <w:p w14:paraId="4ABEA22E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E6099E7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200B974" w14:textId="77777777" w:rsidTr="00EA6243">
        <w:trPr>
          <w:cantSplit/>
        </w:trPr>
        <w:tc>
          <w:tcPr>
            <w:tcW w:w="4077" w:type="dxa"/>
            <w:vAlign w:val="center"/>
          </w:tcPr>
          <w:p w14:paraId="4372DE9D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8D30201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798A5C96" w14:textId="77777777" w:rsidTr="00EA6243">
        <w:trPr>
          <w:cantSplit/>
        </w:trPr>
        <w:tc>
          <w:tcPr>
            <w:tcW w:w="4077" w:type="dxa"/>
            <w:vAlign w:val="center"/>
          </w:tcPr>
          <w:p w14:paraId="30D76FDB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53EB00CB" w14:textId="77777777" w:rsidR="00E06F40" w:rsidRPr="00A006A0" w:rsidRDefault="0020410C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4C0ED576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6B1F2854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701FEA27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1366D5A7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1AF98EC1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255B155B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324EFAD5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72E63FA0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623E234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29A988C8" w14:textId="77777777" w:rsidR="007A35CE" w:rsidRDefault="007A35CE" w:rsidP="007A35CE">
      <w:pPr>
        <w:rPr>
          <w:b/>
        </w:rPr>
      </w:pPr>
      <w:r w:rsidRPr="002022B6">
        <w:lastRenderedPageBreak/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(1991) Magnesium oxide – MAK value documentation.</w:t>
      </w:r>
    </w:p>
    <w:p w14:paraId="67F13AB8" w14:textId="77777777" w:rsidR="007A35CE" w:rsidRDefault="007A35CE" w:rsidP="007A35CE">
      <w:r w:rsidRPr="002022B6">
        <w:t>Health Council of the Netherlands</w:t>
      </w:r>
      <w:r>
        <w:t xml:space="preserve"> (HCOTN) (2004) </w:t>
      </w:r>
      <w:r w:rsidRPr="007A35CE">
        <w:t>Magnesium oxide (fume)</w:t>
      </w:r>
      <w:r w:rsidRPr="005F7416">
        <w:t xml:space="preserve">. </w:t>
      </w:r>
      <w:r w:rsidRPr="007A35CE">
        <w:t>Health-based Reassessment of Administrative Occupational Exposure Limits</w:t>
      </w:r>
      <w:r w:rsidRPr="005F7416">
        <w:t xml:space="preserve">. The Hague: Health Council of the Netherlands; publication no. </w:t>
      </w:r>
      <w:r>
        <w:t>2000/15OSH/123.</w:t>
      </w:r>
    </w:p>
    <w:p w14:paraId="082888B1" w14:textId="13A79991" w:rsidR="007A35CE" w:rsidRPr="00351FE0" w:rsidRDefault="00573A79" w:rsidP="00084859">
      <w:r w:rsidRPr="00573A79">
        <w:t>National Industrial Chemicals Notification and Assessment Scheme (NICNAS)</w:t>
      </w:r>
      <w:r>
        <w:t xml:space="preserve"> </w:t>
      </w:r>
      <w:r w:rsidR="003E438D">
        <w:t xml:space="preserve">(N.D) </w:t>
      </w:r>
      <w:r>
        <w:t>Magnesium oxide (MgO)</w:t>
      </w:r>
      <w:r w:rsidRPr="00573A79">
        <w:t xml:space="preserve">: Human health </w:t>
      </w:r>
      <w:r>
        <w:t>tier I</w:t>
      </w:r>
      <w:r w:rsidRPr="00573A79">
        <w:t xml:space="preserve"> assessment</w:t>
      </w:r>
      <w:r>
        <w:t>.</w:t>
      </w:r>
    </w:p>
    <w:sectPr w:rsidR="007A35CE" w:rsidRPr="00351FE0" w:rsidSect="00B87D4C">
      <w:headerReference w:type="default" r:id="rId18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727A5B" w14:textId="77777777" w:rsidR="002F282C" w:rsidRDefault="002F282C" w:rsidP="00F43AD5">
      <w:pPr>
        <w:spacing w:after="0" w:line="240" w:lineRule="auto"/>
      </w:pPr>
      <w:r>
        <w:separator/>
      </w:r>
    </w:p>
  </w:endnote>
  <w:endnote w:type="continuationSeparator" w:id="0">
    <w:p w14:paraId="53054370" w14:textId="77777777" w:rsidR="002F282C" w:rsidRDefault="002F282C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C1215E" w14:textId="77777777" w:rsidR="000F7512" w:rsidRDefault="000F751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7D671E88" w14:textId="77777777" w:rsidR="008A36CF" w:rsidRDefault="00BE036E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Magnesium oxide (fume)</w:t>
        </w:r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1309-48-4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780B3B51" w14:textId="6196D202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0F7512">
          <w:rPr>
            <w:noProof/>
            <w:sz w:val="18"/>
            <w:szCs w:val="18"/>
          </w:rPr>
          <w:t>5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6F45C5" w14:textId="77777777" w:rsidR="000F7512" w:rsidRDefault="000F75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DE6597" w14:textId="77777777" w:rsidR="002F282C" w:rsidRDefault="002F282C" w:rsidP="00F43AD5">
      <w:pPr>
        <w:spacing w:after="0" w:line="240" w:lineRule="auto"/>
      </w:pPr>
      <w:r>
        <w:separator/>
      </w:r>
    </w:p>
  </w:footnote>
  <w:footnote w:type="continuationSeparator" w:id="0">
    <w:p w14:paraId="1E749068" w14:textId="77777777" w:rsidR="002F282C" w:rsidRDefault="002F282C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80BE72" w14:textId="77777777" w:rsidR="000F7512" w:rsidRDefault="000F751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626344" w14:textId="38FB330B" w:rsidR="000F7512" w:rsidRDefault="000F7512" w:rsidP="000F7512">
    <w:pPr>
      <w:pStyle w:val="Header"/>
      <w:jc w:val="right"/>
    </w:pPr>
    <w:r>
      <w:rPr>
        <w:noProof/>
        <w:lang w:eastAsia="en-AU"/>
      </w:rPr>
      <w:drawing>
        <wp:inline distT="0" distB="0" distL="0" distR="0" wp14:anchorId="7B3ECD99" wp14:editId="091D8D75">
          <wp:extent cx="2941320" cy="586740"/>
          <wp:effectExtent l="0" t="0" r="0" b="381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8D51E43" w14:textId="15C7BDCC" w:rsidR="008A36CF" w:rsidRPr="000F7512" w:rsidRDefault="008A36CF" w:rsidP="000F751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A5BEFF" w14:textId="77777777" w:rsidR="000F7512" w:rsidRDefault="000F7512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D79C8E" w14:textId="3349DE98" w:rsidR="000F7512" w:rsidRDefault="000F7512" w:rsidP="000F7512">
    <w:pPr>
      <w:pStyle w:val="Header"/>
      <w:jc w:val="right"/>
    </w:pPr>
    <w:r>
      <w:rPr>
        <w:noProof/>
        <w:lang w:eastAsia="en-AU"/>
      </w:rPr>
      <w:drawing>
        <wp:inline distT="0" distB="0" distL="0" distR="0" wp14:anchorId="73858499" wp14:editId="6E934AB1">
          <wp:extent cx="2941320" cy="586740"/>
          <wp:effectExtent l="0" t="0" r="0" b="381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D8FC3C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CB6182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4A62AC5"/>
    <w:multiLevelType w:val="hybridMultilevel"/>
    <w:tmpl w:val="20C0D2DE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55389677">
    <w:abstractNumId w:val="0"/>
  </w:num>
  <w:num w:numId="2" w16cid:durableId="828600697">
    <w:abstractNumId w:val="0"/>
  </w:num>
  <w:num w:numId="3" w16cid:durableId="46683684">
    <w:abstractNumId w:val="0"/>
  </w:num>
  <w:num w:numId="4" w16cid:durableId="1639454525">
    <w:abstractNumId w:val="0"/>
  </w:num>
  <w:num w:numId="5" w16cid:durableId="99182619">
    <w:abstractNumId w:val="0"/>
  </w:num>
  <w:num w:numId="6" w16cid:durableId="520625104">
    <w:abstractNumId w:val="0"/>
  </w:num>
  <w:num w:numId="7" w16cid:durableId="568999135">
    <w:abstractNumId w:val="0"/>
  </w:num>
  <w:num w:numId="8" w16cid:durableId="1183931716">
    <w:abstractNumId w:val="1"/>
  </w:num>
  <w:num w:numId="9" w16cid:durableId="379592237">
    <w:abstractNumId w:val="0"/>
  </w:num>
  <w:num w:numId="10" w16cid:durableId="1411345232">
    <w:abstractNumId w:val="0"/>
  </w:num>
  <w:num w:numId="11" w16cid:durableId="1115248522">
    <w:abstractNumId w:val="0"/>
  </w:num>
  <w:num w:numId="12" w16cid:durableId="2407964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819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0CB9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8504A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C4E12"/>
    <w:rsid w:val="000D291C"/>
    <w:rsid w:val="000E3DBD"/>
    <w:rsid w:val="000E5A54"/>
    <w:rsid w:val="000E63D3"/>
    <w:rsid w:val="000E67CF"/>
    <w:rsid w:val="000F7512"/>
    <w:rsid w:val="0010461E"/>
    <w:rsid w:val="00106FAA"/>
    <w:rsid w:val="00113443"/>
    <w:rsid w:val="00114B05"/>
    <w:rsid w:val="001269A7"/>
    <w:rsid w:val="00131092"/>
    <w:rsid w:val="00140E6A"/>
    <w:rsid w:val="00146545"/>
    <w:rsid w:val="00146B75"/>
    <w:rsid w:val="0015266D"/>
    <w:rsid w:val="0015288A"/>
    <w:rsid w:val="00160F47"/>
    <w:rsid w:val="00175028"/>
    <w:rsid w:val="00176E30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C6A58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10C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23D8"/>
    <w:rsid w:val="0025734A"/>
    <w:rsid w:val="0026097E"/>
    <w:rsid w:val="00263255"/>
    <w:rsid w:val="00276494"/>
    <w:rsid w:val="00277B0C"/>
    <w:rsid w:val="002B1A2C"/>
    <w:rsid w:val="002C34F2"/>
    <w:rsid w:val="002C58FF"/>
    <w:rsid w:val="002C7AFE"/>
    <w:rsid w:val="002D05D2"/>
    <w:rsid w:val="002D2E02"/>
    <w:rsid w:val="002E0D61"/>
    <w:rsid w:val="002E32D9"/>
    <w:rsid w:val="002E4C7B"/>
    <w:rsid w:val="002F282C"/>
    <w:rsid w:val="002F72D2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24B"/>
    <w:rsid w:val="003E0807"/>
    <w:rsid w:val="003E438D"/>
    <w:rsid w:val="003E51FB"/>
    <w:rsid w:val="003E6B39"/>
    <w:rsid w:val="003F07E1"/>
    <w:rsid w:val="003F49AD"/>
    <w:rsid w:val="004030BC"/>
    <w:rsid w:val="00403F7D"/>
    <w:rsid w:val="00406785"/>
    <w:rsid w:val="004079B4"/>
    <w:rsid w:val="00417A56"/>
    <w:rsid w:val="00420957"/>
    <w:rsid w:val="00422A10"/>
    <w:rsid w:val="0042784F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0E3B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6112E"/>
    <w:rsid w:val="00573A79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23B1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3A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5D05"/>
    <w:rsid w:val="00701053"/>
    <w:rsid w:val="00701507"/>
    <w:rsid w:val="00714021"/>
    <w:rsid w:val="00716A0F"/>
    <w:rsid w:val="00717042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20D5"/>
    <w:rsid w:val="007770F1"/>
    <w:rsid w:val="00782085"/>
    <w:rsid w:val="00783FB1"/>
    <w:rsid w:val="00785CDD"/>
    <w:rsid w:val="00791847"/>
    <w:rsid w:val="007925F0"/>
    <w:rsid w:val="007939B3"/>
    <w:rsid w:val="0079509C"/>
    <w:rsid w:val="00796708"/>
    <w:rsid w:val="007A0F52"/>
    <w:rsid w:val="007A35CE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3C26"/>
    <w:rsid w:val="00857A8A"/>
    <w:rsid w:val="008630EE"/>
    <w:rsid w:val="008649F8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8F6C39"/>
    <w:rsid w:val="00900951"/>
    <w:rsid w:val="009118A6"/>
    <w:rsid w:val="00916909"/>
    <w:rsid w:val="00916EC0"/>
    <w:rsid w:val="00920467"/>
    <w:rsid w:val="00921DE7"/>
    <w:rsid w:val="0093041A"/>
    <w:rsid w:val="00930714"/>
    <w:rsid w:val="00931106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6F6B"/>
    <w:rsid w:val="00977524"/>
    <w:rsid w:val="00977E88"/>
    <w:rsid w:val="00984920"/>
    <w:rsid w:val="0099303A"/>
    <w:rsid w:val="009971C2"/>
    <w:rsid w:val="009A1254"/>
    <w:rsid w:val="009A792F"/>
    <w:rsid w:val="009B2FF2"/>
    <w:rsid w:val="009B380C"/>
    <w:rsid w:val="009B4843"/>
    <w:rsid w:val="009B6543"/>
    <w:rsid w:val="009C199D"/>
    <w:rsid w:val="009C278F"/>
    <w:rsid w:val="009C2B94"/>
    <w:rsid w:val="009C5874"/>
    <w:rsid w:val="009C76AF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9F1026"/>
    <w:rsid w:val="00A01D0C"/>
    <w:rsid w:val="00A0643F"/>
    <w:rsid w:val="00A067EE"/>
    <w:rsid w:val="00A10FCE"/>
    <w:rsid w:val="00A139ED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4D47"/>
    <w:rsid w:val="00A8672F"/>
    <w:rsid w:val="00A93057"/>
    <w:rsid w:val="00A9556F"/>
    <w:rsid w:val="00A968B0"/>
    <w:rsid w:val="00AB14E5"/>
    <w:rsid w:val="00AB2672"/>
    <w:rsid w:val="00AB2817"/>
    <w:rsid w:val="00AB43C4"/>
    <w:rsid w:val="00AC32E7"/>
    <w:rsid w:val="00AC3A9F"/>
    <w:rsid w:val="00AC6D2F"/>
    <w:rsid w:val="00AE2745"/>
    <w:rsid w:val="00AE2F64"/>
    <w:rsid w:val="00AE7279"/>
    <w:rsid w:val="00AF42CB"/>
    <w:rsid w:val="00AF483F"/>
    <w:rsid w:val="00AF5E07"/>
    <w:rsid w:val="00AF5F06"/>
    <w:rsid w:val="00AF6320"/>
    <w:rsid w:val="00B00A25"/>
    <w:rsid w:val="00B1422A"/>
    <w:rsid w:val="00B1765C"/>
    <w:rsid w:val="00B213C4"/>
    <w:rsid w:val="00B40C60"/>
    <w:rsid w:val="00B479A9"/>
    <w:rsid w:val="00B52EDF"/>
    <w:rsid w:val="00B545E5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E036E"/>
    <w:rsid w:val="00BF2174"/>
    <w:rsid w:val="00BF2406"/>
    <w:rsid w:val="00C06E43"/>
    <w:rsid w:val="00C16315"/>
    <w:rsid w:val="00C2576C"/>
    <w:rsid w:val="00C3091E"/>
    <w:rsid w:val="00C36ADE"/>
    <w:rsid w:val="00C40FF1"/>
    <w:rsid w:val="00C419E2"/>
    <w:rsid w:val="00C5020E"/>
    <w:rsid w:val="00C57452"/>
    <w:rsid w:val="00C61EDF"/>
    <w:rsid w:val="00C6239D"/>
    <w:rsid w:val="00C6594B"/>
    <w:rsid w:val="00C65A93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38EC"/>
    <w:rsid w:val="00CB5C48"/>
    <w:rsid w:val="00CB6BC1"/>
    <w:rsid w:val="00CB6CB8"/>
    <w:rsid w:val="00CC02F4"/>
    <w:rsid w:val="00CC1A68"/>
    <w:rsid w:val="00CC2123"/>
    <w:rsid w:val="00CD2BFD"/>
    <w:rsid w:val="00CD75D8"/>
    <w:rsid w:val="00CE01EC"/>
    <w:rsid w:val="00CE5AD6"/>
    <w:rsid w:val="00CE617F"/>
    <w:rsid w:val="00CE78EF"/>
    <w:rsid w:val="00D048F7"/>
    <w:rsid w:val="00D0517E"/>
    <w:rsid w:val="00D140FC"/>
    <w:rsid w:val="00D17EA2"/>
    <w:rsid w:val="00D2168E"/>
    <w:rsid w:val="00D21D8C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3587"/>
    <w:rsid w:val="00E26A07"/>
    <w:rsid w:val="00E32595"/>
    <w:rsid w:val="00E37CFD"/>
    <w:rsid w:val="00E41A26"/>
    <w:rsid w:val="00E46BCB"/>
    <w:rsid w:val="00E51CAF"/>
    <w:rsid w:val="00E60F04"/>
    <w:rsid w:val="00E62AAC"/>
    <w:rsid w:val="00E670BF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E0426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29C8"/>
    <w:rsid w:val="00F56DD0"/>
    <w:rsid w:val="00F6491C"/>
    <w:rsid w:val="00F67BBB"/>
    <w:rsid w:val="00F71438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5"/>
    <o:shapelayout v:ext="edit">
      <o:idmap v:ext="edit" data="1"/>
    </o:shapelayout>
  </w:shapeDefaults>
  <w:decimalSymbol w:val="."/>
  <w:listSeparator w:val=","/>
  <w14:docId w14:val="76306B15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7A35CE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853C26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216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168E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168E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16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168E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56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5947E578C86342BDB734856515480A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FEDC62-9F46-4A67-B756-AC6156DFBBF9}"/>
      </w:docPartPr>
      <w:docPartBody>
        <w:p w:rsidR="001F677A" w:rsidRDefault="003325B6" w:rsidP="003325B6">
          <w:pPr>
            <w:pStyle w:val="5947E578C86342BDB734856515480AB5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F677A"/>
    <w:rsid w:val="003325B6"/>
    <w:rsid w:val="004A6E8E"/>
    <w:rsid w:val="0056112E"/>
    <w:rsid w:val="006A0B62"/>
    <w:rsid w:val="009F1026"/>
    <w:rsid w:val="00D21A9F"/>
    <w:rsid w:val="00F86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325B6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5947E578C86342BDB734856515480AB5">
    <w:name w:val="5947E578C86342BDB734856515480AB5"/>
    <w:rsid w:val="003325B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6FD3B4-E5FF-44D0-A85D-1656AEB7AF7B}">
  <ds:schemaRefs>
    <ds:schemaRef ds:uri="http://purl.org/dc/terms/"/>
    <ds:schemaRef ds:uri="a0509f21-ed56-4150-9955-96be669e5f2d"/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1c567317-0c4d-4a62-8516-c22afd1b5354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546808C-5ADC-4987-A4A3-3E68C82D4C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45633F6-E9E7-49A3-9AC8-155589E9C31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5</Pages>
  <Words>1050</Words>
  <Characters>5991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7027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KITE,Jonathon</cp:lastModifiedBy>
  <cp:revision>16</cp:revision>
  <cp:lastPrinted>2018-10-22T22:41:00Z</cp:lastPrinted>
  <dcterms:created xsi:type="dcterms:W3CDTF">2019-10-24T21:50:00Z</dcterms:created>
  <dcterms:modified xsi:type="dcterms:W3CDTF">2026-01-08T23:38:00Z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2025-12-23T03:55:53Z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687e4769-0c2a-4e52-9a4a-c379f0799cf1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