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9DAFBB5" w14:textId="77777777" w:rsidR="00BD499F" w:rsidRPr="004C23F4" w:rsidRDefault="0036404A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</w:t>
          </w:r>
          <w:r w:rsidR="00C741BF">
            <w:rPr>
              <w:rFonts w:ascii="Arial" w:hAnsi="Arial" w:cs="Arial"/>
            </w:rPr>
            <w:t>sopropyl glycidyl ether</w:t>
          </w:r>
          <w:r w:rsidR="00E4739E">
            <w:rPr>
              <w:rFonts w:ascii="Arial" w:hAnsi="Arial" w:cs="Arial"/>
            </w:rPr>
            <w:t xml:space="preserve"> (IGE)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4"/>
        <w:gridCol w:w="5062"/>
      </w:tblGrid>
      <w:tr w:rsidR="00F43AD5" w:rsidRPr="004C23F4" w14:paraId="407BDD56" w14:textId="77777777" w:rsidTr="00B76A41">
        <w:trPr>
          <w:cantSplit/>
          <w:tblHeader/>
        </w:trPr>
        <w:tc>
          <w:tcPr>
            <w:tcW w:w="4077" w:type="dxa"/>
          </w:tcPr>
          <w:p w14:paraId="70F7210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3BACDF4" w14:textId="77777777" w:rsidR="00F43AD5" w:rsidRPr="00717D45" w:rsidRDefault="00C741BF" w:rsidP="00B76A41">
            <w:pPr>
              <w:pStyle w:val="Tablefont"/>
            </w:pPr>
            <w:r w:rsidRPr="00C741BF">
              <w:t>4016-14-2</w:t>
            </w:r>
          </w:p>
        </w:tc>
      </w:tr>
      <w:tr w:rsidR="00F43AD5" w:rsidRPr="004C23F4" w14:paraId="16401474" w14:textId="77777777" w:rsidTr="00B76A41">
        <w:trPr>
          <w:cantSplit/>
        </w:trPr>
        <w:tc>
          <w:tcPr>
            <w:tcW w:w="4077" w:type="dxa"/>
          </w:tcPr>
          <w:p w14:paraId="6AE701F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B430C6A" w14:textId="77777777" w:rsidR="00F43AD5" w:rsidRPr="00C741BF" w:rsidRDefault="00C741BF" w:rsidP="00C741BF">
            <w:pPr>
              <w:pStyle w:val="Tablefont"/>
            </w:pPr>
            <w:r w:rsidRPr="00C741BF">
              <w:t>1,2-epoxy-3-isopropoxypropane, glycidyl isopropyl ether, IGE, (</w:t>
            </w:r>
            <w:proofErr w:type="spellStart"/>
            <w:r w:rsidRPr="00C741BF">
              <w:t>isopropoxymethyl</w:t>
            </w:r>
            <w:proofErr w:type="spellEnd"/>
            <w:r w:rsidRPr="00C741BF">
              <w:t>)oxirane, 3-isopropyloxypropylene oxide</w:t>
            </w:r>
            <w:r w:rsidR="00A907D8">
              <w:t xml:space="preserve">, </w:t>
            </w:r>
            <w:r w:rsidR="00A907D8" w:rsidRPr="00A907D8">
              <w:t>2,3-Epoxypropyl isopropyl ether</w:t>
            </w:r>
          </w:p>
        </w:tc>
      </w:tr>
      <w:tr w:rsidR="00F43AD5" w:rsidRPr="004C23F4" w14:paraId="6A4DF2CB" w14:textId="77777777" w:rsidTr="00B76A41">
        <w:trPr>
          <w:cantSplit/>
        </w:trPr>
        <w:tc>
          <w:tcPr>
            <w:tcW w:w="4077" w:type="dxa"/>
          </w:tcPr>
          <w:p w14:paraId="335D66B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13ADD71" w14:textId="77777777" w:rsidR="00F43AD5" w:rsidRPr="00717D45" w:rsidRDefault="00C741BF" w:rsidP="00B76A41">
            <w:pPr>
              <w:pStyle w:val="Tablefont"/>
            </w:pPr>
            <w:r>
              <w:t>C</w:t>
            </w:r>
            <w:r w:rsidRPr="00C741BF">
              <w:rPr>
                <w:vertAlign w:val="subscript"/>
              </w:rPr>
              <w:t>6</w:t>
            </w:r>
            <w:r>
              <w:t>H</w:t>
            </w:r>
            <w:r w:rsidRPr="00C741BF">
              <w:rPr>
                <w:vertAlign w:val="subscript"/>
              </w:rPr>
              <w:t>12</w:t>
            </w:r>
            <w:r>
              <w:t>O</w:t>
            </w:r>
            <w:r w:rsidRPr="00C741BF">
              <w:rPr>
                <w:vertAlign w:val="subscript"/>
              </w:rPr>
              <w:t>2</w:t>
            </w:r>
          </w:p>
        </w:tc>
      </w:tr>
      <w:tr w:rsidR="00F43AD5" w:rsidRPr="004C23F4" w14:paraId="7DE3B0E7" w14:textId="77777777" w:rsidTr="00B76A41">
        <w:trPr>
          <w:cantSplit/>
        </w:trPr>
        <w:tc>
          <w:tcPr>
            <w:tcW w:w="4077" w:type="dxa"/>
          </w:tcPr>
          <w:p w14:paraId="4B683F2B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94C4443" w14:textId="77777777" w:rsidR="00F43AD5" w:rsidRPr="00B40C60" w:rsidRDefault="00C741BF" w:rsidP="00B76A41">
            <w:pPr>
              <w:pStyle w:val="Tablerowheading"/>
              <w:rPr>
                <w:b w:val="0"/>
              </w:rPr>
            </w:pPr>
            <w:r w:rsidRPr="00C741BF">
              <w:rPr>
                <w:b w:val="0"/>
              </w:rPr>
              <w:t>—</w:t>
            </w:r>
          </w:p>
        </w:tc>
      </w:tr>
    </w:tbl>
    <w:p w14:paraId="230683C8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B5A02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1"/>
        <w:gridCol w:w="5015"/>
      </w:tblGrid>
      <w:tr w:rsidR="00C741BF" w:rsidRPr="004C23F4" w14:paraId="6306681D" w14:textId="77777777" w:rsidTr="00C741BF">
        <w:trPr>
          <w:cantSplit/>
          <w:tblHeader/>
        </w:trPr>
        <w:tc>
          <w:tcPr>
            <w:tcW w:w="4011" w:type="dxa"/>
            <w:vAlign w:val="center"/>
          </w:tcPr>
          <w:p w14:paraId="4BFA5EDB" w14:textId="77777777" w:rsidR="00C741BF" w:rsidRPr="002C58FF" w:rsidRDefault="00C741BF" w:rsidP="00C741BF">
            <w:pPr>
              <w:pStyle w:val="Tablerowright"/>
            </w:pPr>
            <w:r>
              <w:t>TWA:</w:t>
            </w:r>
          </w:p>
        </w:tc>
        <w:tc>
          <w:tcPr>
            <w:tcW w:w="5015" w:type="dxa"/>
          </w:tcPr>
          <w:p w14:paraId="5F15D12C" w14:textId="119A1B8E" w:rsidR="00C741BF" w:rsidRPr="00C741BF" w:rsidRDefault="008B5A02" w:rsidP="0028359D">
            <w:pPr>
              <w:pStyle w:val="Tablerowheading"/>
            </w:pPr>
            <w:r>
              <w:t>5</w:t>
            </w:r>
            <w:r w:rsidR="00296A21">
              <w:t>0</w:t>
            </w:r>
            <w:r>
              <w:t xml:space="preserve"> ppm (2</w:t>
            </w:r>
            <w:r w:rsidR="0028359D">
              <w:t>38</w:t>
            </w:r>
            <w:r>
              <w:t xml:space="preserve"> mg/m</w:t>
            </w:r>
            <w:r w:rsidRPr="00E4739E">
              <w:rPr>
                <w:vertAlign w:val="superscript"/>
              </w:rPr>
              <w:t>3</w:t>
            </w:r>
            <w:r>
              <w:t xml:space="preserve">) </w:t>
            </w:r>
          </w:p>
        </w:tc>
      </w:tr>
      <w:tr w:rsidR="00C741BF" w:rsidRPr="004C23F4" w14:paraId="6441C6DD" w14:textId="77777777" w:rsidTr="00C741BF">
        <w:trPr>
          <w:cantSplit/>
        </w:trPr>
        <w:tc>
          <w:tcPr>
            <w:tcW w:w="4011" w:type="dxa"/>
            <w:vAlign w:val="center"/>
          </w:tcPr>
          <w:p w14:paraId="07D5064B" w14:textId="77777777" w:rsidR="00C741BF" w:rsidRPr="002C58FF" w:rsidRDefault="00C741BF" w:rsidP="00C741BF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5" w:type="dxa"/>
          </w:tcPr>
          <w:p w14:paraId="125F11FD" w14:textId="73F20BB6" w:rsidR="00C741BF" w:rsidRPr="00C741BF" w:rsidRDefault="00FA59DB" w:rsidP="0028359D">
            <w:pPr>
              <w:pStyle w:val="Tablerowheading"/>
            </w:pPr>
            <w:r>
              <w:t>75 ppm (3</w:t>
            </w:r>
            <w:r w:rsidR="0028359D">
              <w:t>56 mg/m</w:t>
            </w:r>
            <w:r w:rsidR="0028359D" w:rsidRPr="00E4739E">
              <w:rPr>
                <w:vertAlign w:val="superscript"/>
              </w:rPr>
              <w:t>3</w:t>
            </w:r>
            <w:r w:rsidR="0028359D">
              <w:t xml:space="preserve">) </w:t>
            </w:r>
          </w:p>
        </w:tc>
      </w:tr>
      <w:tr w:rsidR="00C741BF" w:rsidRPr="004C23F4" w14:paraId="0A29CE02" w14:textId="77777777" w:rsidTr="00C741BF">
        <w:trPr>
          <w:cantSplit/>
        </w:trPr>
        <w:tc>
          <w:tcPr>
            <w:tcW w:w="4011" w:type="dxa"/>
            <w:vAlign w:val="center"/>
          </w:tcPr>
          <w:p w14:paraId="4A76EFB7" w14:textId="77777777" w:rsidR="00C741BF" w:rsidRPr="002C58FF" w:rsidRDefault="00C741BF" w:rsidP="00C741BF">
            <w:pPr>
              <w:pStyle w:val="Tablerowright"/>
            </w:pPr>
            <w:r>
              <w:t>Peak limitation:</w:t>
            </w:r>
          </w:p>
        </w:tc>
        <w:tc>
          <w:tcPr>
            <w:tcW w:w="5015" w:type="dxa"/>
          </w:tcPr>
          <w:p w14:paraId="4FD71ABE" w14:textId="77777777" w:rsidR="00C741BF" w:rsidRPr="00C741BF" w:rsidRDefault="00C741BF" w:rsidP="00C741BF">
            <w:pPr>
              <w:pStyle w:val="Tablerowheading"/>
            </w:pPr>
            <w:r w:rsidRPr="00C741BF">
              <w:t>—</w:t>
            </w:r>
          </w:p>
        </w:tc>
      </w:tr>
      <w:tr w:rsidR="00C741BF" w:rsidRPr="004C23F4" w14:paraId="5B4FF4A7" w14:textId="77777777" w:rsidTr="00C741BF">
        <w:trPr>
          <w:cantSplit/>
        </w:trPr>
        <w:tc>
          <w:tcPr>
            <w:tcW w:w="4011" w:type="dxa"/>
          </w:tcPr>
          <w:p w14:paraId="00D0D42F" w14:textId="77777777" w:rsidR="00C741BF" w:rsidRPr="002C58FF" w:rsidRDefault="00C741BF" w:rsidP="00C741BF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5" w:type="dxa"/>
          </w:tcPr>
          <w:p w14:paraId="6668BE0D" w14:textId="77777777" w:rsidR="00C741BF" w:rsidRPr="00C741BF" w:rsidRDefault="00917EC1" w:rsidP="00C741BF">
            <w:pPr>
              <w:pStyle w:val="Tablerowheading"/>
            </w:pPr>
            <w:r>
              <w:t xml:space="preserve">Sk. </w:t>
            </w:r>
          </w:p>
        </w:tc>
      </w:tr>
      <w:tr w:rsidR="00C741BF" w:rsidRPr="004C23F4" w14:paraId="0CA4ADF2" w14:textId="77777777" w:rsidTr="00C741BF">
        <w:trPr>
          <w:cantSplit/>
        </w:trPr>
        <w:tc>
          <w:tcPr>
            <w:tcW w:w="4011" w:type="dxa"/>
            <w:vAlign w:val="center"/>
          </w:tcPr>
          <w:p w14:paraId="2569A09B" w14:textId="77777777" w:rsidR="00C741BF" w:rsidRPr="002C58FF" w:rsidRDefault="00C741BF" w:rsidP="00C741BF">
            <w:pPr>
              <w:pStyle w:val="Tablerowright"/>
            </w:pPr>
            <w:r>
              <w:t>IDLH:</w:t>
            </w:r>
          </w:p>
        </w:tc>
        <w:tc>
          <w:tcPr>
            <w:tcW w:w="5015" w:type="dxa"/>
          </w:tcPr>
          <w:p w14:paraId="60433066" w14:textId="77777777" w:rsidR="00C741BF" w:rsidRPr="00C741BF" w:rsidRDefault="00E2205F" w:rsidP="00C741BF">
            <w:pPr>
              <w:pStyle w:val="Tablerowheading"/>
            </w:pPr>
            <w:r>
              <w:t xml:space="preserve">400 ppm </w:t>
            </w:r>
          </w:p>
        </w:tc>
      </w:tr>
      <w:tr w:rsidR="0036404A" w:rsidRPr="004C23F4" w14:paraId="56A54634" w14:textId="77777777" w:rsidTr="00565558">
        <w:trPr>
          <w:cantSplit/>
        </w:trPr>
        <w:tc>
          <w:tcPr>
            <w:tcW w:w="9026" w:type="dxa"/>
            <w:gridSpan w:val="2"/>
            <w:vAlign w:val="center"/>
          </w:tcPr>
          <w:p w14:paraId="24B1DE2E" w14:textId="77777777" w:rsidR="0036404A" w:rsidRPr="0036404A" w:rsidRDefault="0036404A" w:rsidP="00C741BF">
            <w:pPr>
              <w:pStyle w:val="Tablerowheading"/>
            </w:pPr>
            <w:r w:rsidRPr="006C2EBE">
              <w:t>Sampling and analysis:</w:t>
            </w:r>
            <w:r w:rsidRPr="006C2EBE">
              <w:rPr>
                <w:rStyle w:val="WESstatus"/>
                <w:b w:val="0"/>
                <w:color w:val="auto"/>
              </w:rPr>
              <w:t xml:space="preserve">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960E50104D424CA997F2EB897409A77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A5B18" w:rsidRPr="006C2EBE"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D831B4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9BA12DD" w14:textId="6E2C0FB4" w:rsidR="000C6F7B" w:rsidRDefault="000C6F7B" w:rsidP="000C6F7B">
      <w:pPr>
        <w:rPr>
          <w:rFonts w:cs="Arial"/>
        </w:rPr>
      </w:pPr>
      <w:r w:rsidRPr="000C6F7B">
        <w:rPr>
          <w:rFonts w:cs="Arial"/>
        </w:rPr>
        <w:t xml:space="preserve">A TWA of </w:t>
      </w:r>
      <w:r>
        <w:t>5</w:t>
      </w:r>
      <w:r w:rsidR="0028359D">
        <w:t>0</w:t>
      </w:r>
      <w:r>
        <w:t xml:space="preserve"> ppm (2</w:t>
      </w:r>
      <w:r w:rsidR="0028359D">
        <w:t>38</w:t>
      </w:r>
      <w:r>
        <w:t xml:space="preserve"> mg/m</w:t>
      </w:r>
      <w:r w:rsidRPr="00E4739E">
        <w:rPr>
          <w:vertAlign w:val="superscript"/>
        </w:rPr>
        <w:t>3</w:t>
      </w:r>
      <w:r>
        <w:t xml:space="preserve">) </w:t>
      </w:r>
      <w:r w:rsidRPr="000C6F7B">
        <w:rPr>
          <w:rFonts w:cs="Arial"/>
        </w:rPr>
        <w:t>is recommended to protect for eye, skin, nose and respiratory tract irritation, dermatitis and system</w:t>
      </w:r>
      <w:r w:rsidR="00C0151D">
        <w:rPr>
          <w:rFonts w:cs="Arial"/>
        </w:rPr>
        <w:t>ic</w:t>
      </w:r>
      <w:r w:rsidRPr="000C6F7B">
        <w:rPr>
          <w:rFonts w:cs="Arial"/>
        </w:rPr>
        <w:t xml:space="preserve"> effects</w:t>
      </w:r>
      <w:r w:rsidR="00925793">
        <w:rPr>
          <w:rFonts w:cs="Arial"/>
        </w:rPr>
        <w:t>.</w:t>
      </w:r>
      <w:r w:rsidR="0028359D">
        <w:rPr>
          <w:rFonts w:cs="Arial"/>
        </w:rPr>
        <w:t xml:space="preserve"> A STEL of 75 ppm is also retained in the interim to protect workers from irritation caused by acute exposures.</w:t>
      </w:r>
    </w:p>
    <w:p w14:paraId="68D7D044" w14:textId="11EFD6B6" w:rsidR="00925793" w:rsidRDefault="00925793" w:rsidP="00925793">
      <w:pPr>
        <w:rPr>
          <w:rFonts w:cs="Arial"/>
        </w:rPr>
      </w:pPr>
      <w:r>
        <w:rPr>
          <w:rFonts w:cs="Arial"/>
        </w:rPr>
        <w:t xml:space="preserve">Given the limited data available from the primary sources, it is recommended that a review of additional sources be conducted </w:t>
      </w:r>
      <w:r w:rsidR="00120EB3">
        <w:rPr>
          <w:rFonts w:cs="Arial"/>
        </w:rPr>
        <w:t>as a priority</w:t>
      </w:r>
      <w:r>
        <w:rPr>
          <w:rFonts w:cs="Arial"/>
        </w:rPr>
        <w:t>.</w:t>
      </w:r>
    </w:p>
    <w:p w14:paraId="7C7B685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5E23EF3" w14:textId="77777777" w:rsidR="00116122" w:rsidRDefault="000C6F7B" w:rsidP="006639B4">
      <w:pPr>
        <w:rPr>
          <w:rFonts w:cs="Arial"/>
        </w:rPr>
      </w:pPr>
      <w:r w:rsidRPr="000C6F7B">
        <w:rPr>
          <w:rFonts w:cs="Arial"/>
        </w:rPr>
        <w:t xml:space="preserve">Isopropyl glycidyl ether </w:t>
      </w:r>
      <w:r>
        <w:rPr>
          <w:rFonts w:cs="Arial"/>
        </w:rPr>
        <w:t xml:space="preserve">is used </w:t>
      </w:r>
      <w:r w:rsidRPr="000C6F7B">
        <w:rPr>
          <w:rFonts w:cs="Arial"/>
        </w:rPr>
        <w:t>as an organic compound stabili</w:t>
      </w:r>
      <w:r w:rsidR="00917EC1">
        <w:rPr>
          <w:rFonts w:cs="Arial"/>
        </w:rPr>
        <w:t>s</w:t>
      </w:r>
      <w:r w:rsidRPr="000C6F7B">
        <w:rPr>
          <w:rFonts w:cs="Arial"/>
        </w:rPr>
        <w:t>er, reactive diluent and chemical intermediate</w:t>
      </w:r>
      <w:r>
        <w:rPr>
          <w:rFonts w:cs="Arial"/>
        </w:rPr>
        <w:t>.</w:t>
      </w:r>
      <w:r w:rsidRPr="000C6F7B">
        <w:rPr>
          <w:rFonts w:cs="Arial"/>
        </w:rPr>
        <w:t xml:space="preserve"> </w:t>
      </w:r>
    </w:p>
    <w:p w14:paraId="255FBE70" w14:textId="2F0F3083" w:rsidR="006639B4" w:rsidRDefault="000C6F7B" w:rsidP="006639B4">
      <w:pPr>
        <w:rPr>
          <w:rStyle w:val="checkbox"/>
          <w:rFonts w:ascii="Arial" w:hAnsi="Arial" w:cs="Arial"/>
        </w:rPr>
      </w:pPr>
      <w:r w:rsidRPr="000C6F7B">
        <w:rPr>
          <w:rFonts w:cs="Arial"/>
        </w:rPr>
        <w:t>The critical effects are</w:t>
      </w:r>
      <w:r w:rsidRPr="000C6F7B">
        <w:t xml:space="preserve"> </w:t>
      </w:r>
      <w:r w:rsidRPr="000C6F7B">
        <w:rPr>
          <w:rFonts w:cs="Arial"/>
        </w:rPr>
        <w:t>eye, skin, nose and respirato</w:t>
      </w:r>
      <w:r w:rsidR="008E6B8E">
        <w:rPr>
          <w:rFonts w:cs="Arial"/>
        </w:rPr>
        <w:t xml:space="preserve">ry tract irritation, dermatitis, </w:t>
      </w:r>
      <w:r w:rsidRPr="000C6F7B">
        <w:rPr>
          <w:rFonts w:cs="Arial"/>
        </w:rPr>
        <w:t>system</w:t>
      </w:r>
      <w:r w:rsidR="00C0151D">
        <w:rPr>
          <w:rFonts w:cs="Arial"/>
        </w:rPr>
        <w:t>ic</w:t>
      </w:r>
      <w:r w:rsidRPr="000C6F7B">
        <w:rPr>
          <w:rFonts w:cs="Arial"/>
        </w:rPr>
        <w:t xml:space="preserve"> effects</w:t>
      </w:r>
      <w:r>
        <w:rPr>
          <w:rFonts w:cs="Arial"/>
        </w:rPr>
        <w:t xml:space="preserve"> </w:t>
      </w:r>
      <w:r w:rsidR="008E6B8E">
        <w:rPr>
          <w:rFonts w:cs="Arial"/>
        </w:rPr>
        <w:t>and</w:t>
      </w:r>
      <w:r>
        <w:rPr>
          <w:rFonts w:cs="Arial"/>
        </w:rPr>
        <w:t xml:space="preserve"> </w:t>
      </w:r>
      <w:r>
        <w:rPr>
          <w:rStyle w:val="checkbox"/>
          <w:rFonts w:ascii="Arial" w:hAnsi="Arial" w:cs="Arial"/>
        </w:rPr>
        <w:t>reproductive toxicity.</w:t>
      </w:r>
    </w:p>
    <w:p w14:paraId="26766461" w14:textId="51B7DBC3" w:rsidR="00840DE4" w:rsidRDefault="00840DE4" w:rsidP="006639B4">
      <w:r>
        <w:rPr>
          <w:rStyle w:val="checkbox"/>
          <w:rFonts w:ascii="Arial" w:hAnsi="Arial" w:cs="Arial"/>
        </w:rPr>
        <w:t xml:space="preserve">Limited toxicological data are available in humans and animals. </w:t>
      </w:r>
      <w:r w:rsidR="000C79C3">
        <w:rPr>
          <w:rStyle w:val="checkbox"/>
          <w:rFonts w:ascii="Arial" w:hAnsi="Arial" w:cs="Arial"/>
        </w:rPr>
        <w:t xml:space="preserve">Acute human exposure is reported to cause </w:t>
      </w:r>
      <w:r w:rsidR="00120EB3">
        <w:t xml:space="preserve">mental confusion and moderate irritation of the eyes and skin with irritation of the respiratory tract occurring at high concentrations. </w:t>
      </w:r>
      <w:r w:rsidR="00120EB3" w:rsidRPr="00120EB3">
        <w:t xml:space="preserve">Chronic exposure </w:t>
      </w:r>
      <w:r w:rsidR="000C79C3">
        <w:t xml:space="preserve">is </w:t>
      </w:r>
      <w:r w:rsidR="00120EB3" w:rsidRPr="00120EB3">
        <w:t>associated with dermatitis and skin sensitisation</w:t>
      </w:r>
      <w:r w:rsidR="00120EB3">
        <w:t xml:space="preserve">. Rats exposed at 400 ppm for </w:t>
      </w:r>
      <w:r w:rsidR="003F2ABE">
        <w:t>seven</w:t>
      </w:r>
      <w:r w:rsidR="00120EB3">
        <w:t xml:space="preserve"> hours a day experienced irritation of the eyes and respiratory passages and other systemic effects. Handlers suffered</w:t>
      </w:r>
      <w:r w:rsidR="00120EB3" w:rsidRPr="00120EB3">
        <w:t xml:space="preserve"> irritation of the eyes, nose, and respiratory tract during this experiment</w:t>
      </w:r>
      <w:r w:rsidR="00120EB3">
        <w:t xml:space="preserve"> (ACGIH, 2018).</w:t>
      </w:r>
      <w:r w:rsidR="000C79C3">
        <w:t xml:space="preserve"> </w:t>
      </w:r>
      <w:r w:rsidR="00296A21">
        <w:rPr>
          <w:rFonts w:cs="Arial"/>
        </w:rPr>
        <w:t xml:space="preserve">A NOAEL of 100 mg/kg/day </w:t>
      </w:r>
      <w:r w:rsidR="00F670D4">
        <w:rPr>
          <w:rFonts w:cs="Arial"/>
        </w:rPr>
        <w:t xml:space="preserve">for systemic toxicity </w:t>
      </w:r>
      <w:r w:rsidR="00296A21">
        <w:rPr>
          <w:rFonts w:cs="Arial"/>
        </w:rPr>
        <w:t xml:space="preserve">was reported in female rats in a reproductive study by gavage; however, a </w:t>
      </w:r>
      <w:r w:rsidR="00F670D4">
        <w:rPr>
          <w:rFonts w:cs="Arial"/>
        </w:rPr>
        <w:t xml:space="preserve">NOAEL for reproductive toxicity was not established in this study </w:t>
      </w:r>
      <w:r w:rsidR="0046148B">
        <w:rPr>
          <w:rFonts w:cs="Arial"/>
        </w:rPr>
        <w:t xml:space="preserve">because </w:t>
      </w:r>
      <w:r w:rsidR="0046148B" w:rsidRPr="0046148B">
        <w:rPr>
          <w:rFonts w:cs="Arial"/>
        </w:rPr>
        <w:t xml:space="preserve">a LOAEC of 100 mg/kg/day was reported for </w:t>
      </w:r>
      <w:r w:rsidR="00F670D4">
        <w:rPr>
          <w:rFonts w:cs="Arial"/>
        </w:rPr>
        <w:t xml:space="preserve">reduced fertility </w:t>
      </w:r>
      <w:r w:rsidR="00296A21">
        <w:rPr>
          <w:rStyle w:val="checkbox"/>
          <w:rFonts w:ascii="Arial" w:hAnsi="Arial" w:cs="Arial"/>
        </w:rPr>
        <w:t>(ECHA, 2018).</w:t>
      </w:r>
    </w:p>
    <w:p w14:paraId="7C749591" w14:textId="111D65E6" w:rsidR="008F4D7D" w:rsidRDefault="00120EB3" w:rsidP="00120EB3">
      <w:r w:rsidRPr="00120EB3">
        <w:lastRenderedPageBreak/>
        <w:t xml:space="preserve">Given the limited available data, the </w:t>
      </w:r>
      <w:r w:rsidR="005238BE">
        <w:t xml:space="preserve">current </w:t>
      </w:r>
      <w:r w:rsidRPr="00120EB3">
        <w:t>TWA of 5</w:t>
      </w:r>
      <w:r w:rsidR="008F4D7D">
        <w:t>0</w:t>
      </w:r>
      <w:r w:rsidRPr="00120EB3">
        <w:t xml:space="preserve"> ppm </w:t>
      </w:r>
      <w:r w:rsidR="00296A21">
        <w:t xml:space="preserve">and STEL of 75 ppm </w:t>
      </w:r>
      <w:r w:rsidR="005238BE">
        <w:t xml:space="preserve">initially sourced from </w:t>
      </w:r>
      <w:r w:rsidR="005238BE" w:rsidRPr="00120EB3">
        <w:t>ACGIH</w:t>
      </w:r>
      <w:r w:rsidR="005238BE">
        <w:t xml:space="preserve"> </w:t>
      </w:r>
      <w:r w:rsidR="0028359D">
        <w:t>are</w:t>
      </w:r>
      <w:r w:rsidRPr="00120EB3">
        <w:t xml:space="preserve"> recommended to be retained </w:t>
      </w:r>
      <w:r w:rsidR="00296A21">
        <w:t xml:space="preserve">in the interim </w:t>
      </w:r>
      <w:r w:rsidRPr="00120EB3">
        <w:t>to limit irritant effects</w:t>
      </w:r>
      <w:r w:rsidR="005238BE">
        <w:t xml:space="preserve"> in </w:t>
      </w:r>
      <w:r w:rsidR="005238BE" w:rsidRPr="000C6F7B">
        <w:rPr>
          <w:rFonts w:cs="Arial"/>
        </w:rPr>
        <w:t xml:space="preserve">eye, skin, nose and respiratory tract, </w:t>
      </w:r>
      <w:r w:rsidR="005238BE">
        <w:rPr>
          <w:rFonts w:cs="Arial"/>
        </w:rPr>
        <w:t xml:space="preserve">as well as </w:t>
      </w:r>
      <w:r w:rsidR="005238BE" w:rsidRPr="000C6F7B">
        <w:rPr>
          <w:rFonts w:cs="Arial"/>
        </w:rPr>
        <w:t>dermatitis and system</w:t>
      </w:r>
      <w:r w:rsidR="00C0151D">
        <w:rPr>
          <w:rFonts w:cs="Arial"/>
        </w:rPr>
        <w:t>ic</w:t>
      </w:r>
      <w:r w:rsidR="005238BE" w:rsidRPr="000C6F7B">
        <w:rPr>
          <w:rFonts w:cs="Arial"/>
        </w:rPr>
        <w:t xml:space="preserve"> effects</w:t>
      </w:r>
      <w:r w:rsidR="005238BE">
        <w:t>.</w:t>
      </w:r>
      <w:r>
        <w:t xml:space="preserve"> </w:t>
      </w:r>
    </w:p>
    <w:p w14:paraId="75744A9A" w14:textId="22143651" w:rsidR="00120EB3" w:rsidRDefault="00120EB3" w:rsidP="00120EB3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as a priority.</w:t>
      </w:r>
    </w:p>
    <w:p w14:paraId="0B2CD73C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249D676" w14:textId="77777777" w:rsidR="00E4739E" w:rsidRPr="008B5A02" w:rsidRDefault="00E4739E" w:rsidP="00E4739E">
      <w:pPr>
        <w:rPr>
          <w:rFonts w:cs="Arial"/>
        </w:rPr>
      </w:pPr>
      <w:r w:rsidRPr="008B5A02">
        <w:rPr>
          <w:rFonts w:cs="Arial"/>
        </w:rPr>
        <w:t>Not classified as a carcinogen according to the Globally Harmonized System of Classification and Labelling o</w:t>
      </w:r>
      <w:r w:rsidR="008C7A25">
        <w:rPr>
          <w:rFonts w:cs="Arial"/>
        </w:rPr>
        <w:t>f</w:t>
      </w:r>
      <w:r w:rsidRPr="008B5A02">
        <w:rPr>
          <w:rFonts w:cs="Arial"/>
        </w:rPr>
        <w:t xml:space="preserve"> Chemicals (GHS). </w:t>
      </w:r>
    </w:p>
    <w:p w14:paraId="75B55983" w14:textId="77777777" w:rsidR="00E4739E" w:rsidRPr="00917EC1" w:rsidRDefault="00E4739E" w:rsidP="00E4739E">
      <w:pPr>
        <w:rPr>
          <w:rFonts w:cs="Arial"/>
        </w:rPr>
      </w:pPr>
      <w:r w:rsidRPr="00917EC1">
        <w:rPr>
          <w:rFonts w:cs="Arial"/>
        </w:rPr>
        <w:t>Not classified as a skin</w:t>
      </w:r>
      <w:r w:rsidR="008C7A25" w:rsidRPr="00917EC1">
        <w:rPr>
          <w:rFonts w:cs="Arial"/>
        </w:rPr>
        <w:t xml:space="preserve"> sensitiser</w:t>
      </w:r>
      <w:r w:rsidRPr="00917EC1">
        <w:rPr>
          <w:rFonts w:cs="Arial"/>
        </w:rPr>
        <w:t xml:space="preserve"> or respiratory sensitiser according to the GHS.</w:t>
      </w:r>
    </w:p>
    <w:p w14:paraId="4937DEF7" w14:textId="5E0BD756" w:rsidR="00917EC1" w:rsidRPr="00917EC1" w:rsidRDefault="00917EC1" w:rsidP="00917EC1">
      <w:pPr>
        <w:rPr>
          <w:rFonts w:cs="Arial"/>
        </w:rPr>
      </w:pPr>
      <w:r w:rsidRPr="00917EC1">
        <w:rPr>
          <w:rFonts w:cs="Arial"/>
        </w:rPr>
        <w:t>A skin notation is recommended based on evidence suggesting adverse systemic effects in humans, including dermatitis.</w:t>
      </w:r>
    </w:p>
    <w:p w14:paraId="7F71849D" w14:textId="77777777" w:rsidR="0025734A" w:rsidRPr="004C23F4" w:rsidRDefault="0025734A">
      <w:pPr>
        <w:rPr>
          <w:rFonts w:cs="Arial"/>
        </w:rPr>
      </w:pPr>
    </w:p>
    <w:p w14:paraId="40F987E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FDF6EF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9B1404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AE5A3E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FFC3E1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9FBE53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6CEE389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4739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4739E">
                  <w:t>TWA: 50 ppm (238 mg/m</w:t>
                </w:r>
                <w:r w:rsidR="00E4739E" w:rsidRPr="00E4739E">
                  <w:rPr>
                    <w:vertAlign w:val="superscript"/>
                  </w:rPr>
                  <w:t>3</w:t>
                </w:r>
                <w:r w:rsidR="00E4739E">
                  <w:t>); STEL: 75 ppm (356 mg/m</w:t>
                </w:r>
                <w:r w:rsidR="00E4739E" w:rsidRPr="00E4739E">
                  <w:rPr>
                    <w:vertAlign w:val="superscript"/>
                  </w:rPr>
                  <w:t>3</w:t>
                </w:r>
                <w:r w:rsidR="00E4739E">
                  <w:t>)</w:t>
                </w:r>
              </w:sdtContent>
            </w:sdt>
          </w:p>
        </w:tc>
      </w:tr>
      <w:tr w:rsidR="00C978F0" w:rsidRPr="00DA352E" w14:paraId="221648F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F94949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624400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BFAF8B6" w14:textId="77777777" w:rsidR="00C978F0" w:rsidRPr="00DA352E" w:rsidRDefault="00DA352E" w:rsidP="0065537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3" w:hanging="2853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40B2C" w:rsidRPr="00040B2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40B2C">
                  <w:t>TLV-TWA: 50 ppm</w:t>
                </w:r>
                <w:r w:rsidR="00655376">
                  <w:t xml:space="preserve"> (238 mg/m</w:t>
                </w:r>
                <w:r w:rsidR="00655376" w:rsidRPr="00655376">
                  <w:rPr>
                    <w:vertAlign w:val="superscript"/>
                  </w:rPr>
                  <w:t>3</w:t>
                </w:r>
                <w:r w:rsidR="00655376">
                  <w:t>)</w:t>
                </w:r>
                <w:r w:rsidR="00040B2C">
                  <w:t>; TLV-STEL: 75 ppm</w:t>
                </w:r>
                <w:r w:rsidR="00655376">
                  <w:t xml:space="preserve"> (356 mg/m</w:t>
                </w:r>
                <w:r w:rsidR="00655376" w:rsidRPr="00655376">
                  <w:rPr>
                    <w:vertAlign w:val="superscript"/>
                  </w:rPr>
                  <w:t>3</w:t>
                </w:r>
                <w:r w:rsidR="00655376">
                  <w:t>)</w:t>
                </w:r>
              </w:sdtContent>
            </w:sdt>
          </w:p>
        </w:tc>
      </w:tr>
      <w:tr w:rsidR="00414C16" w:rsidRPr="00DA352E" w14:paraId="08FCB2E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7B9F5B5" w14:textId="6CC9680E" w:rsidR="00414C16" w:rsidRDefault="00414C16" w:rsidP="008C7A25">
            <w:pPr>
              <w:pStyle w:val="Tabletextprimarysource"/>
            </w:pPr>
            <w:r>
              <w:t>TLV-TWA recommended to minimise the risk of eye, skin, nose a</w:t>
            </w:r>
            <w:r w:rsidR="00FA3124">
              <w:t xml:space="preserve">nd respiratory tract irritation, </w:t>
            </w:r>
            <w:r>
              <w:t>dermatitis</w:t>
            </w:r>
            <w:r w:rsidR="00AF0C49">
              <w:t xml:space="preserve"> and system</w:t>
            </w:r>
            <w:r w:rsidR="00FA3124">
              <w:t>ic effects</w:t>
            </w:r>
            <w:r>
              <w:t xml:space="preserve"> in exposed workers</w:t>
            </w:r>
            <w:r w:rsidR="004D06E0">
              <w:t xml:space="preserve"> (derivation of TLV-TWA not reported)</w:t>
            </w:r>
            <w:r w:rsidR="003F2ABE">
              <w:t>.</w:t>
            </w:r>
          </w:p>
          <w:p w14:paraId="43A507C1" w14:textId="3F291230" w:rsidR="00120EB3" w:rsidRDefault="00120EB3" w:rsidP="008C7A25">
            <w:pPr>
              <w:pStyle w:val="Tabletextprimarysource"/>
            </w:pPr>
            <w:r>
              <w:t>TLV-STEL is warranted as being precautionary given the absence of dose-response data</w:t>
            </w:r>
            <w:r w:rsidR="003F2ABE">
              <w:t>.</w:t>
            </w:r>
          </w:p>
          <w:p w14:paraId="64140994" w14:textId="77777777" w:rsidR="00414C16" w:rsidRDefault="00414C16" w:rsidP="008C7A25">
            <w:pPr>
              <w:pStyle w:val="Tabletextprimarysource"/>
            </w:pPr>
            <w:r>
              <w:t>Summary of data:</w:t>
            </w:r>
          </w:p>
          <w:p w14:paraId="6FC05106" w14:textId="77777777" w:rsidR="00414C16" w:rsidRDefault="00414C16" w:rsidP="00917EC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3FF1405A" w14:textId="6CE1E396" w:rsidR="00414C16" w:rsidRDefault="005B16DD" w:rsidP="00917EC1">
            <w:pPr>
              <w:pStyle w:val="ListBullet"/>
              <w:spacing w:before="60" w:after="60"/>
              <w:ind w:left="720"/>
              <w:contextualSpacing w:val="0"/>
            </w:pPr>
            <w:r>
              <w:t>E</w:t>
            </w:r>
            <w:r w:rsidR="00414C16" w:rsidRPr="00414C16">
              <w:t>ye, skin, nose and respiratory tract irritation and dermatitis</w:t>
            </w:r>
            <w:r w:rsidR="00414C16">
              <w:t xml:space="preserve"> </w:t>
            </w:r>
            <w:r w:rsidR="00FA3124">
              <w:t>associated with</w:t>
            </w:r>
            <w:r w:rsidR="00414C16">
              <w:t xml:space="preserve"> exposure to various </w:t>
            </w:r>
            <w:r w:rsidR="00414C16" w:rsidRPr="00414C16">
              <w:t>glycidyl ether</w:t>
            </w:r>
            <w:r w:rsidR="00414C16">
              <w:t>s</w:t>
            </w:r>
          </w:p>
          <w:p w14:paraId="253E8933" w14:textId="44BB5F5A" w:rsidR="00917EC1" w:rsidRDefault="005B16DD" w:rsidP="00917EC1">
            <w:pPr>
              <w:pStyle w:val="ListBullet"/>
              <w:ind w:left="720"/>
            </w:pPr>
            <w:r>
              <w:t>C</w:t>
            </w:r>
            <w:r w:rsidR="00917EC1" w:rsidRPr="00917EC1">
              <w:t>hronic exposure associated w</w:t>
            </w:r>
            <w:r w:rsidR="00917EC1">
              <w:t>ith dermatitis and skin sensitis</w:t>
            </w:r>
            <w:r w:rsidR="00917EC1" w:rsidRPr="00917EC1">
              <w:t>ation</w:t>
            </w:r>
          </w:p>
          <w:p w14:paraId="6B222E76" w14:textId="77777777" w:rsidR="00917EC1" w:rsidRDefault="00917EC1" w:rsidP="00917EC1">
            <w:pPr>
              <w:pStyle w:val="ListBullet"/>
              <w:ind w:left="720"/>
            </w:pPr>
            <w:r>
              <w:t xml:space="preserve">Workers in glycidyl ether plants frequently reported dermatitis, including one involving IGE </w:t>
            </w:r>
          </w:p>
          <w:p w14:paraId="195D42E8" w14:textId="77777777" w:rsidR="00414C16" w:rsidRDefault="00D55EA0" w:rsidP="00917EC1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Acute exposure </w:t>
            </w:r>
            <w:r w:rsidR="00917EC1">
              <w:t xml:space="preserve">reported to </w:t>
            </w:r>
            <w:r>
              <w:t>cause mental confusion</w:t>
            </w:r>
            <w:r w:rsidR="008C7A25">
              <w:t>.</w:t>
            </w:r>
          </w:p>
          <w:p w14:paraId="29DC7043" w14:textId="77777777" w:rsidR="00414C16" w:rsidRDefault="00414C16" w:rsidP="00917EC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08CB73BD" w14:textId="77777777" w:rsidR="00414C16" w:rsidRDefault="00D55EA0" w:rsidP="00917EC1">
            <w:pPr>
              <w:pStyle w:val="ListBullet"/>
              <w:spacing w:before="60" w:after="60"/>
              <w:ind w:left="720"/>
              <w:contextualSpacing w:val="0"/>
            </w:pPr>
            <w:r>
              <w:t>CNS depression after acute exposure (rats, rabbits, oral)</w:t>
            </w:r>
          </w:p>
          <w:p w14:paraId="0023D263" w14:textId="77777777" w:rsidR="00414C16" w:rsidRDefault="00D55EA0" w:rsidP="00917EC1">
            <w:pPr>
              <w:pStyle w:val="ListBullet"/>
              <w:spacing w:before="60" w:after="60"/>
              <w:ind w:left="720"/>
              <w:contextualSpacing w:val="0"/>
            </w:pPr>
            <w:r>
              <w:t>LC</w:t>
            </w:r>
            <w:r w:rsidRPr="00D55EA0">
              <w:rPr>
                <w:vertAlign w:val="subscript"/>
              </w:rPr>
              <w:t>50</w:t>
            </w:r>
            <w:r>
              <w:t>: 1,500 ppm (mice, 4 h)</w:t>
            </w:r>
          </w:p>
          <w:p w14:paraId="794AC055" w14:textId="77777777" w:rsidR="00D55EA0" w:rsidRDefault="00D55EA0" w:rsidP="00917EC1">
            <w:pPr>
              <w:pStyle w:val="ListBullet"/>
              <w:spacing w:before="60" w:after="60"/>
              <w:ind w:left="720"/>
              <w:contextualSpacing w:val="0"/>
            </w:pPr>
            <w:r>
              <w:t>LC</w:t>
            </w:r>
            <w:r w:rsidRPr="00D55EA0">
              <w:rPr>
                <w:vertAlign w:val="subscript"/>
              </w:rPr>
              <w:t>50</w:t>
            </w:r>
            <w:r>
              <w:t>: 1,100 ppm (rats, 8 h)</w:t>
            </w:r>
          </w:p>
          <w:p w14:paraId="43C168B4" w14:textId="77777777" w:rsidR="00414C16" w:rsidRDefault="00FA3124" w:rsidP="00917EC1">
            <w:pPr>
              <w:pStyle w:val="ListBullet"/>
              <w:spacing w:before="60" w:after="60"/>
              <w:ind w:left="720"/>
              <w:contextualSpacing w:val="0"/>
            </w:pPr>
            <w:r>
              <w:t>Pulmonary inflammation, pneumonia and respiratory distress associated with repeated inhalation</w:t>
            </w:r>
          </w:p>
          <w:p w14:paraId="56CF702C" w14:textId="0A872975" w:rsidR="00A67E6D" w:rsidRDefault="00840DE4" w:rsidP="00A67E6D">
            <w:pPr>
              <w:pStyle w:val="ListBullet"/>
              <w:spacing w:before="60" w:after="60"/>
              <w:ind w:left="720"/>
              <w:contextualSpacing w:val="0"/>
            </w:pPr>
            <w:proofErr w:type="gramStart"/>
            <w:r>
              <w:t>Rats</w:t>
            </w:r>
            <w:proofErr w:type="gramEnd"/>
            <w:r>
              <w:t xml:space="preserve"> e</w:t>
            </w:r>
            <w:r w:rsidR="00FA3124">
              <w:t>xposure</w:t>
            </w:r>
            <w:r>
              <w:t xml:space="preserve"> </w:t>
            </w:r>
            <w:r w:rsidRPr="00FF16BE">
              <w:rPr>
                <w:i/>
              </w:rPr>
              <w:t>via</w:t>
            </w:r>
            <w:r>
              <w:t xml:space="preserve"> inhalation at</w:t>
            </w:r>
            <w:r w:rsidR="00FA3124">
              <w:t xml:space="preserve"> 400 ppm (7 h/d, 50 </w:t>
            </w:r>
            <w:r>
              <w:t>exposures</w:t>
            </w:r>
            <w:r w:rsidR="00FA3124">
              <w:t xml:space="preserve">,) </w:t>
            </w:r>
            <w:r>
              <w:t>showed</w:t>
            </w:r>
            <w:r w:rsidR="00FA3124">
              <w:t xml:space="preserve"> reduced weight gain, increased haemoglobin, decrease in peritoneal fat, </w:t>
            </w:r>
            <w:r w:rsidR="00FA3124" w:rsidRPr="00FA3124">
              <w:t>emphysematous</w:t>
            </w:r>
            <w:r w:rsidR="00A70750">
              <w:t>, liver effects, pneumonia and slight ocular irritation and respiratory distress</w:t>
            </w:r>
          </w:p>
          <w:p w14:paraId="4F5B53A6" w14:textId="6CA27618" w:rsidR="00120EB3" w:rsidRDefault="0046148B" w:rsidP="003F2ABE">
            <w:pPr>
              <w:pStyle w:val="ListBullet"/>
              <w:numPr>
                <w:ilvl w:val="0"/>
                <w:numId w:val="16"/>
              </w:numPr>
              <w:spacing w:before="60" w:after="60"/>
              <w:contextualSpacing w:val="0"/>
            </w:pPr>
            <w:r>
              <w:t>h</w:t>
            </w:r>
            <w:r w:rsidR="00120EB3">
              <w:t>andlers experienced irritation of the eyes, nose, and respiratory tract during this experiment</w:t>
            </w:r>
            <w:r>
              <w:t>.</w:t>
            </w:r>
          </w:p>
          <w:p w14:paraId="528C699B" w14:textId="77777777" w:rsidR="00D90EE6" w:rsidRDefault="00D90EE6" w:rsidP="00917EC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7D367CAF" w14:textId="3B15C01B" w:rsidR="00414C16" w:rsidRDefault="00A70750" w:rsidP="00917EC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 data to recommend a skin, sensitiser or carcinogen notation.</w:t>
            </w:r>
          </w:p>
          <w:p w14:paraId="751D8824" w14:textId="4A2EB730" w:rsidR="00446D47" w:rsidRPr="00DA352E" w:rsidRDefault="00446D47" w:rsidP="00917EC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414C16" w:rsidRPr="00DA352E" w14:paraId="77C928C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168426D" w14:textId="77777777" w:rsidR="00414C16" w:rsidRPr="00DA352E" w:rsidRDefault="00414C16" w:rsidP="00414C1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272751712"/>
                <w:placeholder>
                  <w:docPart w:val="CE1C5FC6ECE2496490F563D89F585298"/>
                </w:placeholder>
                <w:text/>
              </w:sdtPr>
              <w:sdtEndPr/>
              <w:sdtContent>
                <w:r>
                  <w:t>1996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08529458192D443D9E70F40C12B42E67"/>
                </w:placeholder>
              </w:sdtPr>
              <w:sdtEndPr/>
              <w:sdtContent>
                <w:r>
                  <w:t>Not assigned</w:t>
                </w:r>
              </w:sdtContent>
            </w:sdt>
          </w:p>
        </w:tc>
      </w:tr>
      <w:tr w:rsidR="00414C16" w:rsidRPr="00DA352E" w14:paraId="625FD13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B2DA085" w14:textId="0D714717" w:rsidR="00414C16" w:rsidRDefault="00A70750" w:rsidP="00917EC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T</w:t>
            </w:r>
            <w:r w:rsidRPr="00A70750">
              <w:t>he available data precludes the establishment of a MAK</w:t>
            </w:r>
            <w:r w:rsidR="0070057A">
              <w:t>.</w:t>
            </w:r>
          </w:p>
          <w:p w14:paraId="20740CDF" w14:textId="77777777" w:rsidR="00A70750" w:rsidRDefault="00A70750" w:rsidP="008C7A25">
            <w:pPr>
              <w:pStyle w:val="Tabletextprimarysource"/>
            </w:pPr>
            <w:r>
              <w:t>Summary of additional data:</w:t>
            </w:r>
          </w:p>
          <w:p w14:paraId="1F1E98E9" w14:textId="77777777" w:rsidR="00A70750" w:rsidRDefault="00A70750" w:rsidP="00917EC1">
            <w:pPr>
              <w:pStyle w:val="ListBullet"/>
              <w:tabs>
                <w:tab w:val="clear" w:pos="360"/>
              </w:tabs>
              <w:spacing w:before="60" w:after="60"/>
              <w:ind w:left="731"/>
              <w:contextualSpacing w:val="0"/>
            </w:pPr>
            <w:r>
              <w:t>LD</w:t>
            </w:r>
            <w:r w:rsidRPr="00A70750">
              <w:rPr>
                <w:vertAlign w:val="subscript"/>
              </w:rPr>
              <w:t>50</w:t>
            </w:r>
            <w:r>
              <w:t>: 1,300 mg/kg (mice, oral)</w:t>
            </w:r>
          </w:p>
          <w:p w14:paraId="73DCEA93" w14:textId="77777777" w:rsidR="00A70750" w:rsidRDefault="00A70750" w:rsidP="00917EC1">
            <w:pPr>
              <w:pStyle w:val="ListBullet"/>
              <w:tabs>
                <w:tab w:val="clear" w:pos="360"/>
              </w:tabs>
              <w:spacing w:before="60" w:after="60"/>
              <w:ind w:left="731"/>
              <w:contextualSpacing w:val="0"/>
            </w:pPr>
            <w:r>
              <w:t>LD</w:t>
            </w:r>
            <w:r w:rsidRPr="00A70750">
              <w:rPr>
                <w:vertAlign w:val="subscript"/>
              </w:rPr>
              <w:t>50</w:t>
            </w:r>
            <w:r>
              <w:t>: 4,200 mg/kg (rat</w:t>
            </w:r>
            <w:r w:rsidR="00FF3FBA">
              <w:t>s</w:t>
            </w:r>
            <w:r>
              <w:t>, oral)</w:t>
            </w:r>
          </w:p>
          <w:p w14:paraId="7D1FF1A0" w14:textId="77777777" w:rsidR="00A70750" w:rsidRDefault="00A70750" w:rsidP="00917EC1">
            <w:pPr>
              <w:pStyle w:val="ListBullet"/>
              <w:tabs>
                <w:tab w:val="clear" w:pos="360"/>
              </w:tabs>
              <w:spacing w:before="60" w:after="60"/>
              <w:ind w:left="731"/>
              <w:contextualSpacing w:val="0"/>
            </w:pPr>
            <w:r>
              <w:t>LD</w:t>
            </w:r>
            <w:r w:rsidRPr="00A70750">
              <w:rPr>
                <w:vertAlign w:val="subscript"/>
              </w:rPr>
              <w:t>50</w:t>
            </w:r>
            <w:r>
              <w:t>: 9,650 mg/kg (rabbit</w:t>
            </w:r>
            <w:r w:rsidR="00FF3FBA">
              <w:t>s</w:t>
            </w:r>
            <w:r>
              <w:t xml:space="preserve">, </w:t>
            </w:r>
            <w:r w:rsidR="00FF3FBA">
              <w:t>dermal</w:t>
            </w:r>
            <w:r>
              <w:t>)</w:t>
            </w:r>
          </w:p>
          <w:p w14:paraId="4D857A70" w14:textId="77777777" w:rsidR="00A70750" w:rsidRDefault="00FF3FBA" w:rsidP="00917EC1">
            <w:pPr>
              <w:pStyle w:val="ListBullet"/>
              <w:tabs>
                <w:tab w:val="clear" w:pos="360"/>
              </w:tabs>
              <w:spacing w:before="60" w:after="60"/>
              <w:ind w:left="731"/>
              <w:contextualSpacing w:val="0"/>
            </w:pPr>
            <w:r>
              <w:t xml:space="preserve">Positive results for metabolic activation in the </w:t>
            </w:r>
            <w:r w:rsidRPr="00FF3FBA">
              <w:rPr>
                <w:i/>
              </w:rPr>
              <w:t>Salmonella typhimurium</w:t>
            </w:r>
            <w:r w:rsidRPr="00FF3FBA">
              <w:t xml:space="preserve"> strains TA100 and TA1535</w:t>
            </w:r>
          </w:p>
          <w:p w14:paraId="14B70982" w14:textId="77777777" w:rsidR="00A70750" w:rsidRDefault="00FF3FBA" w:rsidP="00917EC1">
            <w:pPr>
              <w:pStyle w:val="ListBullet"/>
              <w:tabs>
                <w:tab w:val="clear" w:pos="360"/>
              </w:tabs>
              <w:spacing w:before="60" w:after="60"/>
              <w:ind w:left="731"/>
              <w:contextualSpacing w:val="0"/>
            </w:pPr>
            <w:r>
              <w:t xml:space="preserve">Induced mutation in </w:t>
            </w:r>
            <w:proofErr w:type="gramStart"/>
            <w:r w:rsidRPr="00917EC1">
              <w:rPr>
                <w:i/>
              </w:rPr>
              <w:t>E</w:t>
            </w:r>
            <w:r w:rsidR="00917EC1">
              <w:rPr>
                <w:i/>
              </w:rPr>
              <w:t>.</w:t>
            </w:r>
            <w:r w:rsidRPr="00FF3FBA">
              <w:rPr>
                <w:i/>
              </w:rPr>
              <w:t>coli</w:t>
            </w:r>
            <w:proofErr w:type="gramEnd"/>
            <w:r w:rsidRPr="00FF3FBA">
              <w:t xml:space="preserve"> WP2uvrA</w:t>
            </w:r>
          </w:p>
          <w:p w14:paraId="4CF48C81" w14:textId="77777777" w:rsidR="00A70750" w:rsidRDefault="00FF3FBA" w:rsidP="00917EC1">
            <w:pPr>
              <w:pStyle w:val="ListBullet"/>
              <w:tabs>
                <w:tab w:val="clear" w:pos="360"/>
              </w:tabs>
              <w:spacing w:before="60" w:after="60"/>
              <w:ind w:left="731"/>
              <w:contextualSpacing w:val="0"/>
            </w:pPr>
            <w:r>
              <w:t xml:space="preserve">Positive results in SOS </w:t>
            </w:r>
            <w:proofErr w:type="spellStart"/>
            <w:r>
              <w:t>chromotest</w:t>
            </w:r>
            <w:proofErr w:type="spellEnd"/>
            <w:r>
              <w:t xml:space="preserve"> in </w:t>
            </w:r>
            <w:proofErr w:type="gramStart"/>
            <w:r w:rsidRPr="00FF3FBA">
              <w:rPr>
                <w:i/>
              </w:rPr>
              <w:t>E.coli</w:t>
            </w:r>
            <w:proofErr w:type="gramEnd"/>
            <w:r>
              <w:rPr>
                <w:i/>
              </w:rPr>
              <w:t xml:space="preserve"> PQ37</w:t>
            </w:r>
          </w:p>
          <w:p w14:paraId="5CBF0741" w14:textId="77777777" w:rsidR="00A70750" w:rsidRDefault="00FF3FBA" w:rsidP="00917EC1">
            <w:pPr>
              <w:pStyle w:val="ListBullet"/>
              <w:tabs>
                <w:tab w:val="clear" w:pos="360"/>
              </w:tabs>
              <w:spacing w:before="60" w:after="60"/>
              <w:ind w:left="731"/>
              <w:contextualSpacing w:val="0"/>
            </w:pPr>
            <w:r>
              <w:t xml:space="preserve">Induced </w:t>
            </w:r>
            <w:r w:rsidRPr="00FF3FBA">
              <w:t>sister chromatid exchange in V79 Chinese hamster cells</w:t>
            </w:r>
          </w:p>
          <w:p w14:paraId="55074E20" w14:textId="77777777" w:rsidR="00A70750" w:rsidRDefault="00FF3FBA" w:rsidP="00917EC1">
            <w:pPr>
              <w:pStyle w:val="ListBullet"/>
              <w:tabs>
                <w:tab w:val="clear" w:pos="360"/>
              </w:tabs>
              <w:spacing w:before="60" w:after="60"/>
              <w:ind w:left="731"/>
              <w:contextualSpacing w:val="0"/>
            </w:pPr>
            <w:r>
              <w:t>M</w:t>
            </w:r>
            <w:r w:rsidRPr="00FF3FBA">
              <w:t xml:space="preserve">utagenic in tests for sex-linked recessive lethal mutations and reciprocal translocations in </w:t>
            </w:r>
            <w:r w:rsidRPr="00FF3FBA">
              <w:rPr>
                <w:i/>
              </w:rPr>
              <w:t>Drosophila melanogaster</w:t>
            </w:r>
            <w:r w:rsidRPr="00FF3FBA">
              <w:t xml:space="preserve"> (NTP 1986</w:t>
            </w:r>
            <w:r>
              <w:t>)</w:t>
            </w:r>
            <w:r w:rsidR="008C7A25">
              <w:t>.</w:t>
            </w:r>
          </w:p>
          <w:p w14:paraId="27863303" w14:textId="5126B555" w:rsidR="00446D47" w:rsidRPr="00DA352E" w:rsidRDefault="00446D47" w:rsidP="00446D47">
            <w:pPr>
              <w:pStyle w:val="ListBullet"/>
              <w:numPr>
                <w:ilvl w:val="0"/>
                <w:numId w:val="0"/>
              </w:numPr>
              <w:spacing w:before="60" w:after="60"/>
              <w:ind w:left="731"/>
              <w:contextualSpacing w:val="0"/>
            </w:pPr>
          </w:p>
        </w:tc>
      </w:tr>
      <w:tr w:rsidR="00414C16" w:rsidRPr="00DA352E" w14:paraId="1533C4A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0EAA7CB" w14:textId="77777777" w:rsidR="00414C16" w:rsidRPr="00DA352E" w:rsidRDefault="00414C16" w:rsidP="00414C1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768699850"/>
                <w:placeholder>
                  <w:docPart w:val="86E70947371D4C9CADBAD3A3FB98A53C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8A442D89A654945BA7C2BBE146E17DE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414C16" w:rsidRPr="00DA352E" w14:paraId="54F6CCB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E0D07F2" w14:textId="77777777" w:rsidR="00414C16" w:rsidRPr="00DA352E" w:rsidRDefault="00414C16" w:rsidP="00414C16">
            <w:pPr>
              <w:pStyle w:val="Tabletextprimarysource"/>
            </w:pPr>
            <w:r>
              <w:t>No report</w:t>
            </w:r>
            <w:r w:rsidR="008C7A25">
              <w:t>.</w:t>
            </w:r>
          </w:p>
        </w:tc>
      </w:tr>
      <w:tr w:rsidR="00414C16" w:rsidRPr="00DA352E" w14:paraId="171DF4C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B1887C9" w14:textId="77777777" w:rsidR="00414C16" w:rsidRPr="00DA352E" w:rsidRDefault="00414C16" w:rsidP="00414C1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936748013"/>
                <w:placeholder>
                  <w:docPart w:val="1A220E7531214E5F91B5C4E6CB19C699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F119CA83D7D242FF9848A380029534F0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414C16" w:rsidRPr="00DA352E" w14:paraId="3D19DC9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3451A96" w14:textId="77777777" w:rsidR="00414C16" w:rsidRPr="00DA352E" w:rsidRDefault="00414C16" w:rsidP="00414C16">
            <w:pPr>
              <w:pStyle w:val="Tabletextprimarysource"/>
            </w:pPr>
            <w:r>
              <w:t>No report</w:t>
            </w:r>
            <w:r w:rsidR="008C7A25">
              <w:t>.</w:t>
            </w:r>
          </w:p>
        </w:tc>
      </w:tr>
      <w:tr w:rsidR="00414C16" w:rsidRPr="00DA352E" w14:paraId="6899E02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4303625" w14:textId="77777777" w:rsidR="00414C16" w:rsidRPr="00DA352E" w:rsidRDefault="00414C16" w:rsidP="00414C1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1543090908"/>
                <w:placeholder>
                  <w:docPart w:val="883F772279584D3683F9DE94A55243F5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CF7BA6F02E44499EBD1BDFC5B414329E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414C16" w:rsidRPr="00DA352E" w14:paraId="7EE549A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2388F7B" w14:textId="77777777" w:rsidR="00414C16" w:rsidRPr="00DA352E" w:rsidRDefault="00414C16" w:rsidP="00414C16">
            <w:pPr>
              <w:pStyle w:val="Tabletextprimarysource"/>
            </w:pPr>
            <w:r>
              <w:t>No report</w:t>
            </w:r>
            <w:r w:rsidR="008C7A25">
              <w:t>.</w:t>
            </w:r>
          </w:p>
        </w:tc>
      </w:tr>
    </w:tbl>
    <w:p w14:paraId="3D489CE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6A236CE4" w14:textId="77777777" w:rsidTr="002434F1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25B8647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DF42B6A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B323BBB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212A2D9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6D28E08" w14:textId="77777777" w:rsidTr="002434F1">
        <w:trPr>
          <w:cantSplit/>
        </w:trPr>
        <w:tc>
          <w:tcPr>
            <w:tcW w:w="1498" w:type="dxa"/>
          </w:tcPr>
          <w:p w14:paraId="6C1556C5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09AEABA5" w14:textId="77777777" w:rsidR="004966BF" w:rsidRPr="00CE617F" w:rsidRDefault="0014788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434F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CFB97F6" w14:textId="77777777" w:rsidR="004966BF" w:rsidRPr="004C23F4" w:rsidRDefault="002434F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4" w:type="dxa"/>
          </w:tcPr>
          <w:p w14:paraId="2B0162A1" w14:textId="10FB6ACE" w:rsidR="004966BF" w:rsidRDefault="00662D29" w:rsidP="003C2A06">
            <w:pPr>
              <w:pStyle w:val="ListBullet"/>
              <w:tabs>
                <w:tab w:val="clear" w:pos="360"/>
              </w:tabs>
              <w:spacing w:beforeLines="60" w:before="144" w:afterLines="60" w:after="144"/>
              <w:ind w:left="731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12 male and </w:t>
            </w:r>
            <w:r w:rsidRPr="00917EC1">
              <w:t>female</w:t>
            </w:r>
            <w:r>
              <w:rPr>
                <w:rStyle w:val="checkbox"/>
                <w:rFonts w:ascii="Arial" w:hAnsi="Arial" w:cs="Arial"/>
              </w:rPr>
              <w:t xml:space="preserve"> rats exposed to</w:t>
            </w:r>
            <w:r w:rsidR="002434F1">
              <w:rPr>
                <w:rStyle w:val="checkbox"/>
                <w:rFonts w:ascii="Arial" w:hAnsi="Arial" w:cs="Arial"/>
              </w:rPr>
              <w:t xml:space="preserve"> 100, 300 and 600</w:t>
            </w:r>
            <w:r w:rsidR="00EB1903">
              <w:rPr>
                <w:rStyle w:val="checkbox"/>
                <w:rFonts w:ascii="Arial" w:hAnsi="Arial" w:cs="Arial"/>
              </w:rPr>
              <w:t> </w:t>
            </w:r>
            <w:r w:rsidR="002434F1">
              <w:rPr>
                <w:rStyle w:val="checkbox"/>
                <w:rFonts w:ascii="Arial" w:hAnsi="Arial" w:cs="Arial"/>
              </w:rPr>
              <w:t>mg/kg</w:t>
            </w:r>
            <w:r>
              <w:rPr>
                <w:rStyle w:val="checkbox"/>
                <w:rFonts w:ascii="Arial" w:hAnsi="Arial" w:cs="Arial"/>
              </w:rPr>
              <w:t>/d</w:t>
            </w:r>
            <w:r w:rsidR="002434F1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by gavage. Male rats for 43</w:t>
            </w:r>
            <w:r w:rsidR="00DA31DD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 xml:space="preserve">44 d, female rats were exposed </w:t>
            </w:r>
            <w:r w:rsidRPr="00662D29">
              <w:rPr>
                <w:rStyle w:val="checkbox"/>
                <w:rFonts w:ascii="Arial" w:hAnsi="Arial" w:cs="Arial"/>
              </w:rPr>
              <w:t>14 d prior to pairing, during pairing and p</w:t>
            </w:r>
            <w:r>
              <w:rPr>
                <w:rStyle w:val="checkbox"/>
                <w:rFonts w:ascii="Arial" w:hAnsi="Arial" w:cs="Arial"/>
              </w:rPr>
              <w:t>regnancy and 4 days afterwards</w:t>
            </w:r>
          </w:p>
          <w:p w14:paraId="6F317F0C" w14:textId="77777777" w:rsidR="00662D29" w:rsidRDefault="00917EC1" w:rsidP="003C2A06">
            <w:pPr>
              <w:pStyle w:val="ListBullet"/>
              <w:numPr>
                <w:ilvl w:val="0"/>
                <w:numId w:val="10"/>
              </w:numPr>
              <w:spacing w:beforeLines="60" w:before="144" w:afterLines="60" w:after="144"/>
              <w:ind w:left="1136" w:hanging="426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</w:t>
            </w:r>
            <w:r w:rsidR="00662D29">
              <w:rPr>
                <w:rStyle w:val="checkbox"/>
                <w:rFonts w:ascii="Arial" w:hAnsi="Arial" w:cs="Arial"/>
              </w:rPr>
              <w:t xml:space="preserve">ale NOAEL: 300 mg/kg, </w:t>
            </w:r>
            <w:r>
              <w:rPr>
                <w:rStyle w:val="checkbox"/>
                <w:rFonts w:ascii="Arial" w:hAnsi="Arial" w:cs="Arial"/>
              </w:rPr>
              <w:t>f</w:t>
            </w:r>
            <w:r w:rsidR="00662D29">
              <w:rPr>
                <w:rStyle w:val="checkbox"/>
                <w:rFonts w:ascii="Arial" w:hAnsi="Arial" w:cs="Arial"/>
              </w:rPr>
              <w:t xml:space="preserve">emale </w:t>
            </w:r>
            <w:r w:rsidR="00CE5AA5">
              <w:rPr>
                <w:rStyle w:val="checkbox"/>
                <w:rFonts w:ascii="Arial" w:hAnsi="Arial" w:cs="Arial"/>
              </w:rPr>
              <w:t>NOAEL: 1</w:t>
            </w:r>
            <w:r w:rsidR="00662D29">
              <w:rPr>
                <w:rStyle w:val="checkbox"/>
                <w:rFonts w:ascii="Arial" w:hAnsi="Arial" w:cs="Arial"/>
              </w:rPr>
              <w:t xml:space="preserve">00 mg/kg </w:t>
            </w:r>
            <w:r w:rsidR="00662D29" w:rsidRPr="00662D29">
              <w:rPr>
                <w:rStyle w:val="checkbox"/>
                <w:rFonts w:ascii="Arial" w:hAnsi="Arial" w:cs="Arial"/>
              </w:rPr>
              <w:t>systemic toxicity</w:t>
            </w:r>
          </w:p>
          <w:p w14:paraId="58E3D0EA" w14:textId="77777777" w:rsidR="00662D29" w:rsidRPr="004C6719" w:rsidRDefault="00662D29" w:rsidP="003C2A06">
            <w:pPr>
              <w:pStyle w:val="ListBullet"/>
              <w:numPr>
                <w:ilvl w:val="0"/>
                <w:numId w:val="10"/>
              </w:numPr>
              <w:spacing w:beforeLines="60" w:before="144" w:afterLines="60" w:after="144"/>
              <w:ind w:left="1136" w:hanging="426"/>
              <w:contextualSpacing w:val="0"/>
              <w:rPr>
                <w:rStyle w:val="checkbox"/>
                <w:rFonts w:ascii="Arial" w:hAnsi="Arial" w:cs="Arial"/>
              </w:rPr>
            </w:pPr>
            <w:r w:rsidRPr="00662D29">
              <w:rPr>
                <w:rStyle w:val="checkbox"/>
                <w:rFonts w:ascii="Arial" w:hAnsi="Arial" w:cs="Arial"/>
              </w:rPr>
              <w:t>NOEL could not be establ</w:t>
            </w:r>
            <w:r w:rsidR="004C6719">
              <w:rPr>
                <w:rStyle w:val="checkbox"/>
                <w:rFonts w:ascii="Arial" w:hAnsi="Arial" w:cs="Arial"/>
              </w:rPr>
              <w:t>ished for reproductive toxicity due to reduced fertility at 100 mg/kg</w:t>
            </w:r>
            <w:r w:rsidR="008C7A25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469F8765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20F4752" w14:textId="77777777" w:rsidTr="00FF3FBA">
        <w:trPr>
          <w:trHeight w:val="454"/>
          <w:tblHeader/>
        </w:trPr>
        <w:tc>
          <w:tcPr>
            <w:tcW w:w="6597" w:type="dxa"/>
            <w:vAlign w:val="center"/>
          </w:tcPr>
          <w:p w14:paraId="711A1A4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16E5DC0" w14:textId="77777777" w:rsidR="002E0D61" w:rsidRDefault="00FF3FB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0A4A2486" w14:textId="77777777" w:rsidTr="00FF3FBA">
        <w:trPr>
          <w:trHeight w:val="454"/>
        </w:trPr>
        <w:tc>
          <w:tcPr>
            <w:tcW w:w="6597" w:type="dxa"/>
            <w:vAlign w:val="center"/>
          </w:tcPr>
          <w:p w14:paraId="2F2FF3F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DAE7EFA" w14:textId="77777777" w:rsidR="008A36CF" w:rsidRDefault="00FF3FB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6C4AA69" w14:textId="77777777" w:rsidTr="00FF3FB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5967EB24" w14:textId="77777777" w:rsidR="008A36CF" w:rsidRPr="006901A2" w:rsidRDefault="00FF3FB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02B4A25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1CA70F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147238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E5B7C2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6B6E39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5EADFC5" w14:textId="77777777" w:rsidTr="00812887">
        <w:trPr>
          <w:cantSplit/>
        </w:trPr>
        <w:tc>
          <w:tcPr>
            <w:tcW w:w="3227" w:type="dxa"/>
          </w:tcPr>
          <w:p w14:paraId="512BBB6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5C23152" w14:textId="77777777" w:rsidR="00687890" w:rsidRPr="00DD2F9B" w:rsidRDefault="00E4739E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0A623920" w14:textId="77777777" w:rsidTr="00812887">
        <w:trPr>
          <w:cantSplit/>
        </w:trPr>
        <w:tc>
          <w:tcPr>
            <w:tcW w:w="3227" w:type="dxa"/>
          </w:tcPr>
          <w:p w14:paraId="2E975F4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02E46E4" w14:textId="77777777" w:rsidR="007925F0" w:rsidRPr="00DD2F9B" w:rsidRDefault="008B5A02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17D70073" w14:textId="77777777" w:rsidTr="00812887">
        <w:trPr>
          <w:cantSplit/>
        </w:trPr>
        <w:tc>
          <w:tcPr>
            <w:tcW w:w="3227" w:type="dxa"/>
          </w:tcPr>
          <w:p w14:paraId="75363F1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D20367C" w14:textId="77777777" w:rsidR="00AF483F" w:rsidRPr="00DD2F9B" w:rsidRDefault="00E2205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F0ED25F" w14:textId="77777777" w:rsidTr="00812887">
        <w:trPr>
          <w:cantSplit/>
        </w:trPr>
        <w:tc>
          <w:tcPr>
            <w:tcW w:w="3227" w:type="dxa"/>
          </w:tcPr>
          <w:p w14:paraId="2E39079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CE59841" w14:textId="77777777" w:rsidR="00687890" w:rsidRPr="00DD2F9B" w:rsidRDefault="00E2205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0C900A6" w14:textId="77777777" w:rsidTr="00812887">
        <w:trPr>
          <w:cantSplit/>
        </w:trPr>
        <w:tc>
          <w:tcPr>
            <w:tcW w:w="3227" w:type="dxa"/>
          </w:tcPr>
          <w:p w14:paraId="26A981C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FE434C3" w14:textId="77777777" w:rsidR="00E41A26" w:rsidRPr="00DD2F9B" w:rsidRDefault="00E2205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AE1B36F" w14:textId="77777777" w:rsidTr="00812887">
        <w:trPr>
          <w:cantSplit/>
        </w:trPr>
        <w:tc>
          <w:tcPr>
            <w:tcW w:w="3227" w:type="dxa"/>
          </w:tcPr>
          <w:p w14:paraId="3A2A91A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E23B4F4" w14:textId="77777777" w:rsidR="002E0D61" w:rsidRPr="00DD2F9B" w:rsidRDefault="00E2205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2AA42CE" w14:textId="77777777" w:rsidTr="00812887">
        <w:trPr>
          <w:cantSplit/>
        </w:trPr>
        <w:tc>
          <w:tcPr>
            <w:tcW w:w="3227" w:type="dxa"/>
          </w:tcPr>
          <w:p w14:paraId="0FAD650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A0A27EC" w14:textId="77777777" w:rsidR="002E0D61" w:rsidRPr="00DD2F9B" w:rsidRDefault="008B5A02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D482A7F" w14:textId="77777777" w:rsidTr="00812887">
        <w:trPr>
          <w:cantSplit/>
        </w:trPr>
        <w:tc>
          <w:tcPr>
            <w:tcW w:w="3227" w:type="dxa"/>
          </w:tcPr>
          <w:p w14:paraId="18D1A9E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E7017A7" w14:textId="77777777" w:rsidR="002E0D61" w:rsidRPr="00DD2F9B" w:rsidRDefault="00E2205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E91B6FC" w14:textId="77777777" w:rsidTr="00812887">
        <w:trPr>
          <w:cantSplit/>
        </w:trPr>
        <w:tc>
          <w:tcPr>
            <w:tcW w:w="3227" w:type="dxa"/>
          </w:tcPr>
          <w:p w14:paraId="0493394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F085AD7" w14:textId="77777777" w:rsidR="002E0D61" w:rsidRPr="00DD2F9B" w:rsidRDefault="00E2205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DFEEC3F" w14:textId="77777777" w:rsidTr="00812887">
        <w:trPr>
          <w:cantSplit/>
        </w:trPr>
        <w:tc>
          <w:tcPr>
            <w:tcW w:w="3227" w:type="dxa"/>
          </w:tcPr>
          <w:p w14:paraId="5725A2F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9E980CC" w14:textId="77777777" w:rsidR="00386093" w:rsidRPr="00DD2F9B" w:rsidRDefault="00E2205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EFDAFE7" w14:textId="77777777" w:rsidTr="00812887">
        <w:trPr>
          <w:cantSplit/>
        </w:trPr>
        <w:tc>
          <w:tcPr>
            <w:tcW w:w="3227" w:type="dxa"/>
          </w:tcPr>
          <w:p w14:paraId="67BA1A6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994DD61" w14:textId="77777777" w:rsidR="00386093" w:rsidRPr="00DD2F9B" w:rsidRDefault="00E2205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551E65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1FE850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C34BED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C41325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41D70E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828"/>
              <w:gridCol w:w="1128"/>
              <w:gridCol w:w="1128"/>
              <w:gridCol w:w="2726"/>
            </w:tblGrid>
            <w:tr w:rsidR="00917EC1" w14:paraId="2ACCF6B0" w14:textId="77777777" w:rsidTr="00917EC1">
              <w:trPr>
                <w:trHeight w:val="347"/>
              </w:trPr>
              <w:tc>
                <w:tcPr>
                  <w:tcW w:w="3849" w:type="dxa"/>
                  <w:shd w:val="clear" w:color="auto" w:fill="C5D9F1"/>
                  <w:noWrap/>
                  <w:vAlign w:val="center"/>
                  <w:hideMark/>
                </w:tcPr>
                <w:p w14:paraId="7E8A47BF" w14:textId="77777777" w:rsidR="00917EC1" w:rsidRDefault="00917EC1" w:rsidP="00917EC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33" w:type="dxa"/>
                  <w:shd w:val="clear" w:color="auto" w:fill="FFEB9C"/>
                  <w:noWrap/>
                  <w:vAlign w:val="center"/>
                  <w:hideMark/>
                </w:tcPr>
                <w:p w14:paraId="19EF5E14" w14:textId="77777777" w:rsidR="00917EC1" w:rsidRDefault="00917EC1" w:rsidP="00917EC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33" w:type="dxa"/>
                  <w:shd w:val="clear" w:color="auto" w:fill="C5D9F1"/>
                  <w:noWrap/>
                  <w:vAlign w:val="center"/>
                  <w:hideMark/>
                </w:tcPr>
                <w:p w14:paraId="0EF8EA21" w14:textId="77777777" w:rsidR="00917EC1" w:rsidRDefault="00917EC1" w:rsidP="00917EC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41" w:type="dxa"/>
                  <w:shd w:val="clear" w:color="auto" w:fill="C5D9F1"/>
                  <w:noWrap/>
                  <w:vAlign w:val="center"/>
                  <w:hideMark/>
                </w:tcPr>
                <w:p w14:paraId="7E3AA4B0" w14:textId="77777777" w:rsidR="00917EC1" w:rsidRDefault="00917EC1" w:rsidP="00917EC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17EC1" w14:paraId="39122486" w14:textId="77777777" w:rsidTr="00917EC1">
              <w:trPr>
                <w:trHeight w:val="347"/>
              </w:trPr>
              <w:tc>
                <w:tcPr>
                  <w:tcW w:w="3849" w:type="dxa"/>
                  <w:shd w:val="clear" w:color="auto" w:fill="C5D9F1"/>
                  <w:noWrap/>
                  <w:vAlign w:val="center"/>
                  <w:hideMark/>
                </w:tcPr>
                <w:p w14:paraId="1420966E" w14:textId="77777777" w:rsidR="00917EC1" w:rsidRDefault="00917EC1" w:rsidP="00917EC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33" w:type="dxa"/>
                  <w:shd w:val="clear" w:color="auto" w:fill="C5D9F1"/>
                  <w:noWrap/>
                  <w:vAlign w:val="center"/>
                  <w:hideMark/>
                </w:tcPr>
                <w:p w14:paraId="4137C14B" w14:textId="77777777" w:rsidR="00917EC1" w:rsidRDefault="00917EC1" w:rsidP="00917EC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3" w:type="dxa"/>
                  <w:shd w:val="clear" w:color="auto" w:fill="C5D9F1"/>
                  <w:noWrap/>
                  <w:vAlign w:val="center"/>
                  <w:hideMark/>
                </w:tcPr>
                <w:p w14:paraId="12FF3117" w14:textId="77777777" w:rsidR="00917EC1" w:rsidRDefault="00917EC1" w:rsidP="00917EC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41" w:type="dxa"/>
                  <w:shd w:val="clear" w:color="auto" w:fill="C5D9F1"/>
                  <w:noWrap/>
                  <w:vAlign w:val="center"/>
                  <w:hideMark/>
                </w:tcPr>
                <w:p w14:paraId="630B06D6" w14:textId="77777777" w:rsidR="00917EC1" w:rsidRDefault="00917EC1" w:rsidP="00917EC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17EC1" w14:paraId="007F384A" w14:textId="77777777" w:rsidTr="00917EC1">
              <w:trPr>
                <w:trHeight w:val="347"/>
              </w:trPr>
              <w:tc>
                <w:tcPr>
                  <w:tcW w:w="3849" w:type="dxa"/>
                  <w:shd w:val="clear" w:color="auto" w:fill="C5D9F1"/>
                  <w:noWrap/>
                  <w:vAlign w:val="center"/>
                  <w:hideMark/>
                </w:tcPr>
                <w:p w14:paraId="080FE7EC" w14:textId="77777777" w:rsidR="00917EC1" w:rsidRDefault="00917EC1" w:rsidP="00917EC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33" w:type="dxa"/>
                  <w:shd w:val="clear" w:color="auto" w:fill="C5D9F1"/>
                  <w:noWrap/>
                  <w:vAlign w:val="center"/>
                  <w:hideMark/>
                </w:tcPr>
                <w:p w14:paraId="654107E6" w14:textId="77777777" w:rsidR="00917EC1" w:rsidRDefault="00917EC1" w:rsidP="00917EC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3" w:type="dxa"/>
                  <w:shd w:val="clear" w:color="auto" w:fill="C5D9F1"/>
                  <w:noWrap/>
                  <w:vAlign w:val="center"/>
                  <w:hideMark/>
                </w:tcPr>
                <w:p w14:paraId="0AD8E11E" w14:textId="77777777" w:rsidR="00917EC1" w:rsidRDefault="00917EC1" w:rsidP="00917EC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41" w:type="dxa"/>
                  <w:shd w:val="clear" w:color="auto" w:fill="C5D9F1"/>
                  <w:noWrap/>
                  <w:vAlign w:val="center"/>
                  <w:hideMark/>
                </w:tcPr>
                <w:p w14:paraId="3D40F837" w14:textId="77777777" w:rsidR="00917EC1" w:rsidRDefault="00917EC1" w:rsidP="00917EC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17EC1" w14:paraId="2151791A" w14:textId="77777777" w:rsidTr="00917EC1">
              <w:trPr>
                <w:trHeight w:val="347"/>
              </w:trPr>
              <w:tc>
                <w:tcPr>
                  <w:tcW w:w="3849" w:type="dxa"/>
                  <w:shd w:val="clear" w:color="auto" w:fill="C5D9F1"/>
                  <w:noWrap/>
                  <w:vAlign w:val="center"/>
                  <w:hideMark/>
                </w:tcPr>
                <w:p w14:paraId="2B9F2E59" w14:textId="77777777" w:rsidR="00917EC1" w:rsidRDefault="00917EC1" w:rsidP="00917EC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33" w:type="dxa"/>
                  <w:shd w:val="clear" w:color="auto" w:fill="C5D9F1"/>
                  <w:noWrap/>
                  <w:vAlign w:val="center"/>
                  <w:hideMark/>
                </w:tcPr>
                <w:p w14:paraId="14C1E068" w14:textId="77777777" w:rsidR="00917EC1" w:rsidRDefault="00917EC1" w:rsidP="00917EC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3" w:type="dxa"/>
                  <w:shd w:val="clear" w:color="auto" w:fill="C5D9F1"/>
                  <w:noWrap/>
                  <w:vAlign w:val="center"/>
                  <w:hideMark/>
                </w:tcPr>
                <w:p w14:paraId="6CCAAD1D" w14:textId="77777777" w:rsidR="00917EC1" w:rsidRDefault="00917EC1" w:rsidP="00917EC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41" w:type="dxa"/>
                  <w:shd w:val="clear" w:color="auto" w:fill="C5D9F1"/>
                  <w:noWrap/>
                  <w:vAlign w:val="center"/>
                  <w:hideMark/>
                </w:tcPr>
                <w:p w14:paraId="366023FD" w14:textId="77777777" w:rsidR="00917EC1" w:rsidRDefault="00917EC1" w:rsidP="00917EC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17EC1" w14:paraId="01A5E452" w14:textId="77777777" w:rsidTr="00917EC1">
              <w:trPr>
                <w:trHeight w:val="347"/>
              </w:trPr>
              <w:tc>
                <w:tcPr>
                  <w:tcW w:w="3849" w:type="dxa"/>
                  <w:shd w:val="clear" w:color="auto" w:fill="C5D9F1"/>
                  <w:noWrap/>
                  <w:vAlign w:val="center"/>
                  <w:hideMark/>
                </w:tcPr>
                <w:p w14:paraId="4D9FAC44" w14:textId="77777777" w:rsidR="00917EC1" w:rsidRDefault="00917EC1" w:rsidP="00917EC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33" w:type="dxa"/>
                  <w:shd w:val="clear" w:color="auto" w:fill="C5D9F1"/>
                  <w:noWrap/>
                  <w:vAlign w:val="center"/>
                  <w:hideMark/>
                </w:tcPr>
                <w:p w14:paraId="01A09409" w14:textId="77777777" w:rsidR="00917EC1" w:rsidRDefault="00917EC1" w:rsidP="00917EC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3" w:type="dxa"/>
                  <w:shd w:val="clear" w:color="auto" w:fill="C5D9F1"/>
                  <w:noWrap/>
                  <w:vAlign w:val="center"/>
                  <w:hideMark/>
                </w:tcPr>
                <w:p w14:paraId="085BBCE5" w14:textId="77777777" w:rsidR="00917EC1" w:rsidRDefault="00917EC1" w:rsidP="00917EC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41" w:type="dxa"/>
                  <w:shd w:val="clear" w:color="auto" w:fill="C5D9F1"/>
                  <w:noWrap/>
                  <w:vAlign w:val="center"/>
                  <w:hideMark/>
                </w:tcPr>
                <w:p w14:paraId="426A4355" w14:textId="77777777" w:rsidR="00917EC1" w:rsidRDefault="00917EC1" w:rsidP="00917EC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17EC1" w14:paraId="703F392D" w14:textId="77777777" w:rsidTr="00917EC1">
              <w:trPr>
                <w:trHeight w:val="347"/>
              </w:trPr>
              <w:tc>
                <w:tcPr>
                  <w:tcW w:w="3849" w:type="dxa"/>
                  <w:shd w:val="clear" w:color="auto" w:fill="C5D9F1"/>
                  <w:noWrap/>
                  <w:vAlign w:val="center"/>
                  <w:hideMark/>
                </w:tcPr>
                <w:p w14:paraId="5434BDB5" w14:textId="77777777" w:rsidR="00917EC1" w:rsidRDefault="00917EC1" w:rsidP="00917EC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33" w:type="dxa"/>
                  <w:shd w:val="clear" w:color="auto" w:fill="C5D9F1"/>
                  <w:noWrap/>
                  <w:vAlign w:val="center"/>
                  <w:hideMark/>
                </w:tcPr>
                <w:p w14:paraId="065EB122" w14:textId="77777777" w:rsidR="00917EC1" w:rsidRDefault="00917EC1" w:rsidP="00917EC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3" w:type="dxa"/>
                  <w:shd w:val="clear" w:color="auto" w:fill="C5D9F1"/>
                  <w:noWrap/>
                  <w:vAlign w:val="center"/>
                  <w:hideMark/>
                </w:tcPr>
                <w:p w14:paraId="79BE2543" w14:textId="77777777" w:rsidR="00917EC1" w:rsidRDefault="00917EC1" w:rsidP="00917EC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41" w:type="dxa"/>
                  <w:shd w:val="clear" w:color="auto" w:fill="C5D9F1"/>
                  <w:noWrap/>
                  <w:vAlign w:val="center"/>
                  <w:hideMark/>
                </w:tcPr>
                <w:p w14:paraId="0EA87939" w14:textId="77777777" w:rsidR="00917EC1" w:rsidRDefault="00917EC1" w:rsidP="00917EC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17EC1" w14:paraId="10F46471" w14:textId="77777777" w:rsidTr="00917EC1">
              <w:trPr>
                <w:trHeight w:val="347"/>
              </w:trPr>
              <w:tc>
                <w:tcPr>
                  <w:tcW w:w="3849" w:type="dxa"/>
                  <w:shd w:val="clear" w:color="auto" w:fill="C5D9F1"/>
                  <w:noWrap/>
                  <w:vAlign w:val="center"/>
                  <w:hideMark/>
                </w:tcPr>
                <w:p w14:paraId="44815966" w14:textId="77777777" w:rsidR="00917EC1" w:rsidRDefault="00917EC1" w:rsidP="00917EC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3" w:type="dxa"/>
                  <w:shd w:val="clear" w:color="auto" w:fill="C5D9F1"/>
                  <w:noWrap/>
                  <w:vAlign w:val="center"/>
                  <w:hideMark/>
                </w:tcPr>
                <w:p w14:paraId="314F872E" w14:textId="77777777" w:rsidR="00917EC1" w:rsidRDefault="00917EC1" w:rsidP="00917EC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3" w:type="dxa"/>
                  <w:shd w:val="clear" w:color="auto" w:fill="C5D9F1"/>
                  <w:noWrap/>
                  <w:vAlign w:val="center"/>
                  <w:hideMark/>
                </w:tcPr>
                <w:p w14:paraId="5301C37B" w14:textId="77777777" w:rsidR="00917EC1" w:rsidRDefault="00917EC1" w:rsidP="00917EC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41" w:type="dxa"/>
                  <w:shd w:val="clear" w:color="auto" w:fill="C5D9F1"/>
                  <w:noWrap/>
                  <w:vAlign w:val="center"/>
                  <w:hideMark/>
                </w:tcPr>
                <w:p w14:paraId="05B52260" w14:textId="77777777" w:rsidR="00917EC1" w:rsidRDefault="00917EC1" w:rsidP="00917EC1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0ABDF2E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881ED1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3D9C87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B727A8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1D28233" w14:textId="77777777" w:rsidR="00EB3D1B" w:rsidRDefault="00E2205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4ECC404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A1685C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A28A32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408A107" w14:textId="77777777" w:rsidR="001B79E5" w:rsidRDefault="00040B2C" w:rsidP="001B79E5">
                <w:pPr>
                  <w:pStyle w:val="Tablefont"/>
                </w:pPr>
                <w:r>
                  <w:t>116.18</w:t>
                </w:r>
              </w:p>
            </w:tc>
          </w:sdtContent>
        </w:sdt>
      </w:tr>
      <w:tr w:rsidR="00A31D99" w:rsidRPr="004C23F4" w14:paraId="4E685D5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D16DD1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12B8A6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1AD698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4D2A67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049938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F23491E" w14:textId="77777777" w:rsidTr="00EA6243">
        <w:trPr>
          <w:cantSplit/>
        </w:trPr>
        <w:tc>
          <w:tcPr>
            <w:tcW w:w="4077" w:type="dxa"/>
            <w:vAlign w:val="center"/>
          </w:tcPr>
          <w:p w14:paraId="04B61E9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9C113D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4C66149" w14:textId="77777777" w:rsidTr="00EA6243">
        <w:trPr>
          <w:cantSplit/>
        </w:trPr>
        <w:tc>
          <w:tcPr>
            <w:tcW w:w="4077" w:type="dxa"/>
            <w:vAlign w:val="center"/>
          </w:tcPr>
          <w:p w14:paraId="67B8E33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AF143E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EF71D25" w14:textId="77777777" w:rsidTr="00EA6243">
        <w:trPr>
          <w:cantSplit/>
        </w:trPr>
        <w:tc>
          <w:tcPr>
            <w:tcW w:w="4077" w:type="dxa"/>
            <w:vAlign w:val="center"/>
          </w:tcPr>
          <w:p w14:paraId="598F171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175CAEF" w14:textId="77777777" w:rsidR="00E06F40" w:rsidRPr="00A006A0" w:rsidRDefault="0014788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9260AF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723F49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380007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09DF74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8FA6EA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96B65F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833095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A73D5E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8E20BEF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2F0A3D1" w14:textId="77777777" w:rsidR="00D345AA" w:rsidRDefault="00D345AA" w:rsidP="00D345AA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(1996) Isopropyl glycidyl ether – MAK value documentation.</w:t>
      </w:r>
    </w:p>
    <w:p w14:paraId="74C97A84" w14:textId="77777777" w:rsidR="008C7A25" w:rsidRDefault="008C7A25" w:rsidP="008C7A25">
      <w:pPr>
        <w:rPr>
          <w:b/>
        </w:rPr>
      </w:pPr>
      <w:r>
        <w:t>European Chemicals Agency (ECHA) (2018) 2,3-epoxypropyl isopropyl ether – REACH assessment.</w:t>
      </w:r>
    </w:p>
    <w:p w14:paraId="706E01E0" w14:textId="77777777" w:rsidR="006C3B4A" w:rsidRDefault="006C3B4A" w:rsidP="006C3B4A">
      <w:r w:rsidRPr="00D86E03">
        <w:t>US National Institute for Occupational Safety and Health (NIOSH)</w:t>
      </w:r>
      <w:r>
        <w:t xml:space="preserve"> (</w:t>
      </w:r>
      <w:r w:rsidR="00241922">
        <w:t>1994</w:t>
      </w:r>
      <w:r>
        <w:t xml:space="preserve">) Immediately dangerous to life or health concentrations – </w:t>
      </w:r>
      <w:r w:rsidR="00241922">
        <w:t>isopropyl glycidyl ether</w:t>
      </w:r>
      <w:r>
        <w:t>.</w:t>
      </w:r>
    </w:p>
    <w:p w14:paraId="474AEC2E" w14:textId="77777777" w:rsidR="00D345AA" w:rsidRPr="00351FE0" w:rsidRDefault="00D345AA" w:rsidP="008C7A25"/>
    <w:sectPr w:rsidR="00D345AA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A8E66" w14:textId="77777777" w:rsidR="00CB5367" w:rsidRDefault="00CB5367" w:rsidP="00F43AD5">
      <w:pPr>
        <w:spacing w:after="0" w:line="240" w:lineRule="auto"/>
      </w:pPr>
      <w:r>
        <w:separator/>
      </w:r>
    </w:p>
  </w:endnote>
  <w:endnote w:type="continuationSeparator" w:id="0">
    <w:p w14:paraId="66504A7C" w14:textId="77777777" w:rsidR="00CB5367" w:rsidRDefault="00CB536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906D3" w14:textId="77777777" w:rsidR="00A81FD7" w:rsidRDefault="00A81F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530B874" w14:textId="77777777" w:rsidR="008A36CF" w:rsidRDefault="00E4739E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Isopropyl glycidyl ether</w:t>
        </w:r>
        <w:r w:rsidR="008A36CF">
          <w:rPr>
            <w:b/>
            <w:sz w:val="18"/>
            <w:szCs w:val="18"/>
          </w:rPr>
          <w:t xml:space="preserve"> </w:t>
        </w:r>
        <w:r>
          <w:rPr>
            <w:b/>
            <w:sz w:val="18"/>
            <w:szCs w:val="18"/>
          </w:rPr>
          <w:t xml:space="preserve">(IGE) </w:t>
        </w:r>
        <w:r w:rsidR="008A36CF">
          <w:rPr>
            <w:b/>
            <w:sz w:val="18"/>
            <w:szCs w:val="18"/>
          </w:rPr>
          <w:t>(</w:t>
        </w:r>
        <w:r>
          <w:rPr>
            <w:b/>
            <w:sz w:val="18"/>
            <w:szCs w:val="18"/>
          </w:rPr>
          <w:t>4016-14-2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9212E94" w14:textId="743D04E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81FD7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F9999" w14:textId="77777777" w:rsidR="00A81FD7" w:rsidRDefault="00A81F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E5CD8" w14:textId="77777777" w:rsidR="00CB5367" w:rsidRDefault="00CB5367" w:rsidP="00F43AD5">
      <w:pPr>
        <w:spacing w:after="0" w:line="240" w:lineRule="auto"/>
      </w:pPr>
      <w:r>
        <w:separator/>
      </w:r>
    </w:p>
  </w:footnote>
  <w:footnote w:type="continuationSeparator" w:id="0">
    <w:p w14:paraId="777FE339" w14:textId="77777777" w:rsidR="00CB5367" w:rsidRDefault="00CB536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B64E0" w14:textId="77777777" w:rsidR="00A81FD7" w:rsidRDefault="00A81F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66E98" w14:textId="297D5031" w:rsidR="00A81FD7" w:rsidRDefault="00A81FD7" w:rsidP="00A81FD7">
    <w:pPr>
      <w:pStyle w:val="Header"/>
      <w:jc w:val="right"/>
    </w:pPr>
    <w:r>
      <w:rPr>
        <w:noProof/>
        <w:lang w:eastAsia="en-AU"/>
      </w:rPr>
      <w:drawing>
        <wp:inline distT="0" distB="0" distL="0" distR="0" wp14:anchorId="1E91C9C6" wp14:editId="3B5489CA">
          <wp:extent cx="2941955" cy="588645"/>
          <wp:effectExtent l="0" t="0" r="0" b="1905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C4F8A2" w14:textId="4100B1A4" w:rsidR="008A36CF" w:rsidRPr="00A81FD7" w:rsidRDefault="008A36CF" w:rsidP="00A81F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5100A" w14:textId="77777777" w:rsidR="00A81FD7" w:rsidRDefault="00A81FD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D3F6F" w14:textId="65A875F0" w:rsidR="00A81FD7" w:rsidRDefault="00A81FD7" w:rsidP="00A81FD7">
    <w:pPr>
      <w:pStyle w:val="Header"/>
      <w:jc w:val="right"/>
    </w:pPr>
    <w:r>
      <w:rPr>
        <w:noProof/>
        <w:lang w:eastAsia="en-AU"/>
      </w:rPr>
      <w:drawing>
        <wp:inline distT="0" distB="0" distL="0" distR="0" wp14:anchorId="46F6E115" wp14:editId="267A6424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776322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11C0A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BF73963"/>
    <w:multiLevelType w:val="hybridMultilevel"/>
    <w:tmpl w:val="6FD822C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AB6005"/>
    <w:multiLevelType w:val="hybridMultilevel"/>
    <w:tmpl w:val="85CEB156"/>
    <w:lvl w:ilvl="0" w:tplc="81BEC3D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333FC7"/>
    <w:multiLevelType w:val="hybridMultilevel"/>
    <w:tmpl w:val="F60489C0"/>
    <w:lvl w:ilvl="0" w:tplc="04090003">
      <w:start w:val="1"/>
      <w:numFmt w:val="bullet"/>
      <w:lvlText w:val="o"/>
      <w:lvlJc w:val="left"/>
      <w:pPr>
        <w:ind w:left="36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4" w15:restartNumberingAfterBreak="0">
    <w:nsid w:val="7F3A23D9"/>
    <w:multiLevelType w:val="hybridMultilevel"/>
    <w:tmpl w:val="FB8CE676"/>
    <w:lvl w:ilvl="0" w:tplc="04090003">
      <w:start w:val="1"/>
      <w:numFmt w:val="bullet"/>
      <w:lvlText w:val="o"/>
      <w:lvlJc w:val="left"/>
      <w:pPr>
        <w:ind w:left="104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num w:numId="1" w16cid:durableId="452746431">
    <w:abstractNumId w:val="0"/>
  </w:num>
  <w:num w:numId="2" w16cid:durableId="418720444">
    <w:abstractNumId w:val="0"/>
  </w:num>
  <w:num w:numId="3" w16cid:durableId="1332221167">
    <w:abstractNumId w:val="0"/>
  </w:num>
  <w:num w:numId="4" w16cid:durableId="551307050">
    <w:abstractNumId w:val="0"/>
  </w:num>
  <w:num w:numId="5" w16cid:durableId="641421289">
    <w:abstractNumId w:val="0"/>
  </w:num>
  <w:num w:numId="6" w16cid:durableId="63837478">
    <w:abstractNumId w:val="0"/>
  </w:num>
  <w:num w:numId="7" w16cid:durableId="885415945">
    <w:abstractNumId w:val="0"/>
  </w:num>
  <w:num w:numId="8" w16cid:durableId="1681657548">
    <w:abstractNumId w:val="0"/>
  </w:num>
  <w:num w:numId="9" w16cid:durableId="938178209">
    <w:abstractNumId w:val="0"/>
  </w:num>
  <w:num w:numId="10" w16cid:durableId="1558322428">
    <w:abstractNumId w:val="3"/>
  </w:num>
  <w:num w:numId="11" w16cid:durableId="1819766135">
    <w:abstractNumId w:val="0"/>
  </w:num>
  <w:num w:numId="12" w16cid:durableId="133302657">
    <w:abstractNumId w:val="0"/>
  </w:num>
  <w:num w:numId="13" w16cid:durableId="968823251">
    <w:abstractNumId w:val="0"/>
  </w:num>
  <w:num w:numId="14" w16cid:durableId="921841067">
    <w:abstractNumId w:val="2"/>
  </w:num>
  <w:num w:numId="15" w16cid:durableId="121195322">
    <w:abstractNumId w:val="1"/>
  </w:num>
  <w:num w:numId="16" w16cid:durableId="1525557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0B2C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06B5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6F7B"/>
    <w:rsid w:val="000C79C3"/>
    <w:rsid w:val="000D291C"/>
    <w:rsid w:val="000E5A54"/>
    <w:rsid w:val="000E63D3"/>
    <w:rsid w:val="000E67CF"/>
    <w:rsid w:val="000F6583"/>
    <w:rsid w:val="0010461E"/>
    <w:rsid w:val="00106FAA"/>
    <w:rsid w:val="00113443"/>
    <w:rsid w:val="00116122"/>
    <w:rsid w:val="00120EB3"/>
    <w:rsid w:val="001269A7"/>
    <w:rsid w:val="00131092"/>
    <w:rsid w:val="00140E6A"/>
    <w:rsid w:val="00146545"/>
    <w:rsid w:val="00146B75"/>
    <w:rsid w:val="00147882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77E5"/>
    <w:rsid w:val="00213640"/>
    <w:rsid w:val="00221547"/>
    <w:rsid w:val="002216FC"/>
    <w:rsid w:val="00222533"/>
    <w:rsid w:val="00222F30"/>
    <w:rsid w:val="00224EE2"/>
    <w:rsid w:val="00227EC7"/>
    <w:rsid w:val="002342EE"/>
    <w:rsid w:val="00241922"/>
    <w:rsid w:val="002434F1"/>
    <w:rsid w:val="00244AD1"/>
    <w:rsid w:val="002463BC"/>
    <w:rsid w:val="002465CE"/>
    <w:rsid w:val="0025734A"/>
    <w:rsid w:val="00263255"/>
    <w:rsid w:val="00276494"/>
    <w:rsid w:val="00277B0C"/>
    <w:rsid w:val="0028359D"/>
    <w:rsid w:val="002854D3"/>
    <w:rsid w:val="00296A21"/>
    <w:rsid w:val="002A5B18"/>
    <w:rsid w:val="002B1A2C"/>
    <w:rsid w:val="002C34F2"/>
    <w:rsid w:val="002C58FF"/>
    <w:rsid w:val="002C7AFE"/>
    <w:rsid w:val="002D05D2"/>
    <w:rsid w:val="002E0D61"/>
    <w:rsid w:val="002E4C7B"/>
    <w:rsid w:val="002E5B5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404A"/>
    <w:rsid w:val="00370DBF"/>
    <w:rsid w:val="00386093"/>
    <w:rsid w:val="003904A4"/>
    <w:rsid w:val="00391841"/>
    <w:rsid w:val="00391B6D"/>
    <w:rsid w:val="00394922"/>
    <w:rsid w:val="003A0E32"/>
    <w:rsid w:val="003A2B94"/>
    <w:rsid w:val="003A3A5D"/>
    <w:rsid w:val="003A6BED"/>
    <w:rsid w:val="003B387D"/>
    <w:rsid w:val="003C0D58"/>
    <w:rsid w:val="003C2A06"/>
    <w:rsid w:val="003D4FA3"/>
    <w:rsid w:val="003E0807"/>
    <w:rsid w:val="003E51FB"/>
    <w:rsid w:val="003E6B39"/>
    <w:rsid w:val="003F07E1"/>
    <w:rsid w:val="003F2ABE"/>
    <w:rsid w:val="004030BC"/>
    <w:rsid w:val="00403F7D"/>
    <w:rsid w:val="00406785"/>
    <w:rsid w:val="004079B4"/>
    <w:rsid w:val="00414C16"/>
    <w:rsid w:val="00417A56"/>
    <w:rsid w:val="00420957"/>
    <w:rsid w:val="00422A10"/>
    <w:rsid w:val="00430179"/>
    <w:rsid w:val="004414B5"/>
    <w:rsid w:val="00444482"/>
    <w:rsid w:val="00444B42"/>
    <w:rsid w:val="00445E44"/>
    <w:rsid w:val="00446D47"/>
    <w:rsid w:val="004509E2"/>
    <w:rsid w:val="004515EE"/>
    <w:rsid w:val="004529F0"/>
    <w:rsid w:val="00460A03"/>
    <w:rsid w:val="0046148B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C6719"/>
    <w:rsid w:val="004D06E0"/>
    <w:rsid w:val="004D16A3"/>
    <w:rsid w:val="004D4AA1"/>
    <w:rsid w:val="004D6D68"/>
    <w:rsid w:val="004E5EDD"/>
    <w:rsid w:val="004F03E7"/>
    <w:rsid w:val="004F2199"/>
    <w:rsid w:val="004F448A"/>
    <w:rsid w:val="004F493D"/>
    <w:rsid w:val="004F65E8"/>
    <w:rsid w:val="0050005E"/>
    <w:rsid w:val="00502B88"/>
    <w:rsid w:val="005142C4"/>
    <w:rsid w:val="0051509C"/>
    <w:rsid w:val="005238BE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4B6B"/>
    <w:rsid w:val="005A19C5"/>
    <w:rsid w:val="005A3034"/>
    <w:rsid w:val="005A462D"/>
    <w:rsid w:val="005B16DD"/>
    <w:rsid w:val="005B253B"/>
    <w:rsid w:val="005B4E02"/>
    <w:rsid w:val="005B771D"/>
    <w:rsid w:val="005C5D16"/>
    <w:rsid w:val="005D0746"/>
    <w:rsid w:val="005D3193"/>
    <w:rsid w:val="005D4A6E"/>
    <w:rsid w:val="005E0E75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5376"/>
    <w:rsid w:val="006567B7"/>
    <w:rsid w:val="00657160"/>
    <w:rsid w:val="00657BFB"/>
    <w:rsid w:val="00662D29"/>
    <w:rsid w:val="0066333C"/>
    <w:rsid w:val="006639B4"/>
    <w:rsid w:val="006650FE"/>
    <w:rsid w:val="006660D1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2EBE"/>
    <w:rsid w:val="006C3B4A"/>
    <w:rsid w:val="006D79EA"/>
    <w:rsid w:val="006E5413"/>
    <w:rsid w:val="006E5D05"/>
    <w:rsid w:val="006F27D2"/>
    <w:rsid w:val="0070057A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1226"/>
    <w:rsid w:val="007770F1"/>
    <w:rsid w:val="00783FB1"/>
    <w:rsid w:val="00785CDD"/>
    <w:rsid w:val="00791847"/>
    <w:rsid w:val="007925F0"/>
    <w:rsid w:val="007939B3"/>
    <w:rsid w:val="0079509C"/>
    <w:rsid w:val="00796708"/>
    <w:rsid w:val="007A31FD"/>
    <w:rsid w:val="007B1B42"/>
    <w:rsid w:val="007B54BD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0DE4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5A02"/>
    <w:rsid w:val="008B7983"/>
    <w:rsid w:val="008C2511"/>
    <w:rsid w:val="008C7A25"/>
    <w:rsid w:val="008D026D"/>
    <w:rsid w:val="008D23AB"/>
    <w:rsid w:val="008D4B8B"/>
    <w:rsid w:val="008D5A78"/>
    <w:rsid w:val="008E6B8E"/>
    <w:rsid w:val="008E7B64"/>
    <w:rsid w:val="008F4D7D"/>
    <w:rsid w:val="008F5DCD"/>
    <w:rsid w:val="00900951"/>
    <w:rsid w:val="009118A6"/>
    <w:rsid w:val="00916909"/>
    <w:rsid w:val="00916EC0"/>
    <w:rsid w:val="00917EC1"/>
    <w:rsid w:val="00920467"/>
    <w:rsid w:val="00921DE7"/>
    <w:rsid w:val="00925793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6F3B"/>
    <w:rsid w:val="009B2FF2"/>
    <w:rsid w:val="009B380C"/>
    <w:rsid w:val="009B4843"/>
    <w:rsid w:val="009B6543"/>
    <w:rsid w:val="009C199D"/>
    <w:rsid w:val="009C278F"/>
    <w:rsid w:val="009C2B94"/>
    <w:rsid w:val="009C5874"/>
    <w:rsid w:val="009D02BF"/>
    <w:rsid w:val="009D3B5A"/>
    <w:rsid w:val="009E0C05"/>
    <w:rsid w:val="009E0D1C"/>
    <w:rsid w:val="009E2214"/>
    <w:rsid w:val="009E355A"/>
    <w:rsid w:val="009E63E2"/>
    <w:rsid w:val="009E6CC0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155"/>
    <w:rsid w:val="00A6461A"/>
    <w:rsid w:val="00A67E6D"/>
    <w:rsid w:val="00A70750"/>
    <w:rsid w:val="00A81D6F"/>
    <w:rsid w:val="00A81FD7"/>
    <w:rsid w:val="00A84504"/>
    <w:rsid w:val="00A8672F"/>
    <w:rsid w:val="00A907D8"/>
    <w:rsid w:val="00A93057"/>
    <w:rsid w:val="00A968B0"/>
    <w:rsid w:val="00AB2672"/>
    <w:rsid w:val="00AB2817"/>
    <w:rsid w:val="00AB43C4"/>
    <w:rsid w:val="00AB486B"/>
    <w:rsid w:val="00AC32E7"/>
    <w:rsid w:val="00AC3A9F"/>
    <w:rsid w:val="00AC6D2F"/>
    <w:rsid w:val="00AE2745"/>
    <w:rsid w:val="00AE2F64"/>
    <w:rsid w:val="00AF0C49"/>
    <w:rsid w:val="00AF42CB"/>
    <w:rsid w:val="00AF483F"/>
    <w:rsid w:val="00AF5E07"/>
    <w:rsid w:val="00AF5F06"/>
    <w:rsid w:val="00B00A25"/>
    <w:rsid w:val="00B1422A"/>
    <w:rsid w:val="00B1765C"/>
    <w:rsid w:val="00B213C4"/>
    <w:rsid w:val="00B222ED"/>
    <w:rsid w:val="00B40C60"/>
    <w:rsid w:val="00B479A9"/>
    <w:rsid w:val="00B52EDF"/>
    <w:rsid w:val="00B71188"/>
    <w:rsid w:val="00B76A41"/>
    <w:rsid w:val="00B77FD9"/>
    <w:rsid w:val="00B86061"/>
    <w:rsid w:val="00B87D4C"/>
    <w:rsid w:val="00B90016"/>
    <w:rsid w:val="00B93646"/>
    <w:rsid w:val="00B96373"/>
    <w:rsid w:val="00BA0B38"/>
    <w:rsid w:val="00BA1DBB"/>
    <w:rsid w:val="00BA4510"/>
    <w:rsid w:val="00BA529A"/>
    <w:rsid w:val="00BB612A"/>
    <w:rsid w:val="00BD499F"/>
    <w:rsid w:val="00BD56DE"/>
    <w:rsid w:val="00BF2406"/>
    <w:rsid w:val="00C0151D"/>
    <w:rsid w:val="00C02D98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2710"/>
    <w:rsid w:val="00C6594B"/>
    <w:rsid w:val="00C67FFB"/>
    <w:rsid w:val="00C7155E"/>
    <w:rsid w:val="00C71D1E"/>
    <w:rsid w:val="00C71D7D"/>
    <w:rsid w:val="00C741BF"/>
    <w:rsid w:val="00C74833"/>
    <w:rsid w:val="00C850A0"/>
    <w:rsid w:val="00C85A86"/>
    <w:rsid w:val="00C978F0"/>
    <w:rsid w:val="00CA58FE"/>
    <w:rsid w:val="00CA6EC9"/>
    <w:rsid w:val="00CB1CB1"/>
    <w:rsid w:val="00CB5367"/>
    <w:rsid w:val="00CB6BC1"/>
    <w:rsid w:val="00CB6CB8"/>
    <w:rsid w:val="00CC1A68"/>
    <w:rsid w:val="00CC2123"/>
    <w:rsid w:val="00CD2BFD"/>
    <w:rsid w:val="00CE5AA5"/>
    <w:rsid w:val="00CE5AD6"/>
    <w:rsid w:val="00CE617F"/>
    <w:rsid w:val="00CE78EF"/>
    <w:rsid w:val="00D048F7"/>
    <w:rsid w:val="00D0517E"/>
    <w:rsid w:val="00D140FC"/>
    <w:rsid w:val="00D21D8C"/>
    <w:rsid w:val="00D27945"/>
    <w:rsid w:val="00D31357"/>
    <w:rsid w:val="00D33220"/>
    <w:rsid w:val="00D334D1"/>
    <w:rsid w:val="00D345AA"/>
    <w:rsid w:val="00D44C89"/>
    <w:rsid w:val="00D516CD"/>
    <w:rsid w:val="00D55EA0"/>
    <w:rsid w:val="00D668E6"/>
    <w:rsid w:val="00D70670"/>
    <w:rsid w:val="00D74D80"/>
    <w:rsid w:val="00D76624"/>
    <w:rsid w:val="00D87570"/>
    <w:rsid w:val="00D90EE6"/>
    <w:rsid w:val="00D91CB9"/>
    <w:rsid w:val="00D97989"/>
    <w:rsid w:val="00D97D8D"/>
    <w:rsid w:val="00DA31DD"/>
    <w:rsid w:val="00DA352E"/>
    <w:rsid w:val="00DC7694"/>
    <w:rsid w:val="00DD1BF6"/>
    <w:rsid w:val="00DD2F9B"/>
    <w:rsid w:val="00DD67F8"/>
    <w:rsid w:val="00DE2513"/>
    <w:rsid w:val="00DE26E8"/>
    <w:rsid w:val="00DF6F36"/>
    <w:rsid w:val="00E0084C"/>
    <w:rsid w:val="00E025AB"/>
    <w:rsid w:val="00E02B23"/>
    <w:rsid w:val="00E06F40"/>
    <w:rsid w:val="00E07CE8"/>
    <w:rsid w:val="00E2205F"/>
    <w:rsid w:val="00E26A07"/>
    <w:rsid w:val="00E32595"/>
    <w:rsid w:val="00E37CFD"/>
    <w:rsid w:val="00E41A26"/>
    <w:rsid w:val="00E46BCB"/>
    <w:rsid w:val="00E4739E"/>
    <w:rsid w:val="00E51CAF"/>
    <w:rsid w:val="00E60F04"/>
    <w:rsid w:val="00E62A2D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1903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0D4"/>
    <w:rsid w:val="00F67BBB"/>
    <w:rsid w:val="00F87D92"/>
    <w:rsid w:val="00F90AA7"/>
    <w:rsid w:val="00F92498"/>
    <w:rsid w:val="00F9496B"/>
    <w:rsid w:val="00F970C9"/>
    <w:rsid w:val="00FA06A8"/>
    <w:rsid w:val="00FA3124"/>
    <w:rsid w:val="00FA3DF5"/>
    <w:rsid w:val="00FA59DB"/>
    <w:rsid w:val="00FA741F"/>
    <w:rsid w:val="00FB4E07"/>
    <w:rsid w:val="00FB755A"/>
    <w:rsid w:val="00FC60A2"/>
    <w:rsid w:val="00FD1871"/>
    <w:rsid w:val="00FD3110"/>
    <w:rsid w:val="00FE2978"/>
    <w:rsid w:val="00FE799A"/>
    <w:rsid w:val="00FE7AF8"/>
    <w:rsid w:val="00FF16BE"/>
    <w:rsid w:val="00FF3FB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43912FB6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040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0B2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B2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B2C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D345AA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414C16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6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E1C5FC6ECE2496490F563D89F5852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66B3D-6936-4CA7-AA1E-799DC341E5C3}"/>
      </w:docPartPr>
      <w:docPartBody>
        <w:p w:rsidR="00292A20" w:rsidRDefault="00915B18" w:rsidP="00915B18">
          <w:pPr>
            <w:pStyle w:val="CE1C5FC6ECE2496490F563D89F585298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08529458192D443D9E70F40C12B42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037400-C8D6-488F-B57F-A53F503D7FDD}"/>
      </w:docPartPr>
      <w:docPartBody>
        <w:p w:rsidR="00292A20" w:rsidRDefault="00915B18" w:rsidP="00915B18">
          <w:pPr>
            <w:pStyle w:val="08529458192D443D9E70F40C12B42E67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6E70947371D4C9CADBAD3A3FB98A5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611259-DAD1-467F-9F2A-5C13A0FB39BC}"/>
      </w:docPartPr>
      <w:docPartBody>
        <w:p w:rsidR="00292A20" w:rsidRDefault="00915B18" w:rsidP="00915B18">
          <w:pPr>
            <w:pStyle w:val="86E70947371D4C9CADBAD3A3FB98A53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8A442D89A654945BA7C2BBE146E17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AEFE9A-CF56-45AF-B42D-1BA36B185844}"/>
      </w:docPartPr>
      <w:docPartBody>
        <w:p w:rsidR="00292A20" w:rsidRDefault="00915B18" w:rsidP="00915B18">
          <w:pPr>
            <w:pStyle w:val="98A442D89A654945BA7C2BBE146E17D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1A220E7531214E5F91B5C4E6CB19C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8D67D-E9CC-46B4-B306-089921B7B001}"/>
      </w:docPartPr>
      <w:docPartBody>
        <w:p w:rsidR="00292A20" w:rsidRDefault="00915B18" w:rsidP="00915B18">
          <w:pPr>
            <w:pStyle w:val="1A220E7531214E5F91B5C4E6CB19C69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119CA83D7D242FF9848A38002953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1116B8-9E23-43FB-B8A4-1527DDD170BD}"/>
      </w:docPartPr>
      <w:docPartBody>
        <w:p w:rsidR="00292A20" w:rsidRDefault="00915B18" w:rsidP="00915B18">
          <w:pPr>
            <w:pStyle w:val="F119CA83D7D242FF9848A380029534F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83F772279584D3683F9DE94A5524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D9B9C6-500D-4CCA-B2B6-9729DF34764F}"/>
      </w:docPartPr>
      <w:docPartBody>
        <w:p w:rsidR="00292A20" w:rsidRDefault="00915B18" w:rsidP="00915B18">
          <w:pPr>
            <w:pStyle w:val="883F772279584D3683F9DE94A55243F5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CF7BA6F02E44499EBD1BDFC5B4143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A74A0-E4C0-4134-A0E5-D37F5C46F415}"/>
      </w:docPartPr>
      <w:docPartBody>
        <w:p w:rsidR="00292A20" w:rsidRDefault="00915B18" w:rsidP="00915B18">
          <w:pPr>
            <w:pStyle w:val="CF7BA6F02E44499EBD1BDFC5B414329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960E50104D424CA997F2EB897409A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0A38A-BB62-4E24-9D03-03D3E9843CF0}"/>
      </w:docPartPr>
      <w:docPartBody>
        <w:p w:rsidR="003E2C05" w:rsidRDefault="00292A20" w:rsidP="00292A20">
          <w:pPr>
            <w:pStyle w:val="960E50104D424CA997F2EB897409A774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83E8B"/>
    <w:rsid w:val="00292A20"/>
    <w:rsid w:val="002A04A6"/>
    <w:rsid w:val="003E2C05"/>
    <w:rsid w:val="0040435C"/>
    <w:rsid w:val="00487739"/>
    <w:rsid w:val="004D0868"/>
    <w:rsid w:val="006A2C51"/>
    <w:rsid w:val="00915B18"/>
    <w:rsid w:val="00D21A9F"/>
    <w:rsid w:val="00FC2F82"/>
    <w:rsid w:val="00FE2978"/>
    <w:rsid w:val="00FE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2A20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E1C5FC6ECE2496490F563D89F585298">
    <w:name w:val="CE1C5FC6ECE2496490F563D89F585298"/>
    <w:rsid w:val="00915B18"/>
    <w:rPr>
      <w:lang w:val="en-US" w:eastAsia="en-US"/>
    </w:rPr>
  </w:style>
  <w:style w:type="paragraph" w:customStyle="1" w:styleId="08529458192D443D9E70F40C12B42E67">
    <w:name w:val="08529458192D443D9E70F40C12B42E67"/>
    <w:rsid w:val="00915B18"/>
    <w:rPr>
      <w:lang w:val="en-US" w:eastAsia="en-US"/>
    </w:rPr>
  </w:style>
  <w:style w:type="paragraph" w:customStyle="1" w:styleId="86E70947371D4C9CADBAD3A3FB98A53C">
    <w:name w:val="86E70947371D4C9CADBAD3A3FB98A53C"/>
    <w:rsid w:val="00915B18"/>
    <w:rPr>
      <w:lang w:val="en-US" w:eastAsia="en-US"/>
    </w:rPr>
  </w:style>
  <w:style w:type="paragraph" w:customStyle="1" w:styleId="98A442D89A654945BA7C2BBE146E17DE">
    <w:name w:val="98A442D89A654945BA7C2BBE146E17DE"/>
    <w:rsid w:val="00915B18"/>
    <w:rPr>
      <w:lang w:val="en-US" w:eastAsia="en-US"/>
    </w:rPr>
  </w:style>
  <w:style w:type="paragraph" w:customStyle="1" w:styleId="1A220E7531214E5F91B5C4E6CB19C699">
    <w:name w:val="1A220E7531214E5F91B5C4E6CB19C699"/>
    <w:rsid w:val="00915B18"/>
    <w:rPr>
      <w:lang w:val="en-US" w:eastAsia="en-US"/>
    </w:rPr>
  </w:style>
  <w:style w:type="paragraph" w:customStyle="1" w:styleId="F119CA83D7D242FF9848A380029534F0">
    <w:name w:val="F119CA83D7D242FF9848A380029534F0"/>
    <w:rsid w:val="00915B18"/>
    <w:rPr>
      <w:lang w:val="en-US" w:eastAsia="en-US"/>
    </w:rPr>
  </w:style>
  <w:style w:type="paragraph" w:customStyle="1" w:styleId="883F772279584D3683F9DE94A55243F5">
    <w:name w:val="883F772279584D3683F9DE94A55243F5"/>
    <w:rsid w:val="00915B18"/>
    <w:rPr>
      <w:lang w:val="en-US" w:eastAsia="en-US"/>
    </w:rPr>
  </w:style>
  <w:style w:type="paragraph" w:customStyle="1" w:styleId="CF7BA6F02E44499EBD1BDFC5B414329E">
    <w:name w:val="CF7BA6F02E44499EBD1BDFC5B414329E"/>
    <w:rsid w:val="00915B18"/>
    <w:rPr>
      <w:lang w:val="en-US" w:eastAsia="en-US"/>
    </w:rPr>
  </w:style>
  <w:style w:type="paragraph" w:customStyle="1" w:styleId="960E50104D424CA997F2EB897409A774">
    <w:name w:val="960E50104D424CA997F2EB897409A774"/>
    <w:rsid w:val="00292A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1c567317-0c4d-4a62-8516-c22afd1b5354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0509f21-ed56-4150-9955-96be669e5f2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B38CF05-A201-4602-A259-F608D0C097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C452B8-0BEB-4863-888F-AC2480BB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6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52</cp:revision>
  <cp:lastPrinted>2018-10-22T22:41:00Z</cp:lastPrinted>
  <dcterms:created xsi:type="dcterms:W3CDTF">2019-04-14T23:55:00Z</dcterms:created>
  <dcterms:modified xsi:type="dcterms:W3CDTF">2026-01-08T23:33:00Z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2025-12-23T04:41:44Z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36f6766b-a569-4b00-8169-e358c10e04f1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