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23FA7" w14:textId="722224AA" w:rsidR="00BD499F" w:rsidRPr="004C23F4" w:rsidRDefault="002509A3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0D6EF3">
            <w:rPr>
              <w:rFonts w:ascii="Arial" w:hAnsi="Arial" w:cs="Arial"/>
            </w:rPr>
            <w:t>LPG (liqu</w:t>
          </w:r>
          <w:r w:rsidR="007D5852">
            <w:rPr>
              <w:rFonts w:ascii="Arial" w:hAnsi="Arial" w:cs="Arial"/>
            </w:rPr>
            <w:t>E</w:t>
          </w:r>
          <w:r w:rsidR="000D6EF3">
            <w:rPr>
              <w:rFonts w:ascii="Arial" w:hAnsi="Arial" w:cs="Arial"/>
            </w:rPr>
            <w:t>fied petroleum gas)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5C652646" w14:textId="77777777" w:rsidTr="00B76A41">
        <w:trPr>
          <w:cantSplit/>
          <w:tblHeader/>
        </w:trPr>
        <w:tc>
          <w:tcPr>
            <w:tcW w:w="4077" w:type="dxa"/>
          </w:tcPr>
          <w:p w14:paraId="5000ABF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4D28C82" w14:textId="77777777" w:rsidR="00F43AD5" w:rsidRPr="00717D45" w:rsidRDefault="000D6EF3" w:rsidP="00B76A41">
            <w:pPr>
              <w:pStyle w:val="Tablefont"/>
            </w:pPr>
            <w:r w:rsidRPr="000D6EF3">
              <w:t>68476-85-7</w:t>
            </w:r>
          </w:p>
        </w:tc>
      </w:tr>
      <w:tr w:rsidR="00F43AD5" w:rsidRPr="004C23F4" w14:paraId="14925BBD" w14:textId="77777777" w:rsidTr="00B76A41">
        <w:trPr>
          <w:cantSplit/>
        </w:trPr>
        <w:tc>
          <w:tcPr>
            <w:tcW w:w="4077" w:type="dxa"/>
          </w:tcPr>
          <w:p w14:paraId="2F7A3D7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F950FF6" w14:textId="339BAD18" w:rsidR="00F43AD5" w:rsidRPr="00717D45" w:rsidRDefault="00B713FC" w:rsidP="000D6EF3">
            <w:pPr>
              <w:pStyle w:val="Tablefont"/>
            </w:pPr>
            <w:r>
              <w:t>P</w:t>
            </w:r>
            <w:r w:rsidR="000D6EF3">
              <w:t>etroleum gas, bottled gas</w:t>
            </w:r>
          </w:p>
        </w:tc>
      </w:tr>
      <w:tr w:rsidR="00F43AD5" w:rsidRPr="004C23F4" w14:paraId="37BB8CAA" w14:textId="77777777" w:rsidTr="00B76A41">
        <w:trPr>
          <w:cantSplit/>
        </w:trPr>
        <w:tc>
          <w:tcPr>
            <w:tcW w:w="4077" w:type="dxa"/>
          </w:tcPr>
          <w:p w14:paraId="4DD60F7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81B3B38" w14:textId="77777777" w:rsidR="00F43AD5" w:rsidRPr="00717D45" w:rsidRDefault="008A7D82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6815D84" w14:textId="77777777" w:rsidTr="00B76A41">
        <w:trPr>
          <w:cantSplit/>
        </w:trPr>
        <w:tc>
          <w:tcPr>
            <w:tcW w:w="4077" w:type="dxa"/>
          </w:tcPr>
          <w:p w14:paraId="31102DE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4BCB53A" w14:textId="77777777" w:rsidR="00F43AD5" w:rsidRPr="00B40C60" w:rsidRDefault="008A7D8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0BED7CEE" w14:textId="2AFF06C5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109B5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4B3BAA3" w14:textId="77777777" w:rsidTr="008A7D82">
        <w:trPr>
          <w:cantSplit/>
          <w:tblHeader/>
        </w:trPr>
        <w:tc>
          <w:tcPr>
            <w:tcW w:w="4010" w:type="dxa"/>
            <w:vAlign w:val="center"/>
          </w:tcPr>
          <w:p w14:paraId="30DE601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5E1A5ECD" w14:textId="604C8155" w:rsidR="002C7AFE" w:rsidRPr="00EB3D1B" w:rsidRDefault="00E109B5" w:rsidP="00017C82">
            <w:pPr>
              <w:pStyle w:val="Tablefont"/>
              <w:rPr>
                <w:b/>
              </w:rPr>
            </w:pPr>
            <w:r w:rsidRPr="00E109B5">
              <w:rPr>
                <w:b/>
              </w:rPr>
              <w:t>1,000 ppm (1,800 mg/m</w:t>
            </w:r>
            <w:r w:rsidRPr="00E109B5">
              <w:rPr>
                <w:b/>
                <w:vertAlign w:val="superscript"/>
              </w:rPr>
              <w:t>3</w:t>
            </w:r>
            <w:r w:rsidRPr="00E109B5">
              <w:rPr>
                <w:b/>
              </w:rPr>
              <w:t>)</w:t>
            </w:r>
          </w:p>
        </w:tc>
      </w:tr>
      <w:tr w:rsidR="008A7D82" w:rsidRPr="004C23F4" w14:paraId="55DC0B73" w14:textId="77777777" w:rsidTr="008A7D82">
        <w:trPr>
          <w:cantSplit/>
        </w:trPr>
        <w:tc>
          <w:tcPr>
            <w:tcW w:w="4010" w:type="dxa"/>
            <w:vAlign w:val="center"/>
          </w:tcPr>
          <w:p w14:paraId="6E0BC2B9" w14:textId="77777777" w:rsidR="008A7D82" w:rsidRPr="002C58FF" w:rsidRDefault="008A7D82" w:rsidP="008A7D8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543A264C" w14:textId="77777777" w:rsidR="008A7D82" w:rsidRPr="00EB3D1B" w:rsidRDefault="008A7D82" w:rsidP="008A7D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8A7D82" w:rsidRPr="004C23F4" w14:paraId="40344CEC" w14:textId="77777777" w:rsidTr="008A7D82">
        <w:trPr>
          <w:cantSplit/>
        </w:trPr>
        <w:tc>
          <w:tcPr>
            <w:tcW w:w="4010" w:type="dxa"/>
            <w:vAlign w:val="center"/>
          </w:tcPr>
          <w:p w14:paraId="75B00C72" w14:textId="77777777" w:rsidR="008A7D82" w:rsidRPr="002C58FF" w:rsidRDefault="008A7D82" w:rsidP="008A7D8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7DDA712A" w14:textId="77777777" w:rsidR="008A7D82" w:rsidRPr="00EB3D1B" w:rsidRDefault="008A7D82" w:rsidP="008A7D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8A7D82" w:rsidRPr="004C23F4" w14:paraId="5FEF5091" w14:textId="77777777" w:rsidTr="008A7D82">
        <w:trPr>
          <w:cantSplit/>
        </w:trPr>
        <w:tc>
          <w:tcPr>
            <w:tcW w:w="4010" w:type="dxa"/>
          </w:tcPr>
          <w:p w14:paraId="3177CC88" w14:textId="77777777" w:rsidR="008A7D82" w:rsidRPr="002C58FF" w:rsidRDefault="008A7D82" w:rsidP="008A7D8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5BEE4C3B" w14:textId="6A106878" w:rsidR="008A7D82" w:rsidRPr="00E865ED" w:rsidRDefault="00E865ED" w:rsidP="00083897">
            <w:pPr>
              <w:pStyle w:val="Tablefont"/>
              <w:rPr>
                <w:b/>
              </w:rPr>
            </w:pPr>
            <w:proofErr w:type="spellStart"/>
            <w:r w:rsidRPr="00E865ED">
              <w:rPr>
                <w:b/>
              </w:rPr>
              <w:t>Carc</w:t>
            </w:r>
            <w:proofErr w:type="spellEnd"/>
            <w:r w:rsidRPr="00E865ED">
              <w:rPr>
                <w:b/>
              </w:rPr>
              <w:t>. 1</w:t>
            </w:r>
            <w:r w:rsidR="00E16941">
              <w:rPr>
                <w:b/>
              </w:rPr>
              <w:t>B</w:t>
            </w:r>
          </w:p>
        </w:tc>
      </w:tr>
      <w:tr w:rsidR="008A7D82" w:rsidRPr="004C23F4" w14:paraId="340836F7" w14:textId="77777777" w:rsidTr="008A7D82">
        <w:trPr>
          <w:cantSplit/>
        </w:trPr>
        <w:tc>
          <w:tcPr>
            <w:tcW w:w="4010" w:type="dxa"/>
            <w:vAlign w:val="center"/>
          </w:tcPr>
          <w:p w14:paraId="7AF2C268" w14:textId="77777777" w:rsidR="008A7D82" w:rsidRPr="002C58FF" w:rsidRDefault="008A7D82" w:rsidP="008A7D8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4E191A06" w14:textId="4FE8ED48" w:rsidR="008A7D82" w:rsidRPr="00EB3D1B" w:rsidRDefault="00EE2EDD" w:rsidP="008A7D82">
            <w:pPr>
              <w:pStyle w:val="Tablefont"/>
              <w:rPr>
                <w:b/>
              </w:rPr>
            </w:pPr>
            <w:r>
              <w:rPr>
                <w:b/>
              </w:rPr>
              <w:t>2,000 ppm</w:t>
            </w:r>
          </w:p>
        </w:tc>
      </w:tr>
      <w:tr w:rsidR="00B66CF5" w:rsidRPr="004C23F4" w14:paraId="1135CB15" w14:textId="77777777" w:rsidTr="00E16941">
        <w:trPr>
          <w:cantSplit/>
        </w:trPr>
        <w:tc>
          <w:tcPr>
            <w:tcW w:w="9026" w:type="dxa"/>
            <w:gridSpan w:val="2"/>
            <w:vAlign w:val="center"/>
          </w:tcPr>
          <w:p w14:paraId="1613D096" w14:textId="7A76E83C" w:rsidR="00B66CF5" w:rsidRPr="007C409A" w:rsidRDefault="00B66CF5" w:rsidP="008A7D82">
            <w:pPr>
              <w:pStyle w:val="Tablefont"/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72045902D6E7469393A68C42C648A75B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7BCAE2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C712F75" w14:textId="366FBAA6" w:rsidR="006639B4" w:rsidRDefault="00E109B5" w:rsidP="000C139A">
      <w:pPr>
        <w:rPr>
          <w:rFonts w:cs="Arial"/>
        </w:rPr>
      </w:pPr>
      <w:r w:rsidRPr="00E109B5">
        <w:rPr>
          <w:rFonts w:cs="Arial"/>
        </w:rPr>
        <w:t xml:space="preserve">A TWA of </w:t>
      </w:r>
      <w:r>
        <w:rPr>
          <w:rFonts w:cs="Arial"/>
        </w:rPr>
        <w:t>1,000</w:t>
      </w:r>
      <w:r w:rsidRPr="00E109B5">
        <w:rPr>
          <w:rFonts w:cs="Arial"/>
        </w:rPr>
        <w:t xml:space="preserve"> ppm (</w:t>
      </w:r>
      <w:r>
        <w:rPr>
          <w:rFonts w:cs="Arial"/>
        </w:rPr>
        <w:t>1,800</w:t>
      </w:r>
      <w:r w:rsidRPr="00E109B5">
        <w:rPr>
          <w:rFonts w:cs="Arial"/>
        </w:rPr>
        <w:t xml:space="preserve"> mg/m</w:t>
      </w:r>
      <w:r w:rsidRPr="00E109B5">
        <w:rPr>
          <w:rFonts w:cs="Arial"/>
          <w:vertAlign w:val="superscript"/>
        </w:rPr>
        <w:t>3</w:t>
      </w:r>
      <w:r w:rsidRPr="00E109B5">
        <w:rPr>
          <w:rFonts w:cs="Arial"/>
        </w:rPr>
        <w:t xml:space="preserve">) is recommended to protect for </w:t>
      </w:r>
      <w:r>
        <w:rPr>
          <w:rFonts w:cs="Arial"/>
        </w:rPr>
        <w:t>potential kidney damage and asphyxiation</w:t>
      </w:r>
      <w:r w:rsidRPr="00E109B5">
        <w:rPr>
          <w:rFonts w:cs="Arial"/>
        </w:rPr>
        <w:t xml:space="preserve"> in exposed workers.</w:t>
      </w:r>
    </w:p>
    <w:p w14:paraId="657D024E" w14:textId="560BEA55" w:rsidR="00B713FC" w:rsidRPr="004C23F4" w:rsidRDefault="00B713FC" w:rsidP="000C139A">
      <w:pPr>
        <w:rPr>
          <w:rFonts w:cs="Arial"/>
        </w:rPr>
      </w:pPr>
      <w:r w:rsidRPr="007E45DB">
        <w:rPr>
          <w:rFonts w:cs="Arial"/>
        </w:rPr>
        <w:t xml:space="preserve">A priority review of the </w:t>
      </w:r>
      <w:r w:rsidR="008F331E">
        <w:rPr>
          <w:rFonts w:cs="Arial"/>
        </w:rPr>
        <w:t xml:space="preserve">additional </w:t>
      </w:r>
      <w:r w:rsidRPr="007E45DB">
        <w:rPr>
          <w:rFonts w:cs="Arial"/>
        </w:rPr>
        <w:t xml:space="preserve">data </w:t>
      </w:r>
      <w:r w:rsidR="008F331E">
        <w:rPr>
          <w:rFonts w:cs="Arial"/>
        </w:rPr>
        <w:t xml:space="preserve">sources </w:t>
      </w:r>
      <w:r w:rsidR="008F331E" w:rsidRPr="007E45DB">
        <w:rPr>
          <w:rFonts w:cs="Arial"/>
        </w:rPr>
        <w:t xml:space="preserve">is recommended </w:t>
      </w:r>
      <w:r w:rsidRPr="007E45DB">
        <w:rPr>
          <w:rFonts w:cs="Arial"/>
        </w:rPr>
        <w:t>in the next scheduled review.</w:t>
      </w:r>
    </w:p>
    <w:p w14:paraId="1D3684E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FFC042B" w14:textId="77777777" w:rsidR="0099753E" w:rsidRDefault="00856286" w:rsidP="006639B4">
      <w:pPr>
        <w:rPr>
          <w:rFonts w:cs="Arial"/>
        </w:rPr>
      </w:pPr>
      <w:r w:rsidRPr="00856286">
        <w:rPr>
          <w:rFonts w:cs="Arial"/>
        </w:rPr>
        <w:t xml:space="preserve">Liquefied petroleum gas (LPG) is a by-product of petroleum refinement </w:t>
      </w:r>
      <w:r>
        <w:rPr>
          <w:rFonts w:cs="Arial"/>
        </w:rPr>
        <w:t>and is used as</w:t>
      </w:r>
      <w:r w:rsidRPr="00856286">
        <w:rPr>
          <w:rFonts w:cs="Arial"/>
        </w:rPr>
        <w:t xml:space="preserve"> </w:t>
      </w:r>
      <w:r w:rsidR="001B28E3">
        <w:rPr>
          <w:rFonts w:cs="Arial"/>
        </w:rPr>
        <w:t xml:space="preserve">a </w:t>
      </w:r>
      <w:r w:rsidRPr="00856286">
        <w:rPr>
          <w:rFonts w:cs="Arial"/>
        </w:rPr>
        <w:t>fuel</w:t>
      </w:r>
      <w:r>
        <w:rPr>
          <w:rFonts w:cs="Arial"/>
        </w:rPr>
        <w:t>. It</w:t>
      </w:r>
      <w:r w:rsidRPr="00856286">
        <w:rPr>
          <w:rFonts w:cs="Arial"/>
        </w:rPr>
        <w:t xml:space="preserve"> consists primarily of propane and butane mixtures with smaller components of C</w:t>
      </w:r>
      <w:r w:rsidRPr="00856286">
        <w:rPr>
          <w:rFonts w:cs="Arial"/>
          <w:vertAlign w:val="subscript"/>
        </w:rPr>
        <w:t>1</w:t>
      </w:r>
      <w:r w:rsidRPr="00856286">
        <w:rPr>
          <w:rFonts w:cs="Arial"/>
        </w:rPr>
        <w:t>–C</w:t>
      </w:r>
      <w:r w:rsidRPr="00856286">
        <w:rPr>
          <w:rFonts w:cs="Arial"/>
          <w:vertAlign w:val="subscript"/>
        </w:rPr>
        <w:t>7</w:t>
      </w:r>
      <w:r w:rsidRPr="00856286">
        <w:rPr>
          <w:rFonts w:cs="Arial"/>
        </w:rPr>
        <w:t xml:space="preserve"> hydrocarbons. </w:t>
      </w:r>
    </w:p>
    <w:p w14:paraId="619AD069" w14:textId="24398742" w:rsidR="00856286" w:rsidRDefault="00856286" w:rsidP="006639B4">
      <w:pPr>
        <w:rPr>
          <w:rFonts w:cs="Arial"/>
        </w:rPr>
      </w:pPr>
      <w:r>
        <w:rPr>
          <w:rFonts w:cs="Arial"/>
        </w:rPr>
        <w:t>Critical effects of</w:t>
      </w:r>
      <w:r w:rsidR="0099753E">
        <w:rPr>
          <w:rFonts w:cs="Arial"/>
        </w:rPr>
        <w:t xml:space="preserve"> exposure to</w:t>
      </w:r>
      <w:r>
        <w:rPr>
          <w:rFonts w:cs="Arial"/>
        </w:rPr>
        <w:t xml:space="preserve"> the major components are potential kidney damage and asphyxiation at high concentrations due to oxygen displacement.</w:t>
      </w:r>
      <w:r w:rsidR="0099753E">
        <w:rPr>
          <w:rFonts w:cs="Arial"/>
        </w:rPr>
        <w:t xml:space="preserve"> </w:t>
      </w:r>
      <w:r>
        <w:rPr>
          <w:rFonts w:cs="Arial"/>
        </w:rPr>
        <w:t xml:space="preserve">Narcotic effects are reported in humans </w:t>
      </w:r>
      <w:proofErr w:type="gramStart"/>
      <w:r w:rsidR="0060717F">
        <w:rPr>
          <w:rFonts w:cs="Arial"/>
        </w:rPr>
        <w:t>as a result of</w:t>
      </w:r>
      <w:proofErr w:type="gramEnd"/>
      <w:r w:rsidR="00AB468C">
        <w:rPr>
          <w:rFonts w:cs="Arial"/>
        </w:rPr>
        <w:t xml:space="preserve"> </w:t>
      </w:r>
      <w:r>
        <w:rPr>
          <w:rFonts w:cs="Arial"/>
        </w:rPr>
        <w:t>accidental or intentional overexposures</w:t>
      </w:r>
      <w:r w:rsidR="00AB468C">
        <w:rPr>
          <w:rFonts w:cs="Arial"/>
        </w:rPr>
        <w:t xml:space="preserve"> for which quantitative exposure data are limited. Animal studies with mixtures of butane and pentane isomers indicate kidney damage may occur above </w:t>
      </w:r>
      <w:r w:rsidR="00E109B5">
        <w:rPr>
          <w:rFonts w:cs="Arial"/>
        </w:rPr>
        <w:t>sub</w:t>
      </w:r>
      <w:r w:rsidR="008F331E">
        <w:rPr>
          <w:rFonts w:cs="Arial"/>
        </w:rPr>
        <w:t>-</w:t>
      </w:r>
      <w:r w:rsidR="00AB468C">
        <w:rPr>
          <w:rFonts w:cs="Arial"/>
        </w:rPr>
        <w:t xml:space="preserve">chronic </w:t>
      </w:r>
      <w:r w:rsidR="00C77FFE">
        <w:rPr>
          <w:rFonts w:cs="Arial"/>
        </w:rPr>
        <w:t>NOAEL between 4,489 and 5,770 ppm in rats</w:t>
      </w:r>
      <w:r w:rsidR="00AB468C">
        <w:rPr>
          <w:rFonts w:cs="Arial"/>
        </w:rPr>
        <w:t xml:space="preserve">. These studies </w:t>
      </w:r>
      <w:r w:rsidR="0060717F">
        <w:rPr>
          <w:rFonts w:cs="Arial"/>
        </w:rPr>
        <w:t>do</w:t>
      </w:r>
      <w:r w:rsidR="00AB468C">
        <w:rPr>
          <w:rFonts w:cs="Arial"/>
        </w:rPr>
        <w:t xml:space="preserve"> not conclusively demonstrate exposure dependence of these effects</w:t>
      </w:r>
      <w:r w:rsidR="0060717F">
        <w:rPr>
          <w:rFonts w:cs="Arial"/>
        </w:rPr>
        <w:t>. Narcotic effects</w:t>
      </w:r>
      <w:r w:rsidR="00AB468C">
        <w:rPr>
          <w:rFonts w:cs="Arial"/>
        </w:rPr>
        <w:t xml:space="preserve"> </w:t>
      </w:r>
      <w:r w:rsidR="00E109B5">
        <w:rPr>
          <w:rFonts w:cs="Arial"/>
        </w:rPr>
        <w:t>appeared</w:t>
      </w:r>
      <w:r w:rsidR="00AB468C">
        <w:rPr>
          <w:rFonts w:cs="Arial"/>
        </w:rPr>
        <w:t xml:space="preserve"> transient</w:t>
      </w:r>
      <w:r w:rsidR="00E109B5">
        <w:rPr>
          <w:rFonts w:cs="Arial"/>
        </w:rPr>
        <w:t>ly at the highest tested doses</w:t>
      </w:r>
      <w:r w:rsidR="00AB468C">
        <w:rPr>
          <w:rFonts w:cs="Arial"/>
        </w:rPr>
        <w:t xml:space="preserve"> and incidence</w:t>
      </w:r>
      <w:r w:rsidR="0060717F">
        <w:rPr>
          <w:rFonts w:cs="Arial"/>
        </w:rPr>
        <w:t>s</w:t>
      </w:r>
      <w:r w:rsidR="00AB468C">
        <w:rPr>
          <w:rFonts w:cs="Arial"/>
        </w:rPr>
        <w:t xml:space="preserve"> </w:t>
      </w:r>
      <w:r w:rsidR="0060717F">
        <w:rPr>
          <w:rFonts w:cs="Arial"/>
        </w:rPr>
        <w:t>were</w:t>
      </w:r>
      <w:r w:rsidR="00AB468C">
        <w:rPr>
          <w:rFonts w:cs="Arial"/>
        </w:rPr>
        <w:t xml:space="preserve"> not statistically significant compared to controls (HCOTN, 2004).</w:t>
      </w:r>
    </w:p>
    <w:p w14:paraId="0E5921F7" w14:textId="54F63E47" w:rsidR="00C04D56" w:rsidRDefault="003F2B95" w:rsidP="006639B4">
      <w:pPr>
        <w:rPr>
          <w:rFonts w:cs="Arial"/>
        </w:rPr>
      </w:pPr>
      <w:r>
        <w:rPr>
          <w:rFonts w:cs="Arial"/>
        </w:rPr>
        <w:t xml:space="preserve">Depending on the composition of the LPG product, hazardous unsaturated hydrocarbon contaminants such as 1,3-butadiene, isoprene and benzene, </w:t>
      </w:r>
      <w:r w:rsidR="00E16941">
        <w:rPr>
          <w:rFonts w:cs="Arial"/>
        </w:rPr>
        <w:t xml:space="preserve">which represent a potential carcinogenic risk </w:t>
      </w:r>
      <w:r>
        <w:rPr>
          <w:rFonts w:cs="Arial"/>
        </w:rPr>
        <w:t xml:space="preserve">may be present in small quantities (ECHA, 2019; NICNAS, </w:t>
      </w:r>
      <w:r w:rsidR="00E16941">
        <w:rPr>
          <w:rFonts w:cs="Arial"/>
        </w:rPr>
        <w:t>2016</w:t>
      </w:r>
      <w:r>
        <w:rPr>
          <w:rFonts w:cs="Arial"/>
        </w:rPr>
        <w:t xml:space="preserve">). </w:t>
      </w:r>
      <w:r w:rsidR="00E16941">
        <w:rPr>
          <w:rFonts w:cs="Arial"/>
        </w:rPr>
        <w:t xml:space="preserve">Presently, the </w:t>
      </w:r>
      <w:r>
        <w:rPr>
          <w:rFonts w:cs="Arial"/>
        </w:rPr>
        <w:t xml:space="preserve">carcinogenicity notation of the substance is inconsistent with </w:t>
      </w:r>
      <w:r w:rsidR="00260555">
        <w:rPr>
          <w:rFonts w:cs="Arial"/>
        </w:rPr>
        <w:t xml:space="preserve">the entry </w:t>
      </w:r>
      <w:r>
        <w:rPr>
          <w:rFonts w:cs="Arial"/>
        </w:rPr>
        <w:t>found in the HCIS database</w:t>
      </w:r>
      <w:r w:rsidR="00A56A53">
        <w:rPr>
          <w:rFonts w:cs="Arial"/>
        </w:rPr>
        <w:t>, which assigns a carcinogenicity – category 1A notation based on the properties of these potential carcinogenic impurities (NICNAS, 2016)</w:t>
      </w:r>
      <w:r>
        <w:rPr>
          <w:rFonts w:cs="Arial"/>
        </w:rPr>
        <w:t xml:space="preserve">.  </w:t>
      </w:r>
    </w:p>
    <w:p w14:paraId="24C06B58" w14:textId="00070705" w:rsidR="00F50993" w:rsidRDefault="00F50993" w:rsidP="006639B4">
      <w:pPr>
        <w:rPr>
          <w:rFonts w:cs="Arial"/>
        </w:rPr>
      </w:pPr>
      <w:r>
        <w:rPr>
          <w:rFonts w:cs="Arial"/>
        </w:rPr>
        <w:t xml:space="preserve">Due to the uncertainty </w:t>
      </w:r>
      <w:r w:rsidR="0060717F">
        <w:rPr>
          <w:rFonts w:cs="Arial"/>
        </w:rPr>
        <w:t xml:space="preserve">regarding the presence of carcinogenic impurities </w:t>
      </w:r>
      <w:r>
        <w:rPr>
          <w:rFonts w:cs="Arial"/>
        </w:rPr>
        <w:t>in the composition of LPG fuel streams</w:t>
      </w:r>
      <w:r w:rsidR="00EA4E5D">
        <w:rPr>
          <w:rFonts w:cs="Arial"/>
        </w:rPr>
        <w:t>,</w:t>
      </w:r>
      <w:r>
        <w:rPr>
          <w:rFonts w:cs="Arial"/>
        </w:rPr>
        <w:t xml:space="preserve"> </w:t>
      </w:r>
      <w:r w:rsidR="00D8189A">
        <w:rPr>
          <w:rFonts w:cs="Arial"/>
        </w:rPr>
        <w:t xml:space="preserve">the current </w:t>
      </w:r>
      <w:r w:rsidR="003F2B95">
        <w:rPr>
          <w:rFonts w:cs="Arial"/>
        </w:rPr>
        <w:t>TWA of 1,000 ppm</w:t>
      </w:r>
      <w:r w:rsidR="00EB099F">
        <w:rPr>
          <w:rFonts w:cs="Arial"/>
        </w:rPr>
        <w:t xml:space="preserve"> </w:t>
      </w:r>
      <w:r w:rsidR="00EB099F" w:rsidRPr="00E109B5">
        <w:rPr>
          <w:rFonts w:cs="Arial"/>
        </w:rPr>
        <w:t>(</w:t>
      </w:r>
      <w:r w:rsidR="00EB099F">
        <w:rPr>
          <w:rFonts w:cs="Arial"/>
        </w:rPr>
        <w:t>1,800</w:t>
      </w:r>
      <w:r w:rsidR="00EB099F" w:rsidRPr="00E109B5">
        <w:rPr>
          <w:rFonts w:cs="Arial"/>
        </w:rPr>
        <w:t xml:space="preserve"> mg/m</w:t>
      </w:r>
      <w:r w:rsidR="00EB099F" w:rsidRPr="00E109B5">
        <w:rPr>
          <w:rFonts w:cs="Arial"/>
          <w:vertAlign w:val="superscript"/>
        </w:rPr>
        <w:t>3</w:t>
      </w:r>
      <w:r w:rsidR="00EB099F" w:rsidRPr="00E109B5">
        <w:rPr>
          <w:rFonts w:cs="Arial"/>
        </w:rPr>
        <w:t>)</w:t>
      </w:r>
      <w:r w:rsidR="003F2B95">
        <w:rPr>
          <w:rFonts w:cs="Arial"/>
        </w:rPr>
        <w:t xml:space="preserve"> is </w:t>
      </w:r>
      <w:r>
        <w:rPr>
          <w:rFonts w:cs="Arial"/>
        </w:rPr>
        <w:t>recommended</w:t>
      </w:r>
      <w:r w:rsidR="00E3522E">
        <w:rPr>
          <w:rFonts w:cs="Arial"/>
        </w:rPr>
        <w:t xml:space="preserve"> </w:t>
      </w:r>
      <w:r w:rsidR="00BD3A2A">
        <w:rPr>
          <w:rFonts w:cs="Arial"/>
        </w:rPr>
        <w:t xml:space="preserve">to </w:t>
      </w:r>
      <w:r w:rsidR="00D8189A">
        <w:rPr>
          <w:rFonts w:cs="Arial"/>
        </w:rPr>
        <w:t xml:space="preserve">be retained </w:t>
      </w:r>
      <w:r w:rsidR="00BD3A2A">
        <w:rPr>
          <w:rFonts w:cs="Arial"/>
        </w:rPr>
        <w:t>in</w:t>
      </w:r>
      <w:r w:rsidR="00D8189A">
        <w:rPr>
          <w:rFonts w:cs="Arial"/>
        </w:rPr>
        <w:t xml:space="preserve"> </w:t>
      </w:r>
      <w:r w:rsidR="00EA4E5D">
        <w:rPr>
          <w:rFonts w:cs="Arial"/>
        </w:rPr>
        <w:t xml:space="preserve">the </w:t>
      </w:r>
      <w:r w:rsidR="00D8189A">
        <w:rPr>
          <w:rFonts w:cs="Arial"/>
        </w:rPr>
        <w:t xml:space="preserve">interim </w:t>
      </w:r>
      <w:r w:rsidR="00E3522E">
        <w:rPr>
          <w:rFonts w:cs="Arial"/>
        </w:rPr>
        <w:t>as it is considered sufficiently low compared to the</w:t>
      </w:r>
      <w:r w:rsidR="003F2B95">
        <w:rPr>
          <w:rFonts w:cs="Arial"/>
        </w:rPr>
        <w:t xml:space="preserve"> NOAELs between 4,489</w:t>
      </w:r>
      <w:r w:rsidR="00286ADC">
        <w:rPr>
          <w:rFonts w:cs="Arial"/>
        </w:rPr>
        <w:t xml:space="preserve"> and </w:t>
      </w:r>
      <w:r w:rsidR="003F2B95">
        <w:rPr>
          <w:rFonts w:cs="Arial"/>
        </w:rPr>
        <w:t>5,770 ppm for</w:t>
      </w:r>
      <w:r w:rsidR="00E3522E">
        <w:rPr>
          <w:rFonts w:cs="Arial"/>
        </w:rPr>
        <w:t xml:space="preserve"> kidney damage</w:t>
      </w:r>
      <w:r w:rsidR="003F2B95">
        <w:rPr>
          <w:rFonts w:cs="Arial"/>
        </w:rPr>
        <w:t xml:space="preserve"> in rats</w:t>
      </w:r>
      <w:r w:rsidR="00E3522E">
        <w:rPr>
          <w:rFonts w:cs="Arial"/>
        </w:rPr>
        <w:t xml:space="preserve"> exposed to</w:t>
      </w:r>
      <w:r w:rsidR="003F2B95">
        <w:rPr>
          <w:rFonts w:cs="Arial"/>
        </w:rPr>
        <w:t xml:space="preserve"> </w:t>
      </w:r>
      <w:r w:rsidR="00E3522E">
        <w:rPr>
          <w:rFonts w:cs="Arial"/>
        </w:rPr>
        <w:t>butane and pentane</w:t>
      </w:r>
      <w:r w:rsidR="0060717F">
        <w:rPr>
          <w:rFonts w:cs="Arial"/>
        </w:rPr>
        <w:t>.</w:t>
      </w:r>
    </w:p>
    <w:p w14:paraId="10DEF2D6" w14:textId="2711E89F" w:rsidR="003F2B95" w:rsidRDefault="003F2B95" w:rsidP="006639B4">
      <w:pPr>
        <w:rPr>
          <w:rFonts w:cs="Arial"/>
        </w:rPr>
      </w:pPr>
      <w:r>
        <w:rPr>
          <w:rFonts w:cs="Arial"/>
        </w:rPr>
        <w:lastRenderedPageBreak/>
        <w:t xml:space="preserve">However, a detailed examination of </w:t>
      </w:r>
      <w:r w:rsidR="00F50993">
        <w:rPr>
          <w:rFonts w:cs="Arial"/>
        </w:rPr>
        <w:t xml:space="preserve">chronic substance-specific exposure studies and </w:t>
      </w:r>
      <w:r>
        <w:rPr>
          <w:rFonts w:cs="Arial"/>
        </w:rPr>
        <w:t>the impact of potential carcinogenic contaminants in LPG fuel streams</w:t>
      </w:r>
      <w:r w:rsidR="00F50993">
        <w:rPr>
          <w:rFonts w:cs="Arial"/>
        </w:rPr>
        <w:t xml:space="preserve"> </w:t>
      </w:r>
      <w:r>
        <w:rPr>
          <w:rFonts w:cs="Arial"/>
        </w:rPr>
        <w:t xml:space="preserve">should be prioritised in subsequent reviews to assess the suitability of the </w:t>
      </w:r>
      <w:r w:rsidR="00E3522E">
        <w:rPr>
          <w:rFonts w:cs="Arial"/>
        </w:rPr>
        <w:t xml:space="preserve">interim </w:t>
      </w:r>
      <w:r>
        <w:rPr>
          <w:rFonts w:cs="Arial"/>
        </w:rPr>
        <w:t>WES.</w:t>
      </w:r>
      <w:r w:rsidR="00E365F4">
        <w:rPr>
          <w:rFonts w:cs="Arial"/>
        </w:rPr>
        <w:t xml:space="preserve"> A review </w:t>
      </w:r>
      <w:r w:rsidR="0099753E">
        <w:rPr>
          <w:rFonts w:cs="Arial"/>
        </w:rPr>
        <w:t xml:space="preserve">of the </w:t>
      </w:r>
      <w:r w:rsidR="00260555">
        <w:rPr>
          <w:rFonts w:cs="Arial"/>
        </w:rPr>
        <w:t xml:space="preserve">carcinogenicity </w:t>
      </w:r>
      <w:r w:rsidR="0099753E">
        <w:rPr>
          <w:rFonts w:cs="Arial"/>
        </w:rPr>
        <w:t xml:space="preserve">classification by NICNAS is also recommended. </w:t>
      </w:r>
      <w:r w:rsidR="00E365F4">
        <w:rPr>
          <w:rFonts w:cs="Arial"/>
        </w:rPr>
        <w:t xml:space="preserve"> </w:t>
      </w:r>
    </w:p>
    <w:p w14:paraId="5819901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CE32CA0" w14:textId="1D281518" w:rsidR="00BE4C94" w:rsidRPr="00BE4C94" w:rsidRDefault="00BE4C94" w:rsidP="00BE4C94">
      <w:pPr>
        <w:rPr>
          <w:rFonts w:cs="Arial"/>
        </w:rPr>
      </w:pPr>
      <w:r w:rsidRPr="00BE4C94">
        <w:rPr>
          <w:rFonts w:cs="Arial"/>
        </w:rPr>
        <w:t>Classified as a category 1</w:t>
      </w:r>
      <w:r w:rsidR="00E365F4">
        <w:rPr>
          <w:rFonts w:cs="Arial"/>
        </w:rPr>
        <w:t>B</w:t>
      </w:r>
      <w:r w:rsidRPr="00BE4C94">
        <w:rPr>
          <w:rFonts w:cs="Arial"/>
        </w:rPr>
        <w:t xml:space="preserve"> carcinogen according to the Globally Harmonized System of Classification and Labelling of Chemicals (GHS). </w:t>
      </w:r>
      <w:r w:rsidR="00260555">
        <w:rPr>
          <w:rFonts w:cs="Arial"/>
        </w:rPr>
        <w:t>A review of carcinogenicity classification is recommended</w:t>
      </w:r>
      <w:r w:rsidR="007240A0">
        <w:rPr>
          <w:rFonts w:cs="Arial"/>
        </w:rPr>
        <w:t xml:space="preserve"> due to inco</w:t>
      </w:r>
      <w:r w:rsidR="00FD6636">
        <w:rPr>
          <w:rFonts w:cs="Arial"/>
        </w:rPr>
        <w:t>nsistencies in carcinogenicity notations</w:t>
      </w:r>
      <w:r w:rsidR="00BD3A2A">
        <w:rPr>
          <w:rFonts w:cs="Arial"/>
        </w:rPr>
        <w:t>.</w:t>
      </w:r>
    </w:p>
    <w:p w14:paraId="5FFBD07E" w14:textId="5E5957B1" w:rsidR="00D45EC2" w:rsidRPr="00BE4C94" w:rsidRDefault="00D45EC2" w:rsidP="00D45EC2">
      <w:pPr>
        <w:rPr>
          <w:rFonts w:cs="Arial"/>
        </w:rPr>
      </w:pPr>
      <w:r w:rsidRPr="00BE4C94">
        <w:rPr>
          <w:rFonts w:cs="Arial"/>
        </w:rPr>
        <w:t xml:space="preserve">Not classified as a skin </w:t>
      </w:r>
      <w:r w:rsidR="00B66CF5" w:rsidRPr="00BE4C94">
        <w:rPr>
          <w:rFonts w:cs="Arial"/>
        </w:rPr>
        <w:t xml:space="preserve">sensitiser </w:t>
      </w:r>
      <w:r w:rsidRPr="00BE4C94">
        <w:rPr>
          <w:rFonts w:cs="Arial"/>
        </w:rPr>
        <w:t>or respiratory sensitiser according to the GHS.</w:t>
      </w:r>
    </w:p>
    <w:p w14:paraId="257660E0" w14:textId="39030FF8" w:rsidR="0025734A" w:rsidRPr="00BE4C94" w:rsidRDefault="00BE4C94">
      <w:pPr>
        <w:rPr>
          <w:rFonts w:cs="Arial"/>
        </w:rPr>
      </w:pPr>
      <w:r w:rsidRPr="00BE4C94">
        <w:rPr>
          <w:rFonts w:cs="Arial"/>
        </w:rPr>
        <w:t>A skin notation is not warranted based on the available evidence.</w:t>
      </w:r>
    </w:p>
    <w:p w14:paraId="496F35C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A6F33A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71CE95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E233C1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B3011B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B32647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8C43BAE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45EC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45EC2">
                  <w:t>TWA: 1,000 ppm (1,800 mg/m</w:t>
                </w:r>
                <w:r w:rsidR="00D45EC2" w:rsidRPr="00D45EC2">
                  <w:rPr>
                    <w:vertAlign w:val="superscript"/>
                  </w:rPr>
                  <w:t>3</w:t>
                </w:r>
                <w:r w:rsidR="00D45EC2">
                  <w:t>)</w:t>
                </w:r>
              </w:sdtContent>
            </w:sdt>
          </w:p>
        </w:tc>
      </w:tr>
      <w:tr w:rsidR="00C978F0" w:rsidRPr="00DA352E" w14:paraId="1BD5BFD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4421E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DF8E9A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2D469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87E3F" w:rsidRPr="007D5852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87E3F">
                  <w:t>Not assigned</w:t>
                </w:r>
              </w:sdtContent>
            </w:sdt>
          </w:p>
        </w:tc>
      </w:tr>
      <w:tr w:rsidR="00C978F0" w:rsidRPr="00DA352E" w14:paraId="566086A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27FEA2" w14:textId="24860D33" w:rsidR="00C978F0" w:rsidRPr="00DA352E" w:rsidRDefault="007D5852" w:rsidP="003365A5">
            <w:pPr>
              <w:pStyle w:val="Tabletextprimarysource"/>
            </w:pPr>
            <w:r>
              <w:t>Agency withdrew its 2002 evaluation, which set a TLV-TWA of 1,000 ppm (1,800 mg/m</w:t>
            </w:r>
            <w:r>
              <w:rPr>
                <w:vertAlign w:val="superscript"/>
              </w:rPr>
              <w:t>3</w:t>
            </w:r>
            <w:r>
              <w:t>) (no further information available)</w:t>
            </w:r>
            <w:r w:rsidR="00B66CF5">
              <w:t>.</w:t>
            </w:r>
          </w:p>
        </w:tc>
      </w:tr>
      <w:tr w:rsidR="00C978F0" w:rsidRPr="00DA352E" w14:paraId="55D77A2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01BCEC0" w14:textId="6E19570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E2ED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EE2EDD">
                  <w:t>NA</w:t>
                </w:r>
                <w:proofErr w:type="spellEnd"/>
              </w:sdtContent>
            </w:sdt>
          </w:p>
        </w:tc>
      </w:tr>
      <w:tr w:rsidR="00C978F0" w:rsidRPr="00DA352E" w14:paraId="434096C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764BA3" w14:textId="45B52695" w:rsidR="00C978F0" w:rsidRPr="00DA352E" w:rsidRDefault="00EE2EDD" w:rsidP="003365A5">
            <w:pPr>
              <w:pStyle w:val="Tabletextprimarysource"/>
            </w:pPr>
            <w:r>
              <w:t>No report</w:t>
            </w:r>
            <w:r w:rsidR="00B66CF5">
              <w:t>.</w:t>
            </w:r>
          </w:p>
        </w:tc>
      </w:tr>
      <w:tr w:rsidR="00C978F0" w:rsidRPr="00DA352E" w14:paraId="203E617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E49BEC" w14:textId="5E52646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E2ED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EE2EDD">
                  <w:t>NA</w:t>
                </w:r>
              </w:sdtContent>
            </w:sdt>
          </w:p>
        </w:tc>
      </w:tr>
      <w:tr w:rsidR="00C978F0" w:rsidRPr="00DA352E" w14:paraId="5CCCFD6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42EA718" w14:textId="5195FFCA" w:rsidR="00C978F0" w:rsidRPr="00DA352E" w:rsidRDefault="00EE2EDD" w:rsidP="003365A5">
            <w:pPr>
              <w:pStyle w:val="Tabletextprimarysource"/>
            </w:pPr>
            <w:r>
              <w:t>No report</w:t>
            </w:r>
            <w:r w:rsidR="00B66CF5">
              <w:t>.</w:t>
            </w:r>
          </w:p>
        </w:tc>
      </w:tr>
      <w:tr w:rsidR="00DA352E" w:rsidRPr="00DA352E" w14:paraId="2E64E20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22A01A" w14:textId="6974B47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E2ED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EE2EDD">
                  <w:t>NA</w:t>
                </w:r>
                <w:proofErr w:type="spellEnd"/>
              </w:sdtContent>
            </w:sdt>
          </w:p>
        </w:tc>
      </w:tr>
      <w:tr w:rsidR="00DA352E" w:rsidRPr="00DA352E" w14:paraId="3085102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F412067" w14:textId="0282C42D" w:rsidR="00DA352E" w:rsidRPr="00DA352E" w:rsidRDefault="00EE2EDD" w:rsidP="003365A5">
            <w:pPr>
              <w:pStyle w:val="Tabletextprimarysource"/>
            </w:pPr>
            <w:r>
              <w:t>No report</w:t>
            </w:r>
            <w:r w:rsidR="00B66CF5">
              <w:t>.</w:t>
            </w:r>
          </w:p>
        </w:tc>
      </w:tr>
      <w:tr w:rsidR="00DA352E" w:rsidRPr="00DA352E" w14:paraId="7169D8B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BC937AD" w14:textId="6AC6475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D5852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E2EDD">
                  <w:t>TWA: 1,000 ppm (1,800 mg/m</w:t>
                </w:r>
                <w:r w:rsidR="00EE2EDD" w:rsidRPr="00EE2EDD">
                  <w:rPr>
                    <w:vertAlign w:val="superscript"/>
                  </w:rPr>
                  <w:t>3</w:t>
                </w:r>
                <w:r w:rsidR="00EE2EDD">
                  <w:t>)</w:t>
                </w:r>
              </w:sdtContent>
            </w:sdt>
          </w:p>
        </w:tc>
      </w:tr>
      <w:tr w:rsidR="00DA352E" w:rsidRPr="00DA352E" w14:paraId="26A34C50" w14:textId="77777777" w:rsidTr="00B713FC">
        <w:trPr>
          <w:gridAfter w:val="1"/>
          <w:wAfter w:w="8" w:type="pct"/>
        </w:trPr>
        <w:tc>
          <w:tcPr>
            <w:tcW w:w="0" w:type="pct"/>
          </w:tcPr>
          <w:p w14:paraId="662A2022" w14:textId="6B2AA5CE" w:rsidR="00DA352E" w:rsidRDefault="007D5852" w:rsidP="003365A5">
            <w:pPr>
              <w:pStyle w:val="Tabletextprimarysource"/>
            </w:pPr>
            <w:r>
              <w:t>Summary of data:</w:t>
            </w:r>
          </w:p>
          <w:p w14:paraId="0338FF55" w14:textId="715BFE29" w:rsidR="007D5852" w:rsidRDefault="00DE0732" w:rsidP="003365A5">
            <w:pPr>
              <w:pStyle w:val="Tabletextprimarysource"/>
            </w:pPr>
            <w:r>
              <w:t>LPG contains C</w:t>
            </w:r>
            <w:r w:rsidRPr="00DE0732">
              <w:rPr>
                <w:vertAlign w:val="subscript"/>
              </w:rPr>
              <w:t>1</w:t>
            </w:r>
            <w:r>
              <w:t>–C</w:t>
            </w:r>
            <w:r w:rsidRPr="00DE0732">
              <w:rPr>
                <w:vertAlign w:val="subscript"/>
              </w:rPr>
              <w:t>7</w:t>
            </w:r>
            <w:r>
              <w:t xml:space="preserve"> hydrocarbons, p</w:t>
            </w:r>
            <w:r w:rsidR="007D5852">
              <w:t>rimarily C</w:t>
            </w:r>
            <w:r w:rsidR="007D5852">
              <w:rPr>
                <w:vertAlign w:val="subscript"/>
              </w:rPr>
              <w:t>3</w:t>
            </w:r>
            <w:r w:rsidR="007D5852">
              <w:t>–C</w:t>
            </w:r>
            <w:r w:rsidR="007D5852">
              <w:rPr>
                <w:vertAlign w:val="subscript"/>
              </w:rPr>
              <w:t>4</w:t>
            </w:r>
            <w:r w:rsidR="007D5852">
              <w:t xml:space="preserve"> </w:t>
            </w:r>
            <w:r>
              <w:t>compounds</w:t>
            </w:r>
            <w:r w:rsidR="007D5852">
              <w:t xml:space="preserve"> including propane and butane isomers. Assessment presents toxicological data for LPG mixtures, propane and butane</w:t>
            </w:r>
            <w:r>
              <w:t>.</w:t>
            </w:r>
            <w:r w:rsidR="007C409A">
              <w:t xml:space="preserve"> Current administrative OELs for LPG and butane are 1,000 and 600 ppm, respectively (propane not established)</w:t>
            </w:r>
            <w:r w:rsidR="003A58EE">
              <w:t>. Toxicological databases for LPG, propane and butane too weak to recommend a health-based OEL</w:t>
            </w:r>
            <w:r w:rsidR="0068271B">
              <w:t>.</w:t>
            </w:r>
            <w:r w:rsidR="00D8189A">
              <w:t xml:space="preserve"> However</w:t>
            </w:r>
            <w:r w:rsidR="003A58EE">
              <w:t>, based on studies with mixed exposures of butane and pentane, the current OEL of 600 ppm as an 8</w:t>
            </w:r>
            <w:r w:rsidR="00B66CF5">
              <w:t xml:space="preserve"> </w:t>
            </w:r>
            <w:r w:rsidR="003A58EE">
              <w:t>h TWA for butane should be retained. Based on the overall dataset, the agency did not find evidence to support amendment of the current administrative OEL for LPG</w:t>
            </w:r>
            <w:r w:rsidR="00BE4C94">
              <w:t xml:space="preserve"> of 1,000 ppm</w:t>
            </w:r>
            <w:r w:rsidR="003A58EE">
              <w:t>.</w:t>
            </w:r>
          </w:p>
          <w:p w14:paraId="2F5CB179" w14:textId="3D564397" w:rsidR="00BE4C94" w:rsidRPr="007D5852" w:rsidRDefault="00BE4C94" w:rsidP="003365A5">
            <w:pPr>
              <w:pStyle w:val="Tabletextprimarysource"/>
            </w:pPr>
            <w:r>
              <w:t xml:space="preserve">Skin notation not assigned due </w:t>
            </w:r>
            <w:r w:rsidR="00EA4E5D">
              <w:t xml:space="preserve">to </w:t>
            </w:r>
            <w:r>
              <w:t>high volatility and low potential for dermal penetration of butane or propane. No substance-specific studies are available.</w:t>
            </w:r>
          </w:p>
          <w:p w14:paraId="4371F836" w14:textId="77777777" w:rsidR="007D5852" w:rsidRDefault="007D5852" w:rsidP="003365A5">
            <w:pPr>
              <w:pStyle w:val="Tabletextprimarysource"/>
            </w:pPr>
            <w:r>
              <w:t>Human data:</w:t>
            </w:r>
          </w:p>
          <w:p w14:paraId="2AC1314F" w14:textId="230AB159" w:rsidR="007D5852" w:rsidRDefault="007D5852" w:rsidP="00C545D1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Odour threshold: 5,000–20,000</w:t>
            </w:r>
            <w:r w:rsidR="00DE0732">
              <w:t xml:space="preserve"> ppm</w:t>
            </w:r>
          </w:p>
          <w:p w14:paraId="6C425D40" w14:textId="2287BAA8" w:rsidR="00DE0732" w:rsidRDefault="00DE0732" w:rsidP="00C545D1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Acute hepatitis and reversible abnormal liver function reported in cases of accidental overexposure to LPG as propane and butane mixtures (no further details on exposure)</w:t>
            </w:r>
          </w:p>
          <w:p w14:paraId="655E142D" w14:textId="45EFFDBF" w:rsidR="00DE0732" w:rsidRDefault="00502207" w:rsidP="00C545D1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Very high concentrations (not specified) cause </w:t>
            </w:r>
            <w:r w:rsidR="00B713FC">
              <w:t>CNS</w:t>
            </w:r>
            <w:r>
              <w:t xml:space="preserve"> depression and asphyxia; drowsiness reported in volunteers at 10,000 ppm butane (10 min)</w:t>
            </w:r>
          </w:p>
          <w:p w14:paraId="05E50997" w14:textId="1174DE2E" w:rsidR="00502207" w:rsidRDefault="00502207" w:rsidP="00C545D1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2 cases of maternal overexposure (concentration not specified, but maternally toxic) caused encephalomalacia and hypoplastic kidneys in offspring due to intrauterine anoxia rather than substance-specific toxicity (pregnancy week 27 and 30)</w:t>
            </w:r>
          </w:p>
          <w:p w14:paraId="702A1D07" w14:textId="6A619277" w:rsidR="00502207" w:rsidRDefault="00502207" w:rsidP="00C545D1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No adverse effects at 0.4–17.8 mg/</w:t>
            </w:r>
            <w:r w:rsidRPr="00502207">
              <w:t>m</w:t>
            </w:r>
            <w:r w:rsidRPr="00502207">
              <w:rPr>
                <w:vertAlign w:val="superscript"/>
              </w:rPr>
              <w:t>3</w:t>
            </w:r>
            <w:r>
              <w:t xml:space="preserve"> </w:t>
            </w:r>
            <w:r w:rsidRPr="00502207">
              <w:t>in</w:t>
            </w:r>
            <w:r>
              <w:t xml:space="preserve"> exposed workers (males, n=53, 11 yr average)</w:t>
            </w:r>
            <w:r w:rsidR="00B713FC">
              <w:t>.</w:t>
            </w:r>
          </w:p>
          <w:p w14:paraId="2AB0848B" w14:textId="77777777" w:rsidR="007D5852" w:rsidRDefault="007D5852" w:rsidP="007D5852">
            <w:pPr>
              <w:pStyle w:val="Tabletextprimarysource"/>
            </w:pPr>
            <w:r>
              <w:t>Animal data:</w:t>
            </w:r>
          </w:p>
          <w:p w14:paraId="2C9EF8E5" w14:textId="77777777" w:rsidR="007D5852" w:rsidRDefault="00DE0732" w:rsidP="00C545D1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Constituent hydrocarbons are metabolically oxidised to corresponding alcohols and carbonyls </w:t>
            </w:r>
          </w:p>
          <w:p w14:paraId="74875637" w14:textId="10E77030" w:rsidR="00E33230" w:rsidRDefault="00E33230" w:rsidP="00C545D1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No animal exposure data for LPG mixtures; studies of propane and butane are presented</w:t>
            </w:r>
          </w:p>
          <w:p w14:paraId="37584C12" w14:textId="79BBD2C2" w:rsidR="00502207" w:rsidRDefault="00E33230" w:rsidP="00C545D1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Irregular breathing at 24,000 ppm, tremors at 47,000 ppm in acute inhalation study with propane (guinea pigs, 5–120 min); narcosis at 92,000 ppm</w:t>
            </w:r>
            <w:r w:rsidR="001E6119">
              <w:t>, similar observations for butane</w:t>
            </w:r>
          </w:p>
          <w:p w14:paraId="14E64309" w14:textId="77777777" w:rsidR="00E33230" w:rsidRDefault="00E33230" w:rsidP="00C545D1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No pathological changes at ataxia-inducing levels, 28,000 ppm propane (rats, 10 min)</w:t>
            </w:r>
          </w:p>
          <w:p w14:paraId="0C4D3D3C" w14:textId="71EB4B42" w:rsidR="00E33230" w:rsidRDefault="00E33230" w:rsidP="00C545D1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lastRenderedPageBreak/>
              <w:t xml:space="preserve">Epinephrine-induced cardiac arrhythmia </w:t>
            </w:r>
            <w:r w:rsidR="001E6119">
              <w:t>above</w:t>
            </w:r>
            <w:r>
              <w:t xml:space="preserve"> 100,000</w:t>
            </w:r>
            <w:r w:rsidR="001E6119">
              <w:t xml:space="preserve"> </w:t>
            </w:r>
            <w:r>
              <w:t xml:space="preserve">ppm </w:t>
            </w:r>
            <w:r w:rsidR="001E6119">
              <w:t xml:space="preserve">with either propane or butane </w:t>
            </w:r>
            <w:r>
              <w:t>(mice,</w:t>
            </w:r>
            <w:r w:rsidR="001E6119">
              <w:t xml:space="preserve"> dogs,</w:t>
            </w:r>
            <w:r>
              <w:t xml:space="preserve"> 6</w:t>
            </w:r>
            <w:r w:rsidR="001E6119">
              <w:t>–10</w:t>
            </w:r>
            <w:r>
              <w:t xml:space="preserve"> min)</w:t>
            </w:r>
            <w:r w:rsidR="001E6119">
              <w:t>; decreased cardiac output at 5,000 ppm (anaesthetised dogs)</w:t>
            </w:r>
          </w:p>
          <w:p w14:paraId="47EB27D7" w14:textId="77777777" w:rsidR="00E33230" w:rsidRDefault="001E6119" w:rsidP="00C545D1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Propane and butane both non-mutagenic </w:t>
            </w:r>
            <w:r>
              <w:rPr>
                <w:i/>
              </w:rPr>
              <w:t>in vitro</w:t>
            </w:r>
            <w:r>
              <w:t xml:space="preserve">, butane was negative in a recessive lethal assay in </w:t>
            </w:r>
            <w:r>
              <w:rPr>
                <w:i/>
              </w:rPr>
              <w:t>Drosophila melanogaster</w:t>
            </w:r>
            <w:r>
              <w:t xml:space="preserve">, no </w:t>
            </w:r>
            <w:r>
              <w:rPr>
                <w:i/>
              </w:rPr>
              <w:t xml:space="preserve">in vivo </w:t>
            </w:r>
            <w:r>
              <w:t>studies presented for propane</w:t>
            </w:r>
          </w:p>
          <w:p w14:paraId="460D7344" w14:textId="4518630D" w:rsidR="007C409A" w:rsidRDefault="007C409A" w:rsidP="00C545D1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NOAEL </w:t>
            </w:r>
            <w:r>
              <w:rPr>
                <w:rFonts w:cs="Arial"/>
              </w:rPr>
              <w:t>≈</w:t>
            </w:r>
            <w:r>
              <w:t xml:space="preserve">4,489 ppm for histopathological changes </w:t>
            </w:r>
            <w:r w:rsidR="00856286">
              <w:t>in kidneys and</w:t>
            </w:r>
            <w:r>
              <w:t xml:space="preserve"> clinical abnormalities in mixed exposure study of butane and pentane isomers (rats, duration not specified, 13 </w:t>
            </w:r>
            <w:proofErr w:type="spellStart"/>
            <w:r>
              <w:t>wk</w:t>
            </w:r>
            <w:proofErr w:type="spellEnd"/>
            <w:r>
              <w:t>)</w:t>
            </w:r>
            <w:r w:rsidR="006621F1">
              <w:t>:</w:t>
            </w:r>
          </w:p>
          <w:p w14:paraId="74D7E754" w14:textId="77777777" w:rsidR="007C409A" w:rsidRDefault="007C409A" w:rsidP="00C545D1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NOAEL </w:t>
            </w:r>
            <w:r>
              <w:rPr>
                <w:rFonts w:cs="Arial"/>
              </w:rPr>
              <w:t>≈</w:t>
            </w:r>
            <w:r>
              <w:t>5,770 ppm in similar study with different butane/pentane composition</w:t>
            </w:r>
          </w:p>
          <w:p w14:paraId="04AAC70F" w14:textId="7019B8DC" w:rsidR="00856286" w:rsidRPr="00DA352E" w:rsidRDefault="00F63373" w:rsidP="00C545D1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b</w:t>
            </w:r>
            <w:r w:rsidR="00856286">
              <w:t>oth concentrations were the highest tested doses; some transient, statistically non-significant histopathological changes to kidneys were observed in females</w:t>
            </w:r>
            <w:r w:rsidR="00B66CF5">
              <w:t>.</w:t>
            </w:r>
          </w:p>
        </w:tc>
      </w:tr>
    </w:tbl>
    <w:p w14:paraId="61B365F0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6"/>
        <w:gridCol w:w="421"/>
        <w:gridCol w:w="661"/>
        <w:gridCol w:w="6458"/>
      </w:tblGrid>
      <w:tr w:rsidR="004966BF" w:rsidRPr="00263255" w14:paraId="6BC5C20B" w14:textId="77777777" w:rsidTr="00B713FC">
        <w:trPr>
          <w:cantSplit/>
          <w:trHeight w:val="393"/>
          <w:tblHeader/>
        </w:trPr>
        <w:tc>
          <w:tcPr>
            <w:tcW w:w="1486" w:type="dxa"/>
            <w:shd w:val="clear" w:color="auto" w:fill="BFBFBF" w:themeFill="background1" w:themeFillShade="BF"/>
            <w:vAlign w:val="center"/>
          </w:tcPr>
          <w:p w14:paraId="3A5A8FF7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3F51C029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E45BF0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8" w:type="dxa"/>
            <w:shd w:val="clear" w:color="auto" w:fill="BFBFBF" w:themeFill="background1" w:themeFillShade="BF"/>
            <w:vAlign w:val="center"/>
          </w:tcPr>
          <w:p w14:paraId="14BE837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7DD410C" w14:textId="77777777" w:rsidTr="00B713FC">
        <w:trPr>
          <w:cantSplit/>
        </w:trPr>
        <w:tc>
          <w:tcPr>
            <w:tcW w:w="1486" w:type="dxa"/>
          </w:tcPr>
          <w:p w14:paraId="339652C6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1" w:type="dxa"/>
          </w:tcPr>
          <w:p w14:paraId="28F23D7D" w14:textId="45217BC1" w:rsidR="004966BF" w:rsidRPr="00CE617F" w:rsidRDefault="002509A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F444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02DA9CB" w14:textId="78867ECA" w:rsidR="004966BF" w:rsidRPr="004C23F4" w:rsidRDefault="004F444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8" w:type="dxa"/>
          </w:tcPr>
          <w:p w14:paraId="4FB7604E" w14:textId="77777777" w:rsidR="004966BF" w:rsidRDefault="003A58EE" w:rsidP="00C545D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Assessment grouped with LPG and “sweetened” LPG (added </w:t>
            </w:r>
            <w:proofErr w:type="spellStart"/>
            <w:r>
              <w:rPr>
                <w:rStyle w:val="checkbox"/>
                <w:rFonts w:ascii="Arial" w:hAnsi="Arial" w:cs="Arial"/>
              </w:rPr>
              <w:t>odourant</w:t>
            </w:r>
            <w:proofErr w:type="spellEnd"/>
            <w:r>
              <w:rPr>
                <w:rStyle w:val="checkbox"/>
                <w:rFonts w:ascii="Arial" w:hAnsi="Arial" w:cs="Arial"/>
              </w:rPr>
              <w:t>)</w:t>
            </w:r>
          </w:p>
          <w:p w14:paraId="4CAFE2CC" w14:textId="0621757D" w:rsidR="00E568F9" w:rsidRPr="00B50F4F" w:rsidRDefault="003A58EE" w:rsidP="00C545D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Pr="003A58EE">
              <w:rPr>
                <w:rFonts w:cs="Arial"/>
              </w:rPr>
              <w:t>omposition depends on source and manufacturing process</w:t>
            </w:r>
            <w:r w:rsidR="00E568F9">
              <w:rPr>
                <w:rFonts w:cs="Arial"/>
              </w:rPr>
              <w:t>;</w:t>
            </w:r>
            <w:r w:rsidRPr="003A58EE">
              <w:rPr>
                <w:rFonts w:cs="Arial"/>
              </w:rPr>
              <w:t xml:space="preserve"> major constituents are usually C</w:t>
            </w:r>
            <w:r w:rsidRPr="00E568F9">
              <w:rPr>
                <w:rFonts w:cs="Arial"/>
                <w:vertAlign w:val="subscript"/>
              </w:rPr>
              <w:t>3</w:t>
            </w:r>
            <w:r w:rsidRPr="003A58EE">
              <w:rPr>
                <w:rFonts w:cs="Arial"/>
              </w:rPr>
              <w:t>–</w:t>
            </w:r>
            <w:r w:rsidR="00E568F9">
              <w:rPr>
                <w:rFonts w:cs="Arial"/>
              </w:rPr>
              <w:t>C</w:t>
            </w:r>
            <w:r w:rsidRPr="00E568F9">
              <w:rPr>
                <w:rFonts w:cs="Arial"/>
                <w:vertAlign w:val="subscript"/>
              </w:rPr>
              <w:t>4</w:t>
            </w:r>
            <w:r w:rsidR="00E568F9">
              <w:rPr>
                <w:rFonts w:cs="Arial"/>
              </w:rPr>
              <w:t xml:space="preserve"> alkanes: </w:t>
            </w:r>
            <w:r w:rsidRPr="003A58EE">
              <w:rPr>
                <w:rFonts w:cs="Arial"/>
              </w:rPr>
              <w:t>propane and butane and mono-alkenes</w:t>
            </w:r>
            <w:r w:rsidR="00E568F9">
              <w:rPr>
                <w:rFonts w:cs="Arial"/>
              </w:rPr>
              <w:t>:</w:t>
            </w:r>
            <w:r w:rsidRPr="003A58EE">
              <w:rPr>
                <w:rFonts w:cs="Arial"/>
              </w:rPr>
              <w:t xml:space="preserve"> 1-butene, 2-b</w:t>
            </w:r>
            <w:r w:rsidR="00E568F9">
              <w:rPr>
                <w:rFonts w:cs="Arial"/>
              </w:rPr>
              <w:t>utene, propene, 2-methylpropene</w:t>
            </w:r>
            <w:r w:rsidR="00B50F4F">
              <w:rPr>
                <w:rFonts w:cs="Arial"/>
              </w:rPr>
              <w:t xml:space="preserve">, which are </w:t>
            </w:r>
            <w:r w:rsidR="00E568F9">
              <w:t>not expected to pose health risk</w:t>
            </w:r>
            <w:r w:rsidR="00B50F4F">
              <w:t>s</w:t>
            </w:r>
          </w:p>
          <w:p w14:paraId="1FE88068" w14:textId="5279B65E" w:rsidR="00E568F9" w:rsidRPr="00B50F4F" w:rsidRDefault="00E568F9" w:rsidP="00C545D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>
              <w:t xml:space="preserve">Some LPG </w:t>
            </w:r>
            <w:r w:rsidR="00B50F4F">
              <w:t>mixtures</w:t>
            </w:r>
            <w:r>
              <w:t xml:space="preserve"> may contain 1,3-butadiene (0.1%), benzene (1%) or isoprene (</w:t>
            </w:r>
            <w:r>
              <w:rPr>
                <w:rFonts w:cs="Arial"/>
              </w:rPr>
              <w:t>≈</w:t>
            </w:r>
            <w:r>
              <w:t>0.1%), which pose health risks</w:t>
            </w:r>
            <w:r w:rsidR="006621F1">
              <w:t>:</w:t>
            </w:r>
          </w:p>
          <w:p w14:paraId="66E2919C" w14:textId="28C53C44" w:rsidR="00B50F4F" w:rsidRPr="00E568F9" w:rsidRDefault="00B713FC" w:rsidP="00C545D1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Fonts w:cs="Arial"/>
              </w:rPr>
            </w:pPr>
            <w:r>
              <w:t>c</w:t>
            </w:r>
            <w:r w:rsidR="00B50F4F">
              <w:t xml:space="preserve">arcinogenicity notation </w:t>
            </w:r>
            <w:r w:rsidR="00E3522E">
              <w:t xml:space="preserve">is </w:t>
            </w:r>
            <w:r w:rsidR="00B50F4F">
              <w:t xml:space="preserve">derived from these potential components (benzene and 1,3-butadiene are category 1 carcinogens and isoprene </w:t>
            </w:r>
            <w:proofErr w:type="gramStart"/>
            <w:r w:rsidR="00B50F4F">
              <w:t>is</w:t>
            </w:r>
            <w:proofErr w:type="gramEnd"/>
            <w:r w:rsidR="00B50F4F">
              <w:t xml:space="preserve"> a category 2 carcinogen according to the GHS</w:t>
            </w:r>
          </w:p>
          <w:p w14:paraId="23DE77C2" w14:textId="29C21261" w:rsidR="00E568F9" w:rsidRPr="00E568F9" w:rsidRDefault="00E568F9" w:rsidP="00C545D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>
              <w:t>All (potential) constituents have low acute toxicity; benzene causes dizziness at 25 ppm in humans (no further details)</w:t>
            </w:r>
          </w:p>
          <w:p w14:paraId="1547E344" w14:textId="7F35555F" w:rsidR="00E568F9" w:rsidRPr="00E568F9" w:rsidRDefault="00E568F9" w:rsidP="00C545D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>
              <w:t>Low potential for respiratory irritation from 1,3-butadiene and isoprene due to very low concentrations</w:t>
            </w:r>
          </w:p>
          <w:p w14:paraId="1F997A9A" w14:textId="7E92C2DF" w:rsidR="00E568F9" w:rsidRDefault="00B50F4F" w:rsidP="00C545D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Grouped chemicals n</w:t>
            </w:r>
            <w:r w:rsidR="00E568F9">
              <w:rPr>
                <w:rStyle w:val="checkbox"/>
                <w:rFonts w:ascii="Arial" w:hAnsi="Arial" w:cs="Arial"/>
              </w:rPr>
              <w:t>ot considered skin sensitisers</w:t>
            </w:r>
          </w:p>
          <w:p w14:paraId="4B0826AB" w14:textId="1EE49166" w:rsidR="00E568F9" w:rsidRDefault="00E568F9" w:rsidP="00C545D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NOAEL of 10,000 ppm (highest tested dose) for clinical, reproductive, central nervous system and histopathological effects (rats, duration/frequency not specified, 13 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>)</w:t>
            </w:r>
            <w:r w:rsidR="00B50F4F">
              <w:rPr>
                <w:rStyle w:val="checkbox"/>
                <w:rFonts w:ascii="Arial" w:hAnsi="Arial" w:cs="Arial"/>
              </w:rPr>
              <w:t>; benzene and 1,3-butadiene concentrations were &lt;10 ppm</w:t>
            </w:r>
          </w:p>
          <w:p w14:paraId="13E2E0AB" w14:textId="77777777" w:rsidR="00B50F4F" w:rsidRDefault="00B50F4F" w:rsidP="00C545D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LPG (benzene and 1,3-butadiene &lt;10 ppm) was not mutagenic </w:t>
            </w:r>
            <w:r>
              <w:rPr>
                <w:rStyle w:val="checkbox"/>
                <w:rFonts w:ascii="Arial" w:hAnsi="Arial" w:cs="Arial"/>
                <w:i/>
              </w:rPr>
              <w:t>in vivo</w:t>
            </w:r>
            <w:r>
              <w:rPr>
                <w:rStyle w:val="checkbox"/>
                <w:rFonts w:ascii="Arial" w:hAnsi="Arial" w:cs="Arial"/>
              </w:rPr>
              <w:t xml:space="preserve"> in a mouse micronucleus assay (13 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>)</w:t>
            </w:r>
          </w:p>
          <w:p w14:paraId="22D7B23B" w14:textId="5F301AE8" w:rsidR="00B50F4F" w:rsidRPr="00B80DBE" w:rsidRDefault="00B50F4F" w:rsidP="00C545D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LPG-specific carcinogenicity studies available, carcinogenicity notation based on potential for containing carcinogenic compounds</w:t>
            </w:r>
            <w:r w:rsidR="00B713FC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CC389CD" w14:textId="77777777" w:rsidTr="00B713FC">
        <w:trPr>
          <w:cantSplit/>
        </w:trPr>
        <w:tc>
          <w:tcPr>
            <w:tcW w:w="1486" w:type="dxa"/>
          </w:tcPr>
          <w:p w14:paraId="279D96AB" w14:textId="77777777" w:rsidR="004966BF" w:rsidRPr="004C23F4" w:rsidRDefault="004966BF" w:rsidP="00224EE2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421" w:type="dxa"/>
          </w:tcPr>
          <w:p w14:paraId="63A9DCC2" w14:textId="3CFC4546" w:rsidR="004966BF" w:rsidRPr="00CE617F" w:rsidRDefault="002509A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3130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686F8FD" w14:textId="28B63333" w:rsidR="004966BF" w:rsidRPr="004C23F4" w:rsidRDefault="00B3130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8" w:type="dxa"/>
          </w:tcPr>
          <w:p w14:paraId="7CAAF37C" w14:textId="11D239E4" w:rsidR="00976F8E" w:rsidRDefault="00976F8E" w:rsidP="00C545D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Due to pote</w:t>
            </w:r>
            <w:r w:rsidR="00B80DBE">
              <w:rPr>
                <w:rStyle w:val="checkbox"/>
                <w:rFonts w:ascii="Arial" w:hAnsi="Arial" w:cs="Arial"/>
              </w:rPr>
              <w:t xml:space="preserve">ntial presence of hazardous </w:t>
            </w:r>
            <w:r w:rsidR="00F50993">
              <w:rPr>
                <w:rStyle w:val="checkbox"/>
                <w:rFonts w:ascii="Arial" w:hAnsi="Arial" w:cs="Arial"/>
              </w:rPr>
              <w:t xml:space="preserve">carcinogenic </w:t>
            </w:r>
            <w:r w:rsidR="00B80DBE">
              <w:rPr>
                <w:rStyle w:val="checkbox"/>
                <w:rFonts w:ascii="Arial" w:hAnsi="Arial" w:cs="Arial"/>
              </w:rPr>
              <w:t>contaminants</w:t>
            </w:r>
            <w:r>
              <w:rPr>
                <w:rStyle w:val="checkbox"/>
                <w:rFonts w:ascii="Arial" w:hAnsi="Arial" w:cs="Arial"/>
              </w:rPr>
              <w:t xml:space="preserve"> in some LPG streams, derived minimum-effect-level (DN(M)EL) is </w:t>
            </w:r>
            <w:r w:rsidR="00B80DBE">
              <w:rPr>
                <w:rStyle w:val="checkbox"/>
                <w:rFonts w:ascii="Arial" w:hAnsi="Arial" w:cs="Arial"/>
              </w:rPr>
              <w:t xml:space="preserve">based on </w:t>
            </w:r>
            <w:r>
              <w:rPr>
                <w:rStyle w:val="checkbox"/>
                <w:rFonts w:ascii="Arial" w:hAnsi="Arial" w:cs="Arial"/>
              </w:rPr>
              <w:t>the long-term inhalation DN(M)E</w:t>
            </w:r>
            <w:r w:rsidR="00B80DBE">
              <w:rPr>
                <w:rStyle w:val="checkbox"/>
                <w:rFonts w:ascii="Arial" w:hAnsi="Arial" w:cs="Arial"/>
              </w:rPr>
              <w:t>L</w:t>
            </w:r>
            <w:r>
              <w:rPr>
                <w:rStyle w:val="checkbox"/>
                <w:rFonts w:ascii="Arial" w:hAnsi="Arial" w:cs="Arial"/>
              </w:rPr>
              <w:t>s of 1,3-butad</w:t>
            </w:r>
            <w:r w:rsidR="00B80DBE">
              <w:rPr>
                <w:rStyle w:val="checkbox"/>
                <w:rFonts w:ascii="Arial" w:hAnsi="Arial" w:cs="Arial"/>
              </w:rPr>
              <w:t xml:space="preserve">iene, </w:t>
            </w:r>
            <w:r>
              <w:rPr>
                <w:rStyle w:val="checkbox"/>
                <w:rFonts w:ascii="Arial" w:hAnsi="Arial" w:cs="Arial"/>
              </w:rPr>
              <w:t>benzene</w:t>
            </w:r>
            <w:r w:rsidR="00B80DBE">
              <w:rPr>
                <w:rStyle w:val="checkbox"/>
                <w:rFonts w:ascii="Arial" w:hAnsi="Arial" w:cs="Arial"/>
              </w:rPr>
              <w:t xml:space="preserve">, carbon monoxide </w:t>
            </w:r>
            <w:r>
              <w:rPr>
                <w:rStyle w:val="checkbox"/>
                <w:rFonts w:ascii="Arial" w:hAnsi="Arial" w:cs="Arial"/>
              </w:rPr>
              <w:t xml:space="preserve">and </w:t>
            </w:r>
            <w:r w:rsidR="00B80DBE">
              <w:rPr>
                <w:rStyle w:val="checkbox"/>
                <w:rFonts w:ascii="Arial" w:hAnsi="Arial" w:cs="Arial"/>
              </w:rPr>
              <w:t xml:space="preserve">hydrogen sulphide and </w:t>
            </w:r>
            <w:r>
              <w:rPr>
                <w:rStyle w:val="checkbox"/>
                <w:rFonts w:ascii="Arial" w:hAnsi="Arial" w:cs="Arial"/>
              </w:rPr>
              <w:t>long-term dermal DN(M)EL of benzene</w:t>
            </w:r>
          </w:p>
          <w:p w14:paraId="2E51FF73" w14:textId="569285B5" w:rsidR="00B3130D" w:rsidRDefault="00B80DBE" w:rsidP="00C545D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The </w:t>
            </w:r>
            <w:r w:rsidR="00B3130D">
              <w:rPr>
                <w:rStyle w:val="checkbox"/>
                <w:rFonts w:ascii="Arial" w:hAnsi="Arial" w:cs="Arial"/>
              </w:rPr>
              <w:t xml:space="preserve">inhalational </w:t>
            </w:r>
            <w:r>
              <w:rPr>
                <w:rStyle w:val="checkbox"/>
                <w:rFonts w:ascii="Arial" w:hAnsi="Arial" w:cs="Arial"/>
              </w:rPr>
              <w:t>DN(M)EL of 1,3-butadiene</w:t>
            </w:r>
            <w:r w:rsidR="00B3130D">
              <w:rPr>
                <w:rStyle w:val="checkbox"/>
                <w:rFonts w:ascii="Arial" w:hAnsi="Arial" w:cs="Arial"/>
              </w:rPr>
              <w:t xml:space="preserve"> (1.1 ppm)</w:t>
            </w:r>
            <w:r>
              <w:rPr>
                <w:rStyle w:val="checkbox"/>
                <w:rFonts w:ascii="Arial" w:hAnsi="Arial" w:cs="Arial"/>
              </w:rPr>
              <w:t xml:space="preserve"> is based on a non-threshold </w:t>
            </w:r>
            <w:r w:rsidR="00B3130D">
              <w:rPr>
                <w:rStyle w:val="checkbox"/>
                <w:rFonts w:ascii="Arial" w:hAnsi="Arial" w:cs="Arial"/>
              </w:rPr>
              <w:t xml:space="preserve">derivation to minimise excess incidences of leukaemia </w:t>
            </w:r>
            <w:r>
              <w:rPr>
                <w:rStyle w:val="checkbox"/>
                <w:rFonts w:ascii="Arial" w:hAnsi="Arial" w:cs="Arial"/>
              </w:rPr>
              <w:t xml:space="preserve">and </w:t>
            </w:r>
            <w:r w:rsidR="00B3130D">
              <w:rPr>
                <w:rStyle w:val="checkbox"/>
                <w:rFonts w:ascii="Arial" w:hAnsi="Arial" w:cs="Arial"/>
              </w:rPr>
              <w:t>is therefore considered a limiting factor; the dermal DN(M)EL of benzene is applied for dermal exposures</w:t>
            </w:r>
          </w:p>
          <w:p w14:paraId="030AB4B7" w14:textId="0C4AADD3" w:rsidR="00B80DBE" w:rsidRPr="00B80DBE" w:rsidRDefault="00B3130D" w:rsidP="00C545D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Long-term inhalational DN(M)EL for LPG therefore recommended at 1.1</w:t>
            </w:r>
            <w:r w:rsidR="00B66CF5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ppm, limited by the DN(M)EL of 1,3</w:t>
            </w:r>
            <w:r w:rsidR="00D61A17">
              <w:rPr>
                <w:rStyle w:val="checkbox"/>
                <w:rFonts w:ascii="Arial" w:hAnsi="Arial" w:cs="Arial"/>
              </w:rPr>
              <w:noBreakHyphen/>
            </w:r>
            <w:r>
              <w:rPr>
                <w:rStyle w:val="checkbox"/>
                <w:rFonts w:ascii="Arial" w:hAnsi="Arial" w:cs="Arial"/>
              </w:rPr>
              <w:t>butadiene</w:t>
            </w:r>
            <w:r w:rsidR="00B66CF5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B334C25" w14:textId="77777777" w:rsidTr="00B713FC">
        <w:trPr>
          <w:cantSplit/>
        </w:trPr>
        <w:tc>
          <w:tcPr>
            <w:tcW w:w="1486" w:type="dxa"/>
          </w:tcPr>
          <w:p w14:paraId="439FCD80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1" w:type="dxa"/>
          </w:tcPr>
          <w:p w14:paraId="649B87EE" w14:textId="11A303BA" w:rsidR="004966BF" w:rsidRDefault="002509A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3323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DBAACE6" w14:textId="0D452EBC" w:rsidR="004966BF" w:rsidRPr="004C23F4" w:rsidRDefault="00E3323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8" w:type="dxa"/>
          </w:tcPr>
          <w:p w14:paraId="3D87BB90" w14:textId="3893895D" w:rsidR="004966BF" w:rsidRPr="004C23F4" w:rsidRDefault="00502207" w:rsidP="00C545D1">
            <w:pPr>
              <w:pStyle w:val="Tablefont"/>
              <w:numPr>
                <w:ilvl w:val="0"/>
                <w:numId w:val="2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502207">
              <w:rPr>
                <w:rFonts w:cs="Arial"/>
              </w:rPr>
              <w:t xml:space="preserve">IDLH based on 10% of the LELs of 1.9% for butane and 2.1% for </w:t>
            </w:r>
            <w:r w:rsidR="00702295">
              <w:rPr>
                <w:rFonts w:cs="Arial"/>
              </w:rPr>
              <w:t>propane</w:t>
            </w:r>
            <w:r w:rsidR="00B66CF5">
              <w:rPr>
                <w:rFonts w:cs="Arial"/>
              </w:rPr>
              <w:t>.</w:t>
            </w:r>
          </w:p>
        </w:tc>
      </w:tr>
    </w:tbl>
    <w:bookmarkEnd w:id="0"/>
    <w:p w14:paraId="1797965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9268259" w14:textId="77777777" w:rsidTr="00B655C9">
        <w:trPr>
          <w:trHeight w:val="454"/>
          <w:tblHeader/>
        </w:trPr>
        <w:tc>
          <w:tcPr>
            <w:tcW w:w="6597" w:type="dxa"/>
            <w:vAlign w:val="center"/>
          </w:tcPr>
          <w:p w14:paraId="2D6E675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F7F13C6" w14:textId="474A97BD" w:rsidR="002E0D61" w:rsidRDefault="00B3130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F66E7BC" w14:textId="77777777" w:rsidTr="00B655C9">
        <w:trPr>
          <w:trHeight w:val="454"/>
        </w:trPr>
        <w:tc>
          <w:tcPr>
            <w:tcW w:w="6597" w:type="dxa"/>
            <w:vAlign w:val="center"/>
          </w:tcPr>
          <w:p w14:paraId="65636E1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28264EF" w14:textId="1AD06818" w:rsidR="008A36CF" w:rsidRDefault="00B3130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70B26E0" w14:textId="77777777" w:rsidTr="00B655C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39D4F901" w14:textId="5660E254" w:rsidR="008A36CF" w:rsidRPr="006901A2" w:rsidRDefault="00B3130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3A616FC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268586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45B624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813DB6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CD5E26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E07A940" w14:textId="77777777" w:rsidTr="00812887">
        <w:trPr>
          <w:cantSplit/>
        </w:trPr>
        <w:tc>
          <w:tcPr>
            <w:tcW w:w="3227" w:type="dxa"/>
          </w:tcPr>
          <w:p w14:paraId="10D64E5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887D51F" w14:textId="5D6F6299" w:rsidR="00687890" w:rsidRPr="00DD2F9B" w:rsidRDefault="00B3130D" w:rsidP="00DD2F9B">
            <w:pPr>
              <w:pStyle w:val="Tablefont"/>
            </w:pPr>
            <w:proofErr w:type="spellStart"/>
            <w:r>
              <w:t>Carc</w:t>
            </w:r>
            <w:proofErr w:type="spellEnd"/>
            <w:r>
              <w:t>. Cat. 1B</w:t>
            </w:r>
          </w:p>
        </w:tc>
      </w:tr>
      <w:tr w:rsidR="007925F0" w:rsidRPr="004C23F4" w14:paraId="52A197AF" w14:textId="77777777" w:rsidTr="00812887">
        <w:trPr>
          <w:cantSplit/>
        </w:trPr>
        <w:tc>
          <w:tcPr>
            <w:tcW w:w="3227" w:type="dxa"/>
          </w:tcPr>
          <w:p w14:paraId="66F4F5C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E85EB52" w14:textId="77777777" w:rsidR="007925F0" w:rsidRPr="00DD2F9B" w:rsidRDefault="00887E3F" w:rsidP="00DD2F9B">
            <w:pPr>
              <w:pStyle w:val="Tablefont"/>
            </w:pPr>
            <w:r w:rsidRPr="00887E3F">
              <w:t>Carcinogenicity – category 1A</w:t>
            </w:r>
          </w:p>
        </w:tc>
      </w:tr>
      <w:tr w:rsidR="00AF483F" w:rsidRPr="004C23F4" w14:paraId="76D999B8" w14:textId="77777777" w:rsidTr="00812887">
        <w:trPr>
          <w:cantSplit/>
        </w:trPr>
        <w:tc>
          <w:tcPr>
            <w:tcW w:w="3227" w:type="dxa"/>
          </w:tcPr>
          <w:p w14:paraId="1C44E7D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A7E3590" w14:textId="5FA3D41D" w:rsidR="00AF483F" w:rsidRPr="00DD2F9B" w:rsidRDefault="00EE2EDD" w:rsidP="00DD2F9B">
            <w:pPr>
              <w:pStyle w:val="Tablefont"/>
            </w:pPr>
            <w:proofErr w:type="spellStart"/>
            <w:r w:rsidRPr="00EE2EDD">
              <w:t>Carc</w:t>
            </w:r>
            <w:proofErr w:type="spellEnd"/>
            <w:r w:rsidRPr="00EE2EDD">
              <w:t>. Cat</w:t>
            </w:r>
            <w:r>
              <w:t>.</w:t>
            </w:r>
            <w:r w:rsidRPr="00EE2EDD">
              <w:t xml:space="preserve"> 1</w:t>
            </w:r>
          </w:p>
        </w:tc>
      </w:tr>
      <w:tr w:rsidR="00687890" w:rsidRPr="004C23F4" w14:paraId="3B27855F" w14:textId="77777777" w:rsidTr="00812887">
        <w:trPr>
          <w:cantSplit/>
        </w:trPr>
        <w:tc>
          <w:tcPr>
            <w:tcW w:w="3227" w:type="dxa"/>
          </w:tcPr>
          <w:p w14:paraId="14EB21D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B7D90C5" w14:textId="41537987" w:rsidR="00687890" w:rsidRPr="00DD2F9B" w:rsidRDefault="00C425FE" w:rsidP="00DD2F9B">
            <w:pPr>
              <w:pStyle w:val="Tablefont"/>
            </w:pPr>
            <w:r w:rsidRPr="00C425FE">
              <w:t>Carcinogenicity – category 1A</w:t>
            </w:r>
          </w:p>
        </w:tc>
      </w:tr>
      <w:tr w:rsidR="00E41A26" w:rsidRPr="004C23F4" w14:paraId="377926E1" w14:textId="77777777" w:rsidTr="00812887">
        <w:trPr>
          <w:cantSplit/>
        </w:trPr>
        <w:tc>
          <w:tcPr>
            <w:tcW w:w="3227" w:type="dxa"/>
          </w:tcPr>
          <w:p w14:paraId="7634630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2C700DE" w14:textId="7620A24E" w:rsidR="00E41A26" w:rsidRPr="00DD2F9B" w:rsidRDefault="00C425FE" w:rsidP="00DD2F9B">
            <w:pPr>
              <w:pStyle w:val="Tablefont"/>
            </w:pPr>
            <w:r w:rsidRPr="00C425FE">
              <w:t>Carcinogenicity – category 1A</w:t>
            </w:r>
          </w:p>
        </w:tc>
      </w:tr>
      <w:tr w:rsidR="002E0D61" w:rsidRPr="004C23F4" w14:paraId="79C692C0" w14:textId="77777777" w:rsidTr="00812887">
        <w:trPr>
          <w:cantSplit/>
        </w:trPr>
        <w:tc>
          <w:tcPr>
            <w:tcW w:w="3227" w:type="dxa"/>
          </w:tcPr>
          <w:p w14:paraId="3DD5649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E8119C6" w14:textId="50F61292" w:rsidR="002E0D61" w:rsidRPr="00DD2F9B" w:rsidRDefault="00EE2ED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B74839F" w14:textId="77777777" w:rsidTr="00812887">
        <w:trPr>
          <w:cantSplit/>
        </w:trPr>
        <w:tc>
          <w:tcPr>
            <w:tcW w:w="3227" w:type="dxa"/>
          </w:tcPr>
          <w:p w14:paraId="51F8B71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D944053" w14:textId="059AFDDD" w:rsidR="002E0D61" w:rsidRPr="00DD2F9B" w:rsidRDefault="00EE2ED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745BC53" w14:textId="77777777" w:rsidTr="00812887">
        <w:trPr>
          <w:cantSplit/>
        </w:trPr>
        <w:tc>
          <w:tcPr>
            <w:tcW w:w="3227" w:type="dxa"/>
          </w:tcPr>
          <w:p w14:paraId="4FEA51F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B564298" w14:textId="0B683FDC" w:rsidR="002E0D61" w:rsidRPr="00DD2F9B" w:rsidRDefault="00EE2ED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3AB7EF6" w14:textId="77777777" w:rsidTr="00812887">
        <w:trPr>
          <w:cantSplit/>
        </w:trPr>
        <w:tc>
          <w:tcPr>
            <w:tcW w:w="3227" w:type="dxa"/>
          </w:tcPr>
          <w:p w14:paraId="7956A6C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C48E5FB" w14:textId="70436302" w:rsidR="002E0D61" w:rsidRPr="00DD2F9B" w:rsidRDefault="00B3130D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1962849B" w14:textId="77777777" w:rsidTr="00812887">
        <w:trPr>
          <w:cantSplit/>
        </w:trPr>
        <w:tc>
          <w:tcPr>
            <w:tcW w:w="3227" w:type="dxa"/>
          </w:tcPr>
          <w:p w14:paraId="453286B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E673B80" w14:textId="62F76017" w:rsidR="00386093" w:rsidRPr="00DD2F9B" w:rsidRDefault="00EE2ED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ACDFC56" w14:textId="77777777" w:rsidTr="00812887">
        <w:trPr>
          <w:cantSplit/>
        </w:trPr>
        <w:tc>
          <w:tcPr>
            <w:tcW w:w="3227" w:type="dxa"/>
          </w:tcPr>
          <w:p w14:paraId="7385DF6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1D7B1D4" w14:textId="747FD02A" w:rsidR="00386093" w:rsidRPr="00DD2F9B" w:rsidRDefault="00EE2ED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B5665D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C8E4AB7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102C8C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9D5254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B343CE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2DCC9BD" w14:textId="2CAA99AB" w:rsidR="00932DCE" w:rsidRPr="004C23F4" w:rsidRDefault="00B655C9" w:rsidP="00F9496B">
            <w:pPr>
              <w:pStyle w:val="Tablefont"/>
            </w:pPr>
            <w:r>
              <w:t>Insufficient data to assign a skin notation</w:t>
            </w:r>
          </w:p>
        </w:tc>
      </w:tr>
    </w:tbl>
    <w:bookmarkEnd w:id="3"/>
    <w:p w14:paraId="3E10B99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38A7687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2ACA9A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4F43BCF" w14:textId="2A94F492" w:rsidR="00EB3D1B" w:rsidRDefault="00EE2EDD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096059A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B5A041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05C382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CE2295E" w14:textId="40F27866" w:rsidR="001B79E5" w:rsidRDefault="00EE2EDD" w:rsidP="001B79E5">
                <w:pPr>
                  <w:pStyle w:val="Tablefont"/>
                </w:pPr>
                <w:r>
                  <w:t>42.58</w:t>
                </w:r>
              </w:p>
            </w:tc>
          </w:sdtContent>
        </w:sdt>
      </w:tr>
      <w:tr w:rsidR="00A31D99" w:rsidRPr="004C23F4" w14:paraId="405C1C1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75CCE3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E60BD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213861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8AE275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C28536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420D330" w14:textId="77777777" w:rsidTr="00EA6243">
        <w:trPr>
          <w:cantSplit/>
        </w:trPr>
        <w:tc>
          <w:tcPr>
            <w:tcW w:w="4077" w:type="dxa"/>
            <w:vAlign w:val="center"/>
          </w:tcPr>
          <w:p w14:paraId="720C99C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874CE7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AF12395" w14:textId="77777777" w:rsidTr="00EA6243">
        <w:trPr>
          <w:cantSplit/>
        </w:trPr>
        <w:tc>
          <w:tcPr>
            <w:tcW w:w="4077" w:type="dxa"/>
            <w:vAlign w:val="center"/>
          </w:tcPr>
          <w:p w14:paraId="5A52C83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D85993" w14:textId="1BE77659" w:rsidR="00687890" w:rsidRPr="004C23F4" w:rsidRDefault="004F444D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47269831" w14:textId="77777777" w:rsidTr="00EA6243">
        <w:trPr>
          <w:cantSplit/>
        </w:trPr>
        <w:tc>
          <w:tcPr>
            <w:tcW w:w="4077" w:type="dxa"/>
            <w:vAlign w:val="center"/>
          </w:tcPr>
          <w:p w14:paraId="3FEEFA6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E08EADA" w14:textId="77777777" w:rsidR="00E06F40" w:rsidRPr="00A006A0" w:rsidRDefault="002509A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EA9785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29DD38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679F0E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F1BA53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E4AB78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BC96DE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98A6B7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36FD8C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3430EF1" w14:textId="1A99CAEF" w:rsidR="00C425FE" w:rsidRDefault="00C425FE" w:rsidP="00084859">
      <w:r w:rsidRPr="00C425FE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5CB5BCE2" w14:textId="51A22610" w:rsidR="00C425FE" w:rsidRDefault="00EE2EDD" w:rsidP="00C425FE">
      <w:r w:rsidRPr="00EE2EDD">
        <w:t>Health Council</w:t>
      </w:r>
      <w:r w:rsidR="00C425FE">
        <w:t xml:space="preserve"> of the Netherlands (HCOTN) (2004</w:t>
      </w:r>
      <w:r w:rsidRPr="00EE2EDD">
        <w:t xml:space="preserve">) </w:t>
      </w:r>
      <w:r w:rsidR="00C425FE" w:rsidRPr="00C425FE">
        <w:t>Liquefied petroleum gas (LPG)</w:t>
      </w:r>
      <w:r w:rsidRPr="00EE2EDD">
        <w:t xml:space="preserve">. </w:t>
      </w:r>
      <w:r w:rsidR="00C425FE" w:rsidRPr="00C425FE">
        <w:t>Health-based Reassessment of Administrative Occupational Exposure Limits</w:t>
      </w:r>
      <w:r w:rsidRPr="00EE2EDD">
        <w:t>. The Hague: Health Council of the Nether</w:t>
      </w:r>
      <w:r w:rsidR="00C425FE">
        <w:t>lands; publication no. 2000/15OSH/134.</w:t>
      </w:r>
    </w:p>
    <w:p w14:paraId="74AF136B" w14:textId="0553E3E7" w:rsidR="00C425FE" w:rsidRDefault="00C425FE" w:rsidP="00C425FE">
      <w:pPr>
        <w:rPr>
          <w:b/>
        </w:rPr>
      </w:pPr>
      <w:r w:rsidRPr="002022B6">
        <w:t>National Industrial Chemicals Notification and Assessment Scheme (NICNAS)</w:t>
      </w:r>
      <w:r>
        <w:t xml:space="preserve"> (2016) </w:t>
      </w:r>
      <w:r w:rsidRPr="00C425FE">
        <w:t>Liquefied petroleum gases</w:t>
      </w:r>
      <w:r w:rsidRPr="0071660C">
        <w:t xml:space="preserve">: Human health </w:t>
      </w:r>
      <w:sdt>
        <w:sdtPr>
          <w:id w:val="-1295753243"/>
          <w:placeholder>
            <w:docPart w:val="5A7FA090D0894043B33A2DA1760854AF"/>
          </w:placeholder>
          <w:temporary/>
          <w:showingPlcHdr/>
        </w:sdtPr>
        <w:sdtEndPr/>
        <w:sdtContent>
          <w:r w:rsidRPr="00C425FE"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5F46065E" w14:textId="77777777" w:rsidR="00B66CF5" w:rsidRDefault="00B66CF5" w:rsidP="00B66CF5">
      <w:r w:rsidRPr="00C425FE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6468E3C3" w14:textId="4BC3D830" w:rsidR="00EE2EDD" w:rsidRPr="00351FE0" w:rsidRDefault="00C425FE" w:rsidP="00084859"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6AB3C1D52C5849088E063F5D6F7A250B"/>
          </w:placeholder>
          <w:temporary/>
          <w:showingPlcHdr/>
        </w:sdtPr>
        <w:sdtEndPr/>
        <w:sdtContent>
          <w:r w:rsidRPr="00AD580F">
            <w:t>1994</w:t>
          </w:r>
        </w:sdtContent>
      </w:sdt>
      <w:r>
        <w:t xml:space="preserve">) Immediately dangerous to life or health concentrations – </w:t>
      </w:r>
      <w:r w:rsidR="00AD580F">
        <w:t>L.P.G</w:t>
      </w:r>
      <w:r>
        <w:t>.</w:t>
      </w:r>
    </w:p>
    <w:sectPr w:rsidR="00EE2EDD" w:rsidRPr="00351FE0" w:rsidSect="00B87D4C">
      <w:headerReference w:type="default" r:id="rId17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74FEC" w14:textId="77777777" w:rsidR="00FA2D2E" w:rsidRDefault="00FA2D2E" w:rsidP="00F43AD5">
      <w:pPr>
        <w:spacing w:after="0" w:line="240" w:lineRule="auto"/>
      </w:pPr>
      <w:r>
        <w:separator/>
      </w:r>
    </w:p>
  </w:endnote>
  <w:endnote w:type="continuationSeparator" w:id="0">
    <w:p w14:paraId="3C259BE8" w14:textId="77777777" w:rsidR="00FA2D2E" w:rsidRDefault="00FA2D2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04990" w14:textId="77777777" w:rsidR="00E16941" w:rsidRDefault="00E169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2CB494E" w14:textId="62BB0658" w:rsidR="00E16941" w:rsidRDefault="00E16941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LPG (liquefied petroleum gas) (68476-85-7)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6BC80535" w14:textId="59E2FA9B" w:rsidR="00E16941" w:rsidRPr="00F43AD5" w:rsidRDefault="00E16941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227A8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B39CB" w14:textId="77777777" w:rsidR="00E16941" w:rsidRDefault="00E169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52598" w14:textId="77777777" w:rsidR="00FA2D2E" w:rsidRDefault="00FA2D2E" w:rsidP="00F43AD5">
      <w:pPr>
        <w:spacing w:after="0" w:line="240" w:lineRule="auto"/>
      </w:pPr>
      <w:r>
        <w:separator/>
      </w:r>
    </w:p>
  </w:footnote>
  <w:footnote w:type="continuationSeparator" w:id="0">
    <w:p w14:paraId="2F941392" w14:textId="77777777" w:rsidR="00FA2D2E" w:rsidRDefault="00FA2D2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CCE19" w14:textId="77777777" w:rsidR="00E16941" w:rsidRDefault="00E169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B9C1E" w14:textId="7495D693" w:rsidR="00AD122A" w:rsidRDefault="00AD122A" w:rsidP="00AD122A">
    <w:pPr>
      <w:pStyle w:val="Header"/>
      <w:jc w:val="right"/>
    </w:pPr>
    <w:r>
      <w:rPr>
        <w:noProof/>
        <w:lang w:eastAsia="en-AU"/>
      </w:rPr>
      <w:drawing>
        <wp:inline distT="0" distB="0" distL="0" distR="0" wp14:anchorId="6D1D3C35" wp14:editId="4FD64F6B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0EA028" w14:textId="04E709DE" w:rsidR="00E16941" w:rsidRPr="00AD122A" w:rsidRDefault="00E16941" w:rsidP="00AD12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9AB5A" w14:textId="77777777" w:rsidR="00E16941" w:rsidRDefault="00E1694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634E2" w14:textId="4EA83CE2" w:rsidR="00AD122A" w:rsidRDefault="00AD122A" w:rsidP="00AD122A">
    <w:pPr>
      <w:pStyle w:val="Header"/>
      <w:jc w:val="right"/>
    </w:pPr>
    <w:r>
      <w:rPr>
        <w:noProof/>
        <w:lang w:eastAsia="en-AU"/>
      </w:rPr>
      <w:drawing>
        <wp:inline distT="0" distB="0" distL="0" distR="0" wp14:anchorId="693CBA77" wp14:editId="23BB8594">
          <wp:extent cx="2941955" cy="588645"/>
          <wp:effectExtent l="0" t="0" r="0" b="1905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1AACD3" w14:textId="77777777" w:rsidR="00E16941" w:rsidRDefault="00E16941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66AA2"/>
    <w:multiLevelType w:val="hybridMultilevel"/>
    <w:tmpl w:val="862E3062"/>
    <w:lvl w:ilvl="0" w:tplc="A9F6B8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21106"/>
    <w:multiLevelType w:val="hybridMultilevel"/>
    <w:tmpl w:val="962A4D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179695">
    <w:abstractNumId w:val="0"/>
  </w:num>
  <w:num w:numId="2" w16cid:durableId="931937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9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32E"/>
    <w:rsid w:val="00013A22"/>
    <w:rsid w:val="00014C3F"/>
    <w:rsid w:val="00017C82"/>
    <w:rsid w:val="00020354"/>
    <w:rsid w:val="00027FB2"/>
    <w:rsid w:val="00032B88"/>
    <w:rsid w:val="00046DF5"/>
    <w:rsid w:val="00052060"/>
    <w:rsid w:val="0005574A"/>
    <w:rsid w:val="00055FE1"/>
    <w:rsid w:val="00056EC2"/>
    <w:rsid w:val="00060B48"/>
    <w:rsid w:val="00065408"/>
    <w:rsid w:val="00067F32"/>
    <w:rsid w:val="00071807"/>
    <w:rsid w:val="00073982"/>
    <w:rsid w:val="000803E1"/>
    <w:rsid w:val="00083897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17A"/>
    <w:rsid w:val="000D291C"/>
    <w:rsid w:val="000D6EF3"/>
    <w:rsid w:val="000D6F59"/>
    <w:rsid w:val="000E5A54"/>
    <w:rsid w:val="000E63D3"/>
    <w:rsid w:val="000E67CF"/>
    <w:rsid w:val="0010461E"/>
    <w:rsid w:val="00106FAA"/>
    <w:rsid w:val="00113443"/>
    <w:rsid w:val="00124956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28E3"/>
    <w:rsid w:val="001B79E5"/>
    <w:rsid w:val="001D56F0"/>
    <w:rsid w:val="001D663B"/>
    <w:rsid w:val="001D7B41"/>
    <w:rsid w:val="001E46DA"/>
    <w:rsid w:val="001E6119"/>
    <w:rsid w:val="001E7D80"/>
    <w:rsid w:val="001F4B6C"/>
    <w:rsid w:val="001F62CB"/>
    <w:rsid w:val="001F6ED0"/>
    <w:rsid w:val="001F72E6"/>
    <w:rsid w:val="001F73C5"/>
    <w:rsid w:val="00203044"/>
    <w:rsid w:val="002046A6"/>
    <w:rsid w:val="00204956"/>
    <w:rsid w:val="002107CD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09A3"/>
    <w:rsid w:val="00250BA7"/>
    <w:rsid w:val="0025734A"/>
    <w:rsid w:val="00260555"/>
    <w:rsid w:val="00263255"/>
    <w:rsid w:val="00276494"/>
    <w:rsid w:val="00277B0C"/>
    <w:rsid w:val="00286ADC"/>
    <w:rsid w:val="002A2FC7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27A8"/>
    <w:rsid w:val="003241A8"/>
    <w:rsid w:val="003253F0"/>
    <w:rsid w:val="003337DA"/>
    <w:rsid w:val="00334EFB"/>
    <w:rsid w:val="00335CDE"/>
    <w:rsid w:val="003365A5"/>
    <w:rsid w:val="00341DA7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58EE"/>
    <w:rsid w:val="003B387D"/>
    <w:rsid w:val="003C0D58"/>
    <w:rsid w:val="003D4FA3"/>
    <w:rsid w:val="003E0807"/>
    <w:rsid w:val="003E51FB"/>
    <w:rsid w:val="003E6B39"/>
    <w:rsid w:val="003F07E1"/>
    <w:rsid w:val="003F2B95"/>
    <w:rsid w:val="004030BC"/>
    <w:rsid w:val="00403F7D"/>
    <w:rsid w:val="00406785"/>
    <w:rsid w:val="004079B4"/>
    <w:rsid w:val="00417A56"/>
    <w:rsid w:val="00420957"/>
    <w:rsid w:val="00422A10"/>
    <w:rsid w:val="00424925"/>
    <w:rsid w:val="00430179"/>
    <w:rsid w:val="004414B5"/>
    <w:rsid w:val="00444482"/>
    <w:rsid w:val="00444B42"/>
    <w:rsid w:val="00445E44"/>
    <w:rsid w:val="004509E2"/>
    <w:rsid w:val="004515EE"/>
    <w:rsid w:val="004529F0"/>
    <w:rsid w:val="00457AB7"/>
    <w:rsid w:val="00460A03"/>
    <w:rsid w:val="00464199"/>
    <w:rsid w:val="00472A11"/>
    <w:rsid w:val="00472AAD"/>
    <w:rsid w:val="00474E33"/>
    <w:rsid w:val="00476803"/>
    <w:rsid w:val="00477039"/>
    <w:rsid w:val="00484CA0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4D"/>
    <w:rsid w:val="004F448A"/>
    <w:rsid w:val="004F493D"/>
    <w:rsid w:val="004F65E8"/>
    <w:rsid w:val="0050005E"/>
    <w:rsid w:val="00502207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0F7C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0717F"/>
    <w:rsid w:val="00610F2E"/>
    <w:rsid w:val="00611399"/>
    <w:rsid w:val="00613C00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21F1"/>
    <w:rsid w:val="0066333C"/>
    <w:rsid w:val="006639B4"/>
    <w:rsid w:val="006650FE"/>
    <w:rsid w:val="0067305D"/>
    <w:rsid w:val="00677D9B"/>
    <w:rsid w:val="0068271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631A"/>
    <w:rsid w:val="006C3E2C"/>
    <w:rsid w:val="006D79EA"/>
    <w:rsid w:val="006E5D05"/>
    <w:rsid w:val="00701053"/>
    <w:rsid w:val="00701507"/>
    <w:rsid w:val="00702295"/>
    <w:rsid w:val="00714021"/>
    <w:rsid w:val="00716A0F"/>
    <w:rsid w:val="00717D45"/>
    <w:rsid w:val="007208F7"/>
    <w:rsid w:val="007218AF"/>
    <w:rsid w:val="007240A0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538C"/>
    <w:rsid w:val="007B1B42"/>
    <w:rsid w:val="007C30EB"/>
    <w:rsid w:val="007C409A"/>
    <w:rsid w:val="007D5852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6286"/>
    <w:rsid w:val="00857A8A"/>
    <w:rsid w:val="008630EE"/>
    <w:rsid w:val="00864D13"/>
    <w:rsid w:val="00871CD5"/>
    <w:rsid w:val="008745A2"/>
    <w:rsid w:val="008768A8"/>
    <w:rsid w:val="0088798F"/>
    <w:rsid w:val="00887E3F"/>
    <w:rsid w:val="00887E4B"/>
    <w:rsid w:val="008915C8"/>
    <w:rsid w:val="008A36CF"/>
    <w:rsid w:val="008A3BC4"/>
    <w:rsid w:val="008A7D82"/>
    <w:rsid w:val="008B2FF9"/>
    <w:rsid w:val="008B403C"/>
    <w:rsid w:val="008B7983"/>
    <w:rsid w:val="008C2511"/>
    <w:rsid w:val="008D026D"/>
    <w:rsid w:val="008D23AB"/>
    <w:rsid w:val="008D4B8B"/>
    <w:rsid w:val="008D5A78"/>
    <w:rsid w:val="008E7B64"/>
    <w:rsid w:val="008F331E"/>
    <w:rsid w:val="008F5DCD"/>
    <w:rsid w:val="00900951"/>
    <w:rsid w:val="009118A6"/>
    <w:rsid w:val="00915A28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4F81"/>
    <w:rsid w:val="00946044"/>
    <w:rsid w:val="0094660B"/>
    <w:rsid w:val="00946A33"/>
    <w:rsid w:val="0095260E"/>
    <w:rsid w:val="009578DD"/>
    <w:rsid w:val="00961124"/>
    <w:rsid w:val="009621B6"/>
    <w:rsid w:val="00974F2D"/>
    <w:rsid w:val="00976F8E"/>
    <w:rsid w:val="00977524"/>
    <w:rsid w:val="00977E88"/>
    <w:rsid w:val="00984920"/>
    <w:rsid w:val="00991057"/>
    <w:rsid w:val="0099303A"/>
    <w:rsid w:val="009971C2"/>
    <w:rsid w:val="0099753E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6294"/>
    <w:rsid w:val="009E0C05"/>
    <w:rsid w:val="009E0D1C"/>
    <w:rsid w:val="009E2214"/>
    <w:rsid w:val="009E355A"/>
    <w:rsid w:val="009E63E2"/>
    <w:rsid w:val="009F04D2"/>
    <w:rsid w:val="009F05CF"/>
    <w:rsid w:val="009F0F3A"/>
    <w:rsid w:val="009F74C0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637"/>
    <w:rsid w:val="00A357BA"/>
    <w:rsid w:val="00A35ADC"/>
    <w:rsid w:val="00A402A3"/>
    <w:rsid w:val="00A53681"/>
    <w:rsid w:val="00A56A53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B468C"/>
    <w:rsid w:val="00AC32E7"/>
    <w:rsid w:val="00AC3A9F"/>
    <w:rsid w:val="00AC6D2F"/>
    <w:rsid w:val="00AD122A"/>
    <w:rsid w:val="00AD580F"/>
    <w:rsid w:val="00AD75BB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130D"/>
    <w:rsid w:val="00B40C60"/>
    <w:rsid w:val="00B479A9"/>
    <w:rsid w:val="00B50F4F"/>
    <w:rsid w:val="00B52EDF"/>
    <w:rsid w:val="00B655C9"/>
    <w:rsid w:val="00B66CF5"/>
    <w:rsid w:val="00B71188"/>
    <w:rsid w:val="00B713FC"/>
    <w:rsid w:val="00B76A41"/>
    <w:rsid w:val="00B80DBE"/>
    <w:rsid w:val="00B87D4C"/>
    <w:rsid w:val="00B93646"/>
    <w:rsid w:val="00BA0B38"/>
    <w:rsid w:val="00BA1580"/>
    <w:rsid w:val="00BA1DBB"/>
    <w:rsid w:val="00BA4510"/>
    <w:rsid w:val="00BA529A"/>
    <w:rsid w:val="00BB413D"/>
    <w:rsid w:val="00BB612A"/>
    <w:rsid w:val="00BD3A2A"/>
    <w:rsid w:val="00BD499F"/>
    <w:rsid w:val="00BD56DE"/>
    <w:rsid w:val="00BE4C94"/>
    <w:rsid w:val="00BF2406"/>
    <w:rsid w:val="00C04D56"/>
    <w:rsid w:val="00C06E43"/>
    <w:rsid w:val="00C16315"/>
    <w:rsid w:val="00C3091E"/>
    <w:rsid w:val="00C40FF1"/>
    <w:rsid w:val="00C419E2"/>
    <w:rsid w:val="00C425FE"/>
    <w:rsid w:val="00C5020E"/>
    <w:rsid w:val="00C545D1"/>
    <w:rsid w:val="00C57452"/>
    <w:rsid w:val="00C61EDF"/>
    <w:rsid w:val="00C6239D"/>
    <w:rsid w:val="00C6594B"/>
    <w:rsid w:val="00C67FFB"/>
    <w:rsid w:val="00C7155E"/>
    <w:rsid w:val="00C71D1E"/>
    <w:rsid w:val="00C71D7D"/>
    <w:rsid w:val="00C723EB"/>
    <w:rsid w:val="00C74833"/>
    <w:rsid w:val="00C77FFE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45EC2"/>
    <w:rsid w:val="00D516CD"/>
    <w:rsid w:val="00D61A17"/>
    <w:rsid w:val="00D668E6"/>
    <w:rsid w:val="00D70670"/>
    <w:rsid w:val="00D74D80"/>
    <w:rsid w:val="00D76624"/>
    <w:rsid w:val="00D8189A"/>
    <w:rsid w:val="00D87570"/>
    <w:rsid w:val="00D91CB9"/>
    <w:rsid w:val="00D97989"/>
    <w:rsid w:val="00D97D8D"/>
    <w:rsid w:val="00DA2819"/>
    <w:rsid w:val="00DA352E"/>
    <w:rsid w:val="00DC7694"/>
    <w:rsid w:val="00DD1BF6"/>
    <w:rsid w:val="00DD2F9B"/>
    <w:rsid w:val="00DE0732"/>
    <w:rsid w:val="00DE2513"/>
    <w:rsid w:val="00DE26E8"/>
    <w:rsid w:val="00DF6F36"/>
    <w:rsid w:val="00E0084C"/>
    <w:rsid w:val="00E025AB"/>
    <w:rsid w:val="00E02B23"/>
    <w:rsid w:val="00E05C60"/>
    <w:rsid w:val="00E06F40"/>
    <w:rsid w:val="00E07CE8"/>
    <w:rsid w:val="00E109B5"/>
    <w:rsid w:val="00E16941"/>
    <w:rsid w:val="00E26A07"/>
    <w:rsid w:val="00E32595"/>
    <w:rsid w:val="00E33230"/>
    <w:rsid w:val="00E3522E"/>
    <w:rsid w:val="00E365F4"/>
    <w:rsid w:val="00E37CFD"/>
    <w:rsid w:val="00E41A26"/>
    <w:rsid w:val="00E46BCB"/>
    <w:rsid w:val="00E51CAF"/>
    <w:rsid w:val="00E568F9"/>
    <w:rsid w:val="00E606AF"/>
    <w:rsid w:val="00E60F04"/>
    <w:rsid w:val="00E62AAC"/>
    <w:rsid w:val="00E67C2F"/>
    <w:rsid w:val="00E67EF5"/>
    <w:rsid w:val="00E804EA"/>
    <w:rsid w:val="00E80A71"/>
    <w:rsid w:val="00E82337"/>
    <w:rsid w:val="00E865ED"/>
    <w:rsid w:val="00E92499"/>
    <w:rsid w:val="00E949AF"/>
    <w:rsid w:val="00E96077"/>
    <w:rsid w:val="00EA0A06"/>
    <w:rsid w:val="00EA1F0B"/>
    <w:rsid w:val="00EA4E5D"/>
    <w:rsid w:val="00EA6243"/>
    <w:rsid w:val="00EA74AB"/>
    <w:rsid w:val="00EB099F"/>
    <w:rsid w:val="00EB3D1B"/>
    <w:rsid w:val="00ED1D89"/>
    <w:rsid w:val="00ED66BC"/>
    <w:rsid w:val="00EE0746"/>
    <w:rsid w:val="00EE2EDD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0B24"/>
    <w:rsid w:val="00F43AD5"/>
    <w:rsid w:val="00F4402E"/>
    <w:rsid w:val="00F50993"/>
    <w:rsid w:val="00F56DD0"/>
    <w:rsid w:val="00F63373"/>
    <w:rsid w:val="00F6491C"/>
    <w:rsid w:val="00F67BBB"/>
    <w:rsid w:val="00F75DCC"/>
    <w:rsid w:val="00F8427C"/>
    <w:rsid w:val="00F87D92"/>
    <w:rsid w:val="00F90AA7"/>
    <w:rsid w:val="00F92498"/>
    <w:rsid w:val="00F9496B"/>
    <w:rsid w:val="00F970C9"/>
    <w:rsid w:val="00FA06A8"/>
    <w:rsid w:val="00FA2D2E"/>
    <w:rsid w:val="00FA3DF5"/>
    <w:rsid w:val="00FA741F"/>
    <w:rsid w:val="00FB4E07"/>
    <w:rsid w:val="00FB755A"/>
    <w:rsid w:val="00FC2A29"/>
    <w:rsid w:val="00FC60A2"/>
    <w:rsid w:val="00FD1871"/>
    <w:rsid w:val="00FD3110"/>
    <w:rsid w:val="00FD6636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2"/>
    <o:shapelayout v:ext="edit">
      <o:idmap v:ext="edit" data="1"/>
    </o:shapelayout>
  </w:shapeDefaults>
  <w:decimalSymbol w:val="."/>
  <w:listSeparator w:val=","/>
  <w14:docId w14:val="5886E7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887E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7E3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7E3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7E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7E3F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C425FE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Revision">
    <w:name w:val="Revision"/>
    <w:hidden/>
    <w:uiPriority w:val="99"/>
    <w:semiHidden/>
    <w:rsid w:val="00B713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6AB3C1D52C5849088E063F5D6F7A2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43940-8DDF-4D5A-8B7F-E1C1A82B4080}"/>
      </w:docPartPr>
      <w:docPartBody>
        <w:p w:rsidR="00DC7C1B" w:rsidRDefault="006F10A4" w:rsidP="006F10A4">
          <w:pPr>
            <w:pStyle w:val="6AB3C1D52C5849088E063F5D6F7A250B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5A7FA090D0894043B33A2DA176085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8DC37-6D33-4B65-A2C8-A129E4DFB526}"/>
      </w:docPartPr>
      <w:docPartBody>
        <w:p w:rsidR="00DC7C1B" w:rsidRDefault="006F10A4" w:rsidP="006F10A4">
          <w:pPr>
            <w:pStyle w:val="5A7FA090D0894043B33A2DA1760854AF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72045902D6E7469393A68C42C648A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268EE-9CEE-46AF-AD2B-4597CFBAE008}"/>
      </w:docPartPr>
      <w:docPartBody>
        <w:p w:rsidR="00337A31" w:rsidRDefault="00636641" w:rsidP="00636641">
          <w:pPr>
            <w:pStyle w:val="72045902D6E7469393A68C42C648A75B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37A31"/>
    <w:rsid w:val="003C44DB"/>
    <w:rsid w:val="00484CA0"/>
    <w:rsid w:val="005930F0"/>
    <w:rsid w:val="00636641"/>
    <w:rsid w:val="006F10A4"/>
    <w:rsid w:val="00734627"/>
    <w:rsid w:val="00753EE2"/>
    <w:rsid w:val="00D21A9F"/>
    <w:rsid w:val="00DC7C1B"/>
    <w:rsid w:val="00E6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664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6AB3C1D52C5849088E063F5D6F7A250B">
    <w:name w:val="6AB3C1D52C5849088E063F5D6F7A250B"/>
    <w:rsid w:val="006F10A4"/>
    <w:rPr>
      <w:lang w:val="en-US" w:eastAsia="en-US"/>
    </w:rPr>
  </w:style>
  <w:style w:type="paragraph" w:customStyle="1" w:styleId="5A7FA090D0894043B33A2DA1760854AF">
    <w:name w:val="5A7FA090D0894043B33A2DA1760854AF"/>
    <w:rsid w:val="006F10A4"/>
    <w:rPr>
      <w:lang w:val="en-US" w:eastAsia="en-US"/>
    </w:rPr>
  </w:style>
  <w:style w:type="paragraph" w:customStyle="1" w:styleId="72045902D6E7469393A68C42C648A75B">
    <w:name w:val="72045902D6E7469393A68C42C648A75B"/>
    <w:rsid w:val="00636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F7DFCA-A99C-4041-B4C2-5923F14924C9}">
  <ds:schemaRefs>
    <ds:schemaRef ds:uri="1c567317-0c4d-4a62-8516-c22afd1b5354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a0509f21-ed56-4150-9955-96be669e5f2d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F8FCED9-18FD-4FAD-8C76-3219C36A53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775B9E-6B49-4B39-AA28-602F8716CC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196755-2074-4CAD-B1AF-4241A06F6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2019-12-18T00:28:00Z</dcterms:created>
  <dcterms:modified xsi:type="dcterms:W3CDTF">2026-01-08T23:37:00Z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2025-12-23T04:42:39Z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69c85305-a95e-449e-80a0-bbb7d6d02a86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