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5DD14D4F" w14:textId="67B323E2" w:rsidR="00BD499F" w:rsidRPr="004C23F4" w:rsidRDefault="00392F20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Isocyanates, (POLY-) (as-NCO)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3"/>
        <w:gridCol w:w="5053"/>
      </w:tblGrid>
      <w:tr w:rsidR="00F43AD5" w:rsidRPr="004C23F4" w14:paraId="62113D0B" w14:textId="77777777" w:rsidTr="00B76A41">
        <w:trPr>
          <w:cantSplit/>
          <w:tblHeader/>
        </w:trPr>
        <w:tc>
          <w:tcPr>
            <w:tcW w:w="4077" w:type="dxa"/>
          </w:tcPr>
          <w:p w14:paraId="418FB96C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01E26D9A" w14:textId="489EEC22" w:rsidR="00A64169" w:rsidRPr="00F24EED" w:rsidRDefault="00B63037" w:rsidP="007F16AE">
            <w:pPr>
              <w:pStyle w:val="Tablefont"/>
              <w:ind w:left="-30"/>
              <w:rPr>
                <w:rFonts w:cs="Arial"/>
                <w:szCs w:val="20"/>
                <w:lang w:val="it-IT"/>
              </w:rPr>
            </w:pPr>
            <w:r w:rsidRPr="00F24EED">
              <w:rPr>
                <w:rFonts w:cs="Arial"/>
                <w:szCs w:val="20"/>
                <w:lang w:val="it-IT"/>
              </w:rPr>
              <w:t>TDI:</w:t>
            </w:r>
            <w:r w:rsidR="00044196" w:rsidRPr="00F24EED">
              <w:rPr>
                <w:rFonts w:cs="Arial"/>
                <w:szCs w:val="20"/>
                <w:lang w:val="it-IT"/>
              </w:rPr>
              <w:t xml:space="preserve"> </w:t>
            </w:r>
            <w:r w:rsidRPr="00F24EED">
              <w:rPr>
                <w:rFonts w:cs="Arial"/>
                <w:szCs w:val="20"/>
                <w:lang w:val="it-IT"/>
              </w:rPr>
              <w:t xml:space="preserve">            </w:t>
            </w:r>
            <w:r w:rsidR="00A64169" w:rsidRPr="00F24EED">
              <w:rPr>
                <w:rFonts w:cs="Arial"/>
                <w:szCs w:val="20"/>
                <w:lang w:val="it-IT"/>
              </w:rPr>
              <w:t>584-84-9</w:t>
            </w:r>
          </w:p>
          <w:p w14:paraId="14379B00" w14:textId="4CCDC236" w:rsidR="00A64169" w:rsidRPr="00F24EED" w:rsidRDefault="00B63037" w:rsidP="007F16AE">
            <w:pPr>
              <w:pStyle w:val="Tablefont"/>
              <w:ind w:left="-30"/>
              <w:rPr>
                <w:rFonts w:cs="Arial"/>
                <w:szCs w:val="20"/>
                <w:lang w:val="it-IT"/>
              </w:rPr>
            </w:pPr>
            <w:r w:rsidRPr="00F24EED">
              <w:rPr>
                <w:rFonts w:cs="Arial"/>
                <w:szCs w:val="20"/>
                <w:lang w:val="it-IT"/>
              </w:rPr>
              <w:t xml:space="preserve">2,6-TDI:      </w:t>
            </w:r>
            <w:r w:rsidR="00044196" w:rsidRPr="00F24EED">
              <w:rPr>
                <w:rFonts w:cs="Arial"/>
                <w:szCs w:val="20"/>
                <w:lang w:val="it-IT"/>
              </w:rPr>
              <w:t xml:space="preserve"> </w:t>
            </w:r>
            <w:r w:rsidR="00A64169" w:rsidRPr="00F24EED">
              <w:rPr>
                <w:rFonts w:cs="Arial"/>
                <w:szCs w:val="20"/>
                <w:lang w:val="it-IT"/>
              </w:rPr>
              <w:t>91-08-7</w:t>
            </w:r>
          </w:p>
          <w:p w14:paraId="7EE217AC" w14:textId="27EEBD71" w:rsidR="00A64169" w:rsidRPr="00F24EED" w:rsidRDefault="00044196" w:rsidP="007F16AE">
            <w:pPr>
              <w:pStyle w:val="Tablefont"/>
              <w:ind w:left="-30"/>
              <w:rPr>
                <w:rFonts w:cs="Arial"/>
                <w:szCs w:val="20"/>
                <w:lang w:val="it-IT"/>
              </w:rPr>
            </w:pPr>
            <w:r w:rsidRPr="00F24EED">
              <w:rPr>
                <w:rFonts w:cs="Arial"/>
                <w:szCs w:val="20"/>
                <w:shd w:val="clear" w:color="auto" w:fill="FFFFFF"/>
                <w:lang w:val="it-IT"/>
              </w:rPr>
              <w:t>HDI</w:t>
            </w:r>
            <w:r w:rsidR="00B63037" w:rsidRPr="00F24EED">
              <w:rPr>
                <w:rFonts w:cs="Arial"/>
                <w:szCs w:val="20"/>
                <w:shd w:val="clear" w:color="auto" w:fill="FFFFFF"/>
                <w:lang w:val="it-IT"/>
              </w:rPr>
              <w:t>:</w:t>
            </w:r>
            <w:r w:rsidRPr="00F24EED">
              <w:rPr>
                <w:rFonts w:cs="Arial"/>
                <w:szCs w:val="20"/>
                <w:shd w:val="clear" w:color="auto" w:fill="FFFFFF"/>
                <w:lang w:val="it-IT"/>
              </w:rPr>
              <w:t xml:space="preserve"> </w:t>
            </w:r>
            <w:r w:rsidR="00B63037" w:rsidRPr="00F24EED">
              <w:rPr>
                <w:rFonts w:cs="Arial"/>
                <w:szCs w:val="20"/>
                <w:shd w:val="clear" w:color="auto" w:fill="FFFFFF"/>
                <w:lang w:val="it-IT"/>
              </w:rPr>
              <w:t xml:space="preserve">            </w:t>
            </w:r>
            <w:r w:rsidR="00A64169" w:rsidRPr="00F24EED">
              <w:rPr>
                <w:rFonts w:cs="Arial"/>
                <w:szCs w:val="20"/>
                <w:shd w:val="clear" w:color="auto" w:fill="FFFFFF"/>
                <w:lang w:val="it-IT"/>
              </w:rPr>
              <w:t>822-06-0</w:t>
            </w:r>
          </w:p>
          <w:p w14:paraId="6C1F4048" w14:textId="2AB94564" w:rsidR="00967E74" w:rsidRPr="00F24EED" w:rsidRDefault="00B63037" w:rsidP="007F16AE">
            <w:pPr>
              <w:pStyle w:val="Tablefont"/>
              <w:ind w:left="-30"/>
              <w:rPr>
                <w:rFonts w:cs="Arial"/>
                <w:szCs w:val="20"/>
                <w:lang w:val="it-IT"/>
              </w:rPr>
            </w:pPr>
            <w:r w:rsidRPr="00F24EED">
              <w:rPr>
                <w:rFonts w:cs="Arial"/>
                <w:szCs w:val="20"/>
                <w:shd w:val="clear" w:color="auto" w:fill="FFFFFF"/>
                <w:lang w:val="it-IT"/>
              </w:rPr>
              <w:t xml:space="preserve">IPDI:            </w:t>
            </w:r>
            <w:r w:rsidR="00A64169" w:rsidRPr="00F24EED">
              <w:rPr>
                <w:rFonts w:cs="Arial"/>
                <w:szCs w:val="20"/>
                <w:lang w:val="it-IT"/>
              </w:rPr>
              <w:t>4098-71-9</w:t>
            </w:r>
          </w:p>
          <w:p w14:paraId="4681E0EF" w14:textId="53112A5B" w:rsidR="007745FA" w:rsidRPr="00F24EED" w:rsidRDefault="00B63037" w:rsidP="007F16AE">
            <w:pPr>
              <w:pStyle w:val="Tablefont"/>
              <w:ind w:left="-30"/>
              <w:rPr>
                <w:rFonts w:cs="Arial"/>
                <w:szCs w:val="20"/>
                <w:lang w:val="it-IT"/>
              </w:rPr>
            </w:pPr>
            <w:r w:rsidRPr="00F24EED">
              <w:rPr>
                <w:rFonts w:cs="Arial"/>
                <w:szCs w:val="20"/>
                <w:shd w:val="clear" w:color="auto" w:fill="FFFFFF"/>
                <w:lang w:val="it-IT"/>
              </w:rPr>
              <w:t xml:space="preserve">MDI: </w:t>
            </w:r>
            <w:r w:rsidR="007F16AE" w:rsidRPr="00F24EED">
              <w:rPr>
                <w:rFonts w:cs="Arial"/>
                <w:szCs w:val="20"/>
                <w:shd w:val="clear" w:color="auto" w:fill="FFFFFF"/>
                <w:lang w:val="it-IT"/>
              </w:rPr>
              <w:t xml:space="preserve">         </w:t>
            </w:r>
            <w:r w:rsidRPr="00F24EED">
              <w:rPr>
                <w:rFonts w:cs="Arial"/>
                <w:szCs w:val="20"/>
                <w:shd w:val="clear" w:color="auto" w:fill="FFFFFF"/>
                <w:lang w:val="it-IT"/>
              </w:rPr>
              <w:t xml:space="preserve">  </w:t>
            </w:r>
            <w:r w:rsidR="007745FA" w:rsidRPr="00F24EED">
              <w:rPr>
                <w:rFonts w:cs="Arial"/>
                <w:szCs w:val="20"/>
                <w:shd w:val="clear" w:color="auto" w:fill="FFFFFF"/>
                <w:lang w:val="it-IT"/>
              </w:rPr>
              <w:t>101-68-8</w:t>
            </w:r>
          </w:p>
          <w:p w14:paraId="41C94963" w14:textId="123696E1" w:rsidR="007745FA" w:rsidRPr="007745FA" w:rsidRDefault="007745FA" w:rsidP="007F16AE">
            <w:pPr>
              <w:pStyle w:val="Tablefont"/>
              <w:ind w:left="-3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HMDI </w:t>
            </w:r>
            <w:r w:rsidR="007F16AE">
              <w:rPr>
                <w:rFonts w:cs="Arial"/>
                <w:szCs w:val="20"/>
              </w:rPr>
              <w:t xml:space="preserve">       </w:t>
            </w:r>
            <w:r w:rsidR="00B63037">
              <w:rPr>
                <w:rFonts w:cs="Arial"/>
                <w:szCs w:val="20"/>
              </w:rPr>
              <w:t xml:space="preserve">   </w:t>
            </w:r>
            <w:r>
              <w:rPr>
                <w:rFonts w:cs="Arial"/>
                <w:szCs w:val="20"/>
              </w:rPr>
              <w:t>5124-30-1</w:t>
            </w:r>
          </w:p>
        </w:tc>
      </w:tr>
      <w:tr w:rsidR="00F43AD5" w:rsidRPr="00EC16B1" w14:paraId="4A58A9ED" w14:textId="77777777" w:rsidTr="00B76A41">
        <w:trPr>
          <w:cantSplit/>
        </w:trPr>
        <w:tc>
          <w:tcPr>
            <w:tcW w:w="4077" w:type="dxa"/>
          </w:tcPr>
          <w:p w14:paraId="4A5FC648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3404E9D2" w14:textId="52B8C898" w:rsidR="007745FA" w:rsidRPr="00F24EED" w:rsidRDefault="007745FA" w:rsidP="007F16AE">
            <w:pPr>
              <w:pStyle w:val="Tablefont"/>
              <w:ind w:left="-30"/>
              <w:rPr>
                <w:rFonts w:cs="Arial"/>
                <w:szCs w:val="20"/>
                <w:lang w:val="it-IT"/>
              </w:rPr>
            </w:pPr>
            <w:r w:rsidRPr="00F24EED">
              <w:rPr>
                <w:rFonts w:cs="Arial"/>
                <w:szCs w:val="20"/>
                <w:lang w:val="it-IT"/>
              </w:rPr>
              <w:t>TDI: Toluene-2,4-diisocyanate</w:t>
            </w:r>
            <w:r w:rsidR="00B63037" w:rsidRPr="00F24EED">
              <w:rPr>
                <w:rFonts w:cs="Arial"/>
                <w:szCs w:val="20"/>
                <w:lang w:val="it-IT"/>
              </w:rPr>
              <w:t>,</w:t>
            </w:r>
            <w:r w:rsidRPr="00F24EED">
              <w:rPr>
                <w:rFonts w:cs="Arial"/>
                <w:szCs w:val="20"/>
                <w:lang w:val="it-IT"/>
              </w:rPr>
              <w:t xml:space="preserve"> </w:t>
            </w:r>
            <w:r w:rsidRPr="00F24EED">
              <w:rPr>
                <w:lang w:val="it-IT"/>
              </w:rPr>
              <w:t>2,4-Diisocyanatotoluene</w:t>
            </w:r>
            <w:r w:rsidR="007F16AE" w:rsidRPr="00F24EED">
              <w:rPr>
                <w:rFonts w:cs="Arial"/>
                <w:szCs w:val="20"/>
                <w:lang w:val="it-IT"/>
              </w:rPr>
              <w:t>, 2,4-TDI</w:t>
            </w:r>
          </w:p>
          <w:p w14:paraId="3B8ADDE1" w14:textId="09BDCE36" w:rsidR="007745FA" w:rsidRPr="00F24EED" w:rsidRDefault="007745FA" w:rsidP="007F16AE">
            <w:pPr>
              <w:pStyle w:val="Tablefont"/>
              <w:ind w:left="-30"/>
              <w:rPr>
                <w:rFonts w:cs="Arial"/>
                <w:szCs w:val="20"/>
                <w:lang w:val="it-IT"/>
              </w:rPr>
            </w:pPr>
            <w:r w:rsidRPr="00F24EED">
              <w:rPr>
                <w:rFonts w:cs="Arial"/>
                <w:szCs w:val="20"/>
                <w:lang w:val="it-IT"/>
              </w:rPr>
              <w:t>2,6-TDI: Toluene-2,6-diisocyanate</w:t>
            </w:r>
          </w:p>
          <w:p w14:paraId="596ECA3E" w14:textId="2F756AC2" w:rsidR="007745FA" w:rsidRPr="00F24EED" w:rsidRDefault="00B63037" w:rsidP="007F16AE">
            <w:pPr>
              <w:pStyle w:val="Tablefont"/>
              <w:ind w:left="-30"/>
              <w:rPr>
                <w:rFonts w:cs="Arial"/>
                <w:szCs w:val="20"/>
                <w:lang w:val="it-IT"/>
              </w:rPr>
            </w:pPr>
            <w:r w:rsidRPr="00F24EED">
              <w:rPr>
                <w:rFonts w:cs="Arial"/>
                <w:szCs w:val="20"/>
                <w:shd w:val="clear" w:color="auto" w:fill="FFFFFF"/>
                <w:lang w:val="it-IT"/>
              </w:rPr>
              <w:t xml:space="preserve">HDI: </w:t>
            </w:r>
            <w:r w:rsidR="007745FA" w:rsidRPr="00F24EED">
              <w:rPr>
                <w:rFonts w:cs="Arial"/>
                <w:szCs w:val="20"/>
                <w:shd w:val="clear" w:color="auto" w:fill="FFFFFF"/>
                <w:lang w:val="it-IT"/>
              </w:rPr>
              <w:t>Hexamethylene diisocyanate</w:t>
            </w:r>
            <w:r w:rsidRPr="00F24EED">
              <w:rPr>
                <w:rFonts w:cs="Arial"/>
                <w:szCs w:val="20"/>
                <w:shd w:val="clear" w:color="auto" w:fill="FFFFFF"/>
                <w:lang w:val="it-IT"/>
              </w:rPr>
              <w:t xml:space="preserve">, </w:t>
            </w:r>
            <w:r w:rsidR="007745FA" w:rsidRPr="00F24EED">
              <w:rPr>
                <w:lang w:val="it-IT"/>
              </w:rPr>
              <w:t>1,6-Diisocyanatohexane</w:t>
            </w:r>
            <w:r w:rsidR="007745FA" w:rsidRPr="00F24EED">
              <w:rPr>
                <w:rFonts w:cs="Arial"/>
                <w:szCs w:val="20"/>
                <w:shd w:val="clear" w:color="auto" w:fill="FFFFFF"/>
                <w:lang w:val="it-IT"/>
              </w:rPr>
              <w:t xml:space="preserve"> </w:t>
            </w:r>
          </w:p>
          <w:p w14:paraId="0A518DA2" w14:textId="358DBAC7" w:rsidR="007745FA" w:rsidRPr="00F24EED" w:rsidRDefault="00B63037" w:rsidP="007F16AE">
            <w:pPr>
              <w:pStyle w:val="Tablefont"/>
              <w:ind w:left="-30"/>
              <w:rPr>
                <w:rFonts w:cs="Arial"/>
                <w:szCs w:val="20"/>
                <w:lang w:val="it-IT"/>
              </w:rPr>
            </w:pPr>
            <w:r w:rsidRPr="00F24EED">
              <w:rPr>
                <w:rFonts w:cs="Arial"/>
                <w:szCs w:val="20"/>
                <w:shd w:val="clear" w:color="auto" w:fill="FFFFFF"/>
                <w:lang w:val="it-IT"/>
              </w:rPr>
              <w:t xml:space="preserve">IPDI: </w:t>
            </w:r>
            <w:r w:rsidR="007745FA" w:rsidRPr="00F24EED">
              <w:rPr>
                <w:rFonts w:cs="Arial"/>
                <w:szCs w:val="20"/>
                <w:shd w:val="clear" w:color="auto" w:fill="FFFFFF"/>
                <w:lang w:val="it-IT"/>
              </w:rPr>
              <w:t>Isophorone diisocyanate</w:t>
            </w:r>
            <w:r w:rsidRPr="00F24EED">
              <w:rPr>
                <w:rFonts w:cs="Arial"/>
                <w:szCs w:val="20"/>
                <w:shd w:val="clear" w:color="auto" w:fill="FFFFFF"/>
                <w:lang w:val="it-IT"/>
              </w:rPr>
              <w:t xml:space="preserve"> </w:t>
            </w:r>
          </w:p>
          <w:p w14:paraId="75B342E9" w14:textId="2B3B341F" w:rsidR="007745FA" w:rsidRPr="00F24EED" w:rsidRDefault="00B63037" w:rsidP="007F16AE">
            <w:pPr>
              <w:pStyle w:val="Tablefont"/>
              <w:ind w:left="-30"/>
              <w:rPr>
                <w:rFonts w:cs="Arial"/>
                <w:szCs w:val="20"/>
                <w:lang w:val="it-IT"/>
              </w:rPr>
            </w:pPr>
            <w:r w:rsidRPr="00F24EED">
              <w:rPr>
                <w:rFonts w:cs="Arial"/>
                <w:szCs w:val="20"/>
                <w:shd w:val="clear" w:color="auto" w:fill="FFFFFF"/>
                <w:lang w:val="it-IT"/>
              </w:rPr>
              <w:t>MDI: Methylenebisphenyl isocyanate</w:t>
            </w:r>
          </w:p>
          <w:p w14:paraId="57469896" w14:textId="1F7DED59" w:rsidR="00F43AD5" w:rsidRPr="00F24EED" w:rsidRDefault="007745FA" w:rsidP="00D61783">
            <w:pPr>
              <w:pStyle w:val="Tablefont"/>
              <w:ind w:left="-30"/>
              <w:rPr>
                <w:lang w:val="it-IT"/>
              </w:rPr>
            </w:pPr>
            <w:r w:rsidRPr="00F24EED">
              <w:rPr>
                <w:rFonts w:cs="Arial"/>
                <w:szCs w:val="20"/>
                <w:lang w:val="it-IT"/>
              </w:rPr>
              <w:t>HMDI</w:t>
            </w:r>
            <w:r w:rsidR="00B63037" w:rsidRPr="00F24EED">
              <w:rPr>
                <w:rFonts w:cs="Arial"/>
                <w:szCs w:val="20"/>
                <w:lang w:val="it-IT"/>
              </w:rPr>
              <w:t>:</w:t>
            </w:r>
            <w:r w:rsidR="0053764E" w:rsidRPr="00F24EED">
              <w:rPr>
                <w:rFonts w:cs="Arial"/>
                <w:szCs w:val="20"/>
                <w:lang w:val="it-IT"/>
              </w:rPr>
              <w:t xml:space="preserve"> </w:t>
            </w:r>
            <w:r w:rsidRPr="00F24EED">
              <w:rPr>
                <w:rFonts w:cs="Arial"/>
                <w:szCs w:val="20"/>
                <w:lang w:val="it-IT"/>
              </w:rPr>
              <w:t>Dicyclohexylmethane 4,4'-diisocyanate</w:t>
            </w:r>
            <w:r w:rsidR="00B63037" w:rsidRPr="00F24EED">
              <w:rPr>
                <w:rFonts w:cs="Arial"/>
                <w:szCs w:val="20"/>
                <w:lang w:val="it-IT"/>
              </w:rPr>
              <w:t>,</w:t>
            </w:r>
            <w:r w:rsidRPr="00F24EED">
              <w:rPr>
                <w:rFonts w:cs="Arial"/>
                <w:szCs w:val="20"/>
                <w:lang w:val="it-IT"/>
              </w:rPr>
              <w:t xml:space="preserve"> </w:t>
            </w:r>
            <w:r w:rsidRPr="00F24EED">
              <w:rPr>
                <w:lang w:val="it-IT"/>
              </w:rPr>
              <w:t>4,4'-methylenedicyclohexyl diisocyanate</w:t>
            </w:r>
            <w:r w:rsidRPr="00F24EED">
              <w:rPr>
                <w:rFonts w:cs="Arial"/>
                <w:szCs w:val="20"/>
                <w:lang w:val="it-IT"/>
              </w:rPr>
              <w:t xml:space="preserve">, </w:t>
            </w:r>
            <w:r w:rsidR="00BA4EC0" w:rsidRPr="00F24EED">
              <w:rPr>
                <w:rFonts w:cs="Arial"/>
                <w:szCs w:val="20"/>
                <w:lang w:val="it-IT"/>
              </w:rPr>
              <w:t>Methylene bis(4 -cyclohexylisocyanate)</w:t>
            </w:r>
          </w:p>
        </w:tc>
      </w:tr>
      <w:tr w:rsidR="00F43AD5" w:rsidRPr="004C23F4" w14:paraId="3459215B" w14:textId="77777777" w:rsidTr="00B76A41">
        <w:trPr>
          <w:cantSplit/>
        </w:trPr>
        <w:tc>
          <w:tcPr>
            <w:tcW w:w="4077" w:type="dxa"/>
          </w:tcPr>
          <w:p w14:paraId="467BD778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1805DF6D" w14:textId="47FA19ED" w:rsidR="00F43AD5" w:rsidRPr="00967E74" w:rsidRDefault="00A64169" w:rsidP="00B76A41">
            <w:pPr>
              <w:pStyle w:val="Tablefont"/>
              <w:rPr>
                <w:highlight w:val="yellow"/>
              </w:rPr>
            </w:pPr>
            <w:r>
              <w:t>—</w:t>
            </w:r>
          </w:p>
        </w:tc>
      </w:tr>
      <w:tr w:rsidR="00F43AD5" w:rsidRPr="004C23F4" w14:paraId="6DAB498E" w14:textId="77777777" w:rsidTr="00B76A41">
        <w:trPr>
          <w:cantSplit/>
        </w:trPr>
        <w:tc>
          <w:tcPr>
            <w:tcW w:w="4077" w:type="dxa"/>
          </w:tcPr>
          <w:p w14:paraId="5A6161D8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64F387BD" w14:textId="77777777" w:rsidR="00F43AD5" w:rsidRPr="00B40C60" w:rsidRDefault="00037E52" w:rsidP="00B76A41">
            <w:pPr>
              <w:pStyle w:val="Tablerowheading"/>
              <w:rPr>
                <w:b w:val="0"/>
              </w:rPr>
            </w:pPr>
            <w:r>
              <w:rPr>
                <w:b w:val="0"/>
              </w:rPr>
              <w:t>—</w:t>
            </w:r>
          </w:p>
        </w:tc>
      </w:tr>
    </w:tbl>
    <w:p w14:paraId="5F31BC01" w14:textId="720A2085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E85769">
            <w:rPr>
              <w:rStyle w:val="WESstatus"/>
            </w:rPr>
            <w:t>(interim)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AE11C7" w14:paraId="68224804" w14:textId="77777777" w:rsidTr="00037E52">
        <w:trPr>
          <w:cantSplit/>
          <w:tblHeader/>
        </w:trPr>
        <w:tc>
          <w:tcPr>
            <w:tcW w:w="4010" w:type="dxa"/>
            <w:vAlign w:val="center"/>
          </w:tcPr>
          <w:p w14:paraId="1206501A" w14:textId="77777777" w:rsidR="002C7AFE" w:rsidRPr="00AE11C7" w:rsidRDefault="00921DE7" w:rsidP="00921DE7">
            <w:pPr>
              <w:pStyle w:val="Tablerowright"/>
            </w:pPr>
            <w:r w:rsidRPr="00AE11C7">
              <w:t>TWA:</w:t>
            </w:r>
          </w:p>
        </w:tc>
        <w:tc>
          <w:tcPr>
            <w:tcW w:w="5016" w:type="dxa"/>
          </w:tcPr>
          <w:p w14:paraId="173BB1D7" w14:textId="1E735366" w:rsidR="002C7AFE" w:rsidRPr="00AE11C7" w:rsidRDefault="00282BD9" w:rsidP="00017C82">
            <w:pPr>
              <w:pStyle w:val="Tablefont"/>
              <w:rPr>
                <w:b/>
              </w:rPr>
            </w:pPr>
            <w:r w:rsidRPr="00AE11C7">
              <w:rPr>
                <w:b/>
              </w:rPr>
              <w:t>0.</w:t>
            </w:r>
            <w:r w:rsidR="00901C85" w:rsidRPr="00AE11C7">
              <w:rPr>
                <w:b/>
              </w:rPr>
              <w:t xml:space="preserve">0001 </w:t>
            </w:r>
            <w:r w:rsidRPr="00AE11C7">
              <w:rPr>
                <w:b/>
              </w:rPr>
              <w:t>mg/m</w:t>
            </w:r>
            <w:r w:rsidRPr="00AE11C7">
              <w:rPr>
                <w:b/>
                <w:vertAlign w:val="superscript"/>
              </w:rPr>
              <w:t>3</w:t>
            </w:r>
            <w:r w:rsidRPr="00AE11C7">
              <w:rPr>
                <w:b/>
              </w:rPr>
              <w:t xml:space="preserve"> as NCO</w:t>
            </w:r>
          </w:p>
        </w:tc>
      </w:tr>
      <w:tr w:rsidR="00037E52" w:rsidRPr="004C23F4" w14:paraId="61444847" w14:textId="77777777" w:rsidTr="00037E52">
        <w:trPr>
          <w:cantSplit/>
        </w:trPr>
        <w:tc>
          <w:tcPr>
            <w:tcW w:w="4010" w:type="dxa"/>
            <w:vAlign w:val="center"/>
          </w:tcPr>
          <w:p w14:paraId="0631A32A" w14:textId="77777777" w:rsidR="00037E52" w:rsidRPr="002C58FF" w:rsidRDefault="00037E52" w:rsidP="00037E52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394D3057" w14:textId="0E164746" w:rsidR="00037E52" w:rsidRPr="00EB3D1B" w:rsidRDefault="00CE0A64" w:rsidP="00037E52">
            <w:pPr>
              <w:pStyle w:val="Tablefont"/>
              <w:rPr>
                <w:b/>
              </w:rPr>
            </w:pPr>
            <w:r w:rsidRPr="008C2CF0">
              <w:rPr>
                <w:b/>
              </w:rPr>
              <w:t>—</w:t>
            </w:r>
          </w:p>
        </w:tc>
      </w:tr>
      <w:tr w:rsidR="00037E52" w:rsidRPr="004C23F4" w14:paraId="513F3E9D" w14:textId="77777777" w:rsidTr="00037E52">
        <w:trPr>
          <w:cantSplit/>
        </w:trPr>
        <w:tc>
          <w:tcPr>
            <w:tcW w:w="4010" w:type="dxa"/>
            <w:vAlign w:val="center"/>
          </w:tcPr>
          <w:p w14:paraId="1395C15C" w14:textId="77777777" w:rsidR="00037E52" w:rsidRPr="002C58FF" w:rsidRDefault="00037E52" w:rsidP="00037E52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732799AC" w14:textId="77777777" w:rsidR="00037E52" w:rsidRPr="008C2CF0" w:rsidRDefault="00037E52" w:rsidP="00037E52">
            <w:pPr>
              <w:pStyle w:val="Tablefont"/>
              <w:rPr>
                <w:b/>
              </w:rPr>
            </w:pPr>
            <w:r w:rsidRPr="008C2CF0">
              <w:rPr>
                <w:b/>
              </w:rPr>
              <w:t>—</w:t>
            </w:r>
          </w:p>
        </w:tc>
      </w:tr>
      <w:tr w:rsidR="00037E52" w:rsidRPr="004C23F4" w14:paraId="2CB86142" w14:textId="77777777" w:rsidTr="00037E52">
        <w:trPr>
          <w:cantSplit/>
        </w:trPr>
        <w:tc>
          <w:tcPr>
            <w:tcW w:w="4010" w:type="dxa"/>
          </w:tcPr>
          <w:p w14:paraId="0251F2DE" w14:textId="77777777" w:rsidR="00037E52" w:rsidRPr="002C58FF" w:rsidRDefault="00037E52" w:rsidP="00037E52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1CDEDC5B" w14:textId="7C39493F" w:rsidR="00037E52" w:rsidRPr="008C2CF0" w:rsidRDefault="007F16AE" w:rsidP="00037E52">
            <w:pPr>
              <w:pStyle w:val="Tablefont"/>
              <w:rPr>
                <w:b/>
              </w:rPr>
            </w:pPr>
            <w:r w:rsidRPr="008C2CF0">
              <w:rPr>
                <w:b/>
              </w:rPr>
              <w:t xml:space="preserve">Sk., </w:t>
            </w:r>
            <w:r w:rsidR="0007406C" w:rsidRPr="008C2CF0">
              <w:rPr>
                <w:b/>
              </w:rPr>
              <w:t>DSEN, RSEN</w:t>
            </w:r>
          </w:p>
        </w:tc>
      </w:tr>
      <w:tr w:rsidR="00037E52" w:rsidRPr="004C23F4" w14:paraId="7355FFD7" w14:textId="77777777" w:rsidTr="00037E52">
        <w:trPr>
          <w:cantSplit/>
        </w:trPr>
        <w:tc>
          <w:tcPr>
            <w:tcW w:w="4010" w:type="dxa"/>
            <w:vAlign w:val="center"/>
          </w:tcPr>
          <w:p w14:paraId="3877F56C" w14:textId="77777777" w:rsidR="00037E52" w:rsidRPr="002C58FF" w:rsidRDefault="00037E52" w:rsidP="00037E52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3702970B" w14:textId="77777777" w:rsidR="00037E52" w:rsidRPr="008C2CF0" w:rsidRDefault="00565AEB" w:rsidP="00037E52">
            <w:pPr>
              <w:pStyle w:val="Tablefont"/>
              <w:rPr>
                <w:b/>
              </w:rPr>
            </w:pPr>
            <w:r w:rsidRPr="008C2CF0">
              <w:rPr>
                <w:b/>
              </w:rPr>
              <w:t>2.5 ppm (</w:t>
            </w:r>
            <w:r w:rsidR="00B63037" w:rsidRPr="008C2CF0">
              <w:rPr>
                <w:b/>
              </w:rPr>
              <w:t>T</w:t>
            </w:r>
            <w:r w:rsidRPr="008C2CF0">
              <w:rPr>
                <w:b/>
              </w:rPr>
              <w:t>DI)</w:t>
            </w:r>
          </w:p>
          <w:p w14:paraId="6D0EFEE8" w14:textId="35C91F2E" w:rsidR="00B63037" w:rsidRPr="008C2CF0" w:rsidRDefault="001F5D38" w:rsidP="00037E52">
            <w:pPr>
              <w:pStyle w:val="Tablefont"/>
              <w:rPr>
                <w:b/>
              </w:rPr>
            </w:pPr>
            <w:r w:rsidRPr="008C2CF0">
              <w:rPr>
                <w:b/>
              </w:rPr>
              <w:t>75 mg/</w:t>
            </w:r>
            <w:r w:rsidR="00B63037" w:rsidRPr="008C2CF0">
              <w:rPr>
                <w:b/>
              </w:rPr>
              <w:t>m</w:t>
            </w:r>
            <w:r w:rsidR="00B63037" w:rsidRPr="008C2CF0">
              <w:rPr>
                <w:b/>
                <w:vertAlign w:val="superscript"/>
              </w:rPr>
              <w:t>3</w:t>
            </w:r>
            <w:r w:rsidR="00B63037" w:rsidRPr="008C2CF0">
              <w:rPr>
                <w:b/>
              </w:rPr>
              <w:t xml:space="preserve"> (MDI)</w:t>
            </w:r>
          </w:p>
        </w:tc>
      </w:tr>
      <w:tr w:rsidR="00155999" w:rsidRPr="004C23F4" w14:paraId="7D9877B4" w14:textId="77777777" w:rsidTr="006C406D">
        <w:trPr>
          <w:cantSplit/>
        </w:trPr>
        <w:tc>
          <w:tcPr>
            <w:tcW w:w="9026" w:type="dxa"/>
            <w:gridSpan w:val="2"/>
            <w:vAlign w:val="center"/>
          </w:tcPr>
          <w:p w14:paraId="4544DB28" w14:textId="2969FA79" w:rsidR="00155999" w:rsidRPr="00EB3D1B" w:rsidRDefault="00155999" w:rsidP="00037E52">
            <w:pPr>
              <w:pStyle w:val="Tablefont"/>
              <w:rPr>
                <w:b/>
              </w:rPr>
            </w:pPr>
            <w:r w:rsidRPr="0007406C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DA2FFE9CEF2D415F9F59B567F352ED2C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FB7C24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5D351CFD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51E5A42A" w14:textId="2C83C627" w:rsidR="00CE0A64" w:rsidRPr="004C23F4" w:rsidRDefault="00CE0A64" w:rsidP="00CE0A64">
      <w:pPr>
        <w:rPr>
          <w:rFonts w:cs="Arial"/>
        </w:rPr>
      </w:pPr>
      <w:r>
        <w:rPr>
          <w:rStyle w:val="checkbox"/>
          <w:rFonts w:ascii="Arial" w:hAnsi="Arial" w:cs="Arial"/>
        </w:rPr>
        <w:t xml:space="preserve">A TWA </w:t>
      </w:r>
      <w:r w:rsidRPr="00AE11C7">
        <w:rPr>
          <w:rStyle w:val="checkbox"/>
          <w:rFonts w:ascii="Arial" w:hAnsi="Arial" w:cs="Arial"/>
        </w:rPr>
        <w:t>of 0.000</w:t>
      </w:r>
      <w:r w:rsidR="00901C85" w:rsidRPr="00AE11C7">
        <w:rPr>
          <w:rStyle w:val="checkbox"/>
          <w:rFonts w:ascii="Arial" w:hAnsi="Arial" w:cs="Arial"/>
        </w:rPr>
        <w:t>1</w:t>
      </w:r>
      <w:r w:rsidRPr="00AE11C7">
        <w:rPr>
          <w:rStyle w:val="checkbox"/>
          <w:rFonts w:ascii="Arial" w:hAnsi="Arial" w:cs="Arial"/>
        </w:rPr>
        <w:t xml:space="preserve"> </w:t>
      </w:r>
      <w:r>
        <w:rPr>
          <w:rStyle w:val="checkbox"/>
          <w:rFonts w:ascii="Arial" w:hAnsi="Arial" w:cs="Arial"/>
        </w:rPr>
        <w:t>mg/m</w:t>
      </w:r>
      <w:r>
        <w:rPr>
          <w:rStyle w:val="checkbox"/>
          <w:rFonts w:ascii="Arial" w:hAnsi="Arial" w:cs="Arial"/>
          <w:vertAlign w:val="superscript"/>
        </w:rPr>
        <w:t>3</w:t>
      </w:r>
      <w:r>
        <w:rPr>
          <w:rStyle w:val="checkbox"/>
          <w:rFonts w:ascii="Arial" w:hAnsi="Arial" w:cs="Arial"/>
        </w:rPr>
        <w:t>, as NCO, is recommended to reduce the risk of occupational asthma and to protect for irritation of the eyes and mucous membranes in exposed workers.</w:t>
      </w:r>
    </w:p>
    <w:p w14:paraId="541674D3" w14:textId="1E54E8B1" w:rsidR="00652696" w:rsidRPr="004C23F4" w:rsidRDefault="00652696" w:rsidP="000C139A">
      <w:pPr>
        <w:rPr>
          <w:rFonts w:cs="Arial"/>
        </w:rPr>
      </w:pPr>
      <w:r>
        <w:rPr>
          <w:rStyle w:val="checkbox"/>
          <w:rFonts w:ascii="Arial" w:hAnsi="Arial" w:cs="Arial"/>
        </w:rPr>
        <w:t>A</w:t>
      </w:r>
      <w:r>
        <w:t xml:space="preserve"> priority in-depth assessment of the toxicological and epidemiological data for the group of chemical</w:t>
      </w:r>
      <w:r w:rsidR="0026234B">
        <w:t>s are</w:t>
      </w:r>
      <w:r>
        <w:t xml:space="preserve"> recommended.</w:t>
      </w:r>
      <w:r>
        <w:rPr>
          <w:rStyle w:val="checkbox"/>
          <w:rFonts w:ascii="Arial" w:hAnsi="Arial" w:cs="Arial"/>
        </w:rPr>
        <w:t xml:space="preserve"> </w:t>
      </w:r>
    </w:p>
    <w:p w14:paraId="5132C4A8" w14:textId="77777777" w:rsidR="00C7155E" w:rsidRPr="004C23F4" w:rsidRDefault="00F10C97" w:rsidP="003365A5">
      <w:pPr>
        <w:pStyle w:val="Heading2"/>
      </w:pPr>
      <w:r>
        <w:t>Discussion and conclusions</w:t>
      </w:r>
    </w:p>
    <w:p w14:paraId="707ABBE2" w14:textId="71D84242" w:rsidR="00B112BE" w:rsidRDefault="002B7F11" w:rsidP="002B7F11">
      <w:pPr>
        <w:rPr>
          <w:rFonts w:cs="Arial"/>
        </w:rPr>
      </w:pPr>
      <w:r>
        <w:rPr>
          <w:rFonts w:cs="Arial"/>
        </w:rPr>
        <w:t>In this evaluation, the term</w:t>
      </w:r>
      <w:r w:rsidR="000A086B">
        <w:rPr>
          <w:rFonts w:cs="Arial"/>
        </w:rPr>
        <w:t xml:space="preserve"> </w:t>
      </w:r>
      <w:r>
        <w:rPr>
          <w:rFonts w:cs="Arial"/>
        </w:rPr>
        <w:t>‘</w:t>
      </w:r>
      <w:r w:rsidR="000A086B">
        <w:rPr>
          <w:rFonts w:cs="Arial"/>
        </w:rPr>
        <w:t>isocyanates</w:t>
      </w:r>
      <w:r>
        <w:rPr>
          <w:rFonts w:cs="Arial"/>
        </w:rPr>
        <w:t>’</w:t>
      </w:r>
      <w:r w:rsidR="000A086B">
        <w:rPr>
          <w:rFonts w:cs="Arial"/>
        </w:rPr>
        <w:t xml:space="preserve"> </w:t>
      </w:r>
      <w:r>
        <w:rPr>
          <w:rFonts w:cs="Arial"/>
        </w:rPr>
        <w:t>has been used for those compounds that</w:t>
      </w:r>
      <w:r w:rsidR="000A086B">
        <w:rPr>
          <w:rFonts w:cs="Arial"/>
        </w:rPr>
        <w:t xml:space="preserve"> possess </w:t>
      </w:r>
      <w:r w:rsidR="000A086B" w:rsidRPr="000A086B">
        <w:rPr>
          <w:rFonts w:cs="Arial"/>
        </w:rPr>
        <w:t>either 2 (diisocyanates) or 3 (tri</w:t>
      </w:r>
      <w:r w:rsidR="000A086B">
        <w:rPr>
          <w:rFonts w:cs="Arial"/>
        </w:rPr>
        <w:t>isocyanates) functional groups</w:t>
      </w:r>
      <w:r>
        <w:rPr>
          <w:rFonts w:cs="Arial"/>
        </w:rPr>
        <w:t>, sometimes called polyisocyanates</w:t>
      </w:r>
      <w:r w:rsidR="000A086B">
        <w:rPr>
          <w:rFonts w:cs="Arial"/>
        </w:rPr>
        <w:t>.</w:t>
      </w:r>
      <w:r>
        <w:rPr>
          <w:rFonts w:cs="Arial"/>
        </w:rPr>
        <w:t xml:space="preserve"> </w:t>
      </w:r>
      <w:r w:rsidR="000A086B" w:rsidRPr="000A086B">
        <w:rPr>
          <w:rFonts w:cs="Arial"/>
        </w:rPr>
        <w:t>Monoisocyanates are not subject of this report.</w:t>
      </w:r>
    </w:p>
    <w:p w14:paraId="4D3C4752" w14:textId="41A2F93C" w:rsidR="001137A6" w:rsidRDefault="001137A6" w:rsidP="002B7F11">
      <w:pPr>
        <w:rPr>
          <w:rFonts w:cs="Arial"/>
        </w:rPr>
      </w:pPr>
      <w:r w:rsidRPr="001137A6">
        <w:rPr>
          <w:rFonts w:cs="Arial"/>
        </w:rPr>
        <w:lastRenderedPageBreak/>
        <w:t xml:space="preserve">Isocyanates are used in </w:t>
      </w:r>
      <w:r w:rsidR="002B7F11" w:rsidRPr="001137A6">
        <w:rPr>
          <w:rFonts w:cs="Arial"/>
        </w:rPr>
        <w:t>many</w:t>
      </w:r>
      <w:r w:rsidR="002B7F11">
        <w:rPr>
          <w:rFonts w:cs="Arial"/>
        </w:rPr>
        <w:t xml:space="preserve"> industries</w:t>
      </w:r>
      <w:r w:rsidRPr="001137A6">
        <w:rPr>
          <w:rFonts w:cs="Arial"/>
        </w:rPr>
        <w:t xml:space="preserve">. </w:t>
      </w:r>
      <w:r w:rsidR="002B7F11">
        <w:rPr>
          <w:rFonts w:cs="Arial"/>
        </w:rPr>
        <w:t>They are</w:t>
      </w:r>
      <w:r w:rsidRPr="001137A6">
        <w:rPr>
          <w:rFonts w:cs="Arial"/>
        </w:rPr>
        <w:t xml:space="preserve"> present in exter</w:t>
      </w:r>
      <w:r>
        <w:rPr>
          <w:rFonts w:cs="Arial"/>
        </w:rPr>
        <w:t xml:space="preserve">nal coatings and paints </w:t>
      </w:r>
      <w:r w:rsidR="002B7F11">
        <w:rPr>
          <w:rFonts w:cs="Arial"/>
        </w:rPr>
        <w:t>and are</w:t>
      </w:r>
      <w:r>
        <w:rPr>
          <w:rFonts w:cs="Arial"/>
        </w:rPr>
        <w:t xml:space="preserve"> used in the production of </w:t>
      </w:r>
      <w:r w:rsidRPr="001137A6">
        <w:rPr>
          <w:rFonts w:cs="Arial"/>
        </w:rPr>
        <w:t>products such as flexible</w:t>
      </w:r>
      <w:r>
        <w:rPr>
          <w:rFonts w:cs="Arial"/>
        </w:rPr>
        <w:t xml:space="preserve"> and rigid foams, adhesives and </w:t>
      </w:r>
      <w:r w:rsidRPr="001137A6">
        <w:rPr>
          <w:rFonts w:cs="Arial"/>
        </w:rPr>
        <w:t>sealants</w:t>
      </w:r>
      <w:r w:rsidR="002B7F11">
        <w:rPr>
          <w:rFonts w:cs="Arial"/>
        </w:rPr>
        <w:t xml:space="preserve">. </w:t>
      </w:r>
      <w:r w:rsidR="007E744D">
        <w:t>In practice, mixtures of different types and different forms of isocyanates are used</w:t>
      </w:r>
      <w:r w:rsidR="007E744D">
        <w:rPr>
          <w:rFonts w:cs="Arial"/>
        </w:rPr>
        <w:t xml:space="preserve">. </w:t>
      </w:r>
      <w:r w:rsidR="002B7F11">
        <w:rPr>
          <w:rFonts w:cs="Arial"/>
        </w:rPr>
        <w:t xml:space="preserve">The toxicology of this group is very similar with the critical effects being </w:t>
      </w:r>
      <w:r w:rsidR="002B7F11" w:rsidRPr="002B7F11">
        <w:rPr>
          <w:rFonts w:cs="Arial"/>
        </w:rPr>
        <w:t>asthma due to sensitisation</w:t>
      </w:r>
      <w:r w:rsidR="002B7F11">
        <w:rPr>
          <w:rFonts w:cs="Arial"/>
        </w:rPr>
        <w:t xml:space="preserve"> and </w:t>
      </w:r>
      <w:r w:rsidR="002B7F11" w:rsidRPr="002B7F11">
        <w:rPr>
          <w:rFonts w:cs="Arial"/>
        </w:rPr>
        <w:t>irritation of the skin, mucous membranes, eyes and respiratory tract</w:t>
      </w:r>
      <w:r w:rsidR="002B7F11">
        <w:rPr>
          <w:rFonts w:cs="Arial"/>
        </w:rPr>
        <w:t xml:space="preserve">. There is also the potential for both </w:t>
      </w:r>
      <w:r w:rsidR="002B7F11" w:rsidRPr="002B7F11">
        <w:rPr>
          <w:rFonts w:cs="Arial"/>
        </w:rPr>
        <w:t>irritant a</w:t>
      </w:r>
      <w:r w:rsidR="002B7F11">
        <w:rPr>
          <w:rFonts w:cs="Arial"/>
        </w:rPr>
        <w:t>nd allergic contact dermatitis</w:t>
      </w:r>
      <w:r w:rsidR="00AD2462">
        <w:rPr>
          <w:rFonts w:cs="Arial"/>
        </w:rPr>
        <w:t>.</w:t>
      </w:r>
      <w:r w:rsidR="002B7F11">
        <w:rPr>
          <w:rFonts w:cs="Arial"/>
        </w:rPr>
        <w:t xml:space="preserve"> </w:t>
      </w:r>
      <w:r w:rsidR="00AD2462" w:rsidRPr="007870F1">
        <w:rPr>
          <w:rFonts w:cs="Arial"/>
        </w:rPr>
        <w:t xml:space="preserve">No difference in potency for </w:t>
      </w:r>
      <w:r w:rsidR="00AD2462">
        <w:rPr>
          <w:rFonts w:cs="Arial"/>
        </w:rPr>
        <w:t xml:space="preserve">the </w:t>
      </w:r>
      <w:r w:rsidR="00AD2462" w:rsidRPr="007870F1">
        <w:rPr>
          <w:rFonts w:cs="Arial"/>
        </w:rPr>
        <w:t xml:space="preserve">different </w:t>
      </w:r>
      <w:r w:rsidR="00393122">
        <w:rPr>
          <w:rFonts w:cs="Arial"/>
        </w:rPr>
        <w:t>poly</w:t>
      </w:r>
      <w:r w:rsidR="0026234B">
        <w:rPr>
          <w:rFonts w:cs="Arial"/>
        </w:rPr>
        <w:t>i</w:t>
      </w:r>
      <w:r w:rsidR="0026234B" w:rsidRPr="007870F1">
        <w:rPr>
          <w:rFonts w:cs="Arial"/>
        </w:rPr>
        <w:t>socyanates</w:t>
      </w:r>
      <w:r w:rsidR="00AD2462">
        <w:rPr>
          <w:rFonts w:cs="Arial"/>
        </w:rPr>
        <w:t xml:space="preserve"> has been </w:t>
      </w:r>
      <w:r w:rsidR="00AD2462" w:rsidRPr="007870F1">
        <w:rPr>
          <w:rFonts w:cs="Arial"/>
        </w:rPr>
        <w:t>identified based on the available epidemiological data</w:t>
      </w:r>
      <w:r w:rsidR="00AD2462">
        <w:rPr>
          <w:rFonts w:cs="Arial"/>
        </w:rPr>
        <w:t xml:space="preserve"> </w:t>
      </w:r>
      <w:r w:rsidR="002B7F11">
        <w:rPr>
          <w:rFonts w:cs="Arial"/>
        </w:rPr>
        <w:t>(ACGIH, 2018; HCOTN, 2018).</w:t>
      </w:r>
    </w:p>
    <w:p w14:paraId="065F7B8C" w14:textId="1E987693" w:rsidR="007E744D" w:rsidRDefault="00864FCB" w:rsidP="002B7F11">
      <w:r>
        <w:rPr>
          <w:rFonts w:cs="Arial"/>
        </w:rPr>
        <w:t>The</w:t>
      </w:r>
      <w:r w:rsidR="007E744D">
        <w:rPr>
          <w:rFonts w:cs="Arial"/>
        </w:rPr>
        <w:t xml:space="preserve"> ACGIH</w:t>
      </w:r>
      <w:r>
        <w:rPr>
          <w:rFonts w:cs="Arial"/>
        </w:rPr>
        <w:t xml:space="preserve"> (2018) </w:t>
      </w:r>
      <w:r w:rsidR="007E744D">
        <w:rPr>
          <w:rFonts w:cs="Arial"/>
        </w:rPr>
        <w:t>recommend</w:t>
      </w:r>
      <w:r>
        <w:rPr>
          <w:rFonts w:cs="Arial"/>
        </w:rPr>
        <w:t>ed the 2001 TLV-TWA</w:t>
      </w:r>
      <w:r w:rsidR="00393122">
        <w:rPr>
          <w:rFonts w:cs="Arial"/>
        </w:rPr>
        <w:t xml:space="preserve"> (0.034 mg/m</w:t>
      </w:r>
      <w:r w:rsidR="00393122">
        <w:rPr>
          <w:rFonts w:cs="Arial"/>
          <w:vertAlign w:val="superscript"/>
        </w:rPr>
        <w:t>3</w:t>
      </w:r>
      <w:r w:rsidR="00393122">
        <w:rPr>
          <w:rFonts w:cs="Arial"/>
        </w:rPr>
        <w:t>) for</w:t>
      </w:r>
      <w:r>
        <w:rPr>
          <w:rFonts w:cs="Arial"/>
        </w:rPr>
        <w:t xml:space="preserve"> </w:t>
      </w:r>
      <w:r>
        <w:t xml:space="preserve">toluene di-isocyanate (TDI) be applied to other </w:t>
      </w:r>
      <w:r>
        <w:rPr>
          <w:rFonts w:cs="Arial"/>
        </w:rPr>
        <w:t>polyisocyanates due to</w:t>
      </w:r>
      <w:r w:rsidR="00426BA8">
        <w:rPr>
          <w:rFonts w:cs="Arial"/>
        </w:rPr>
        <w:t xml:space="preserve"> a</w:t>
      </w:r>
      <w:r>
        <w:rPr>
          <w:rFonts w:cs="Arial"/>
        </w:rPr>
        <w:t xml:space="preserve"> lack of data for the lat</w:t>
      </w:r>
      <w:r w:rsidR="00710735">
        <w:rPr>
          <w:rFonts w:cs="Arial"/>
        </w:rPr>
        <w:t>t</w:t>
      </w:r>
      <w:r>
        <w:rPr>
          <w:rFonts w:cs="Arial"/>
        </w:rPr>
        <w:t xml:space="preserve">er. Confusingly, in 2016, </w:t>
      </w:r>
      <w:r>
        <w:t>the TLV</w:t>
      </w:r>
      <w:r w:rsidR="00C9641C">
        <w:noBreakHyphen/>
      </w:r>
      <w:r>
        <w:t>TWA for TDI was reduced</w:t>
      </w:r>
      <w:r w:rsidR="00393122">
        <w:t xml:space="preserve"> to 0.007 mg/m</w:t>
      </w:r>
      <w:r w:rsidR="00393122">
        <w:rPr>
          <w:vertAlign w:val="superscript"/>
        </w:rPr>
        <w:t>3</w:t>
      </w:r>
      <w:r>
        <w:t xml:space="preserve"> based on data</w:t>
      </w:r>
      <w:r w:rsidR="00426BA8">
        <w:t xml:space="preserve"> identified</w:t>
      </w:r>
      <w:r>
        <w:t xml:space="preserve"> in workers</w:t>
      </w:r>
      <w:r w:rsidR="00426BA8">
        <w:t xml:space="preserve"> relating to asthma, pulmonary function and eye irritation</w:t>
      </w:r>
      <w:r>
        <w:t xml:space="preserve">. All recommended </w:t>
      </w:r>
      <w:r w:rsidR="00C9641C">
        <w:t>polyisocyanates’</w:t>
      </w:r>
      <w:r w:rsidR="00426BA8">
        <w:t xml:space="preserve"> </w:t>
      </w:r>
      <w:r>
        <w:t>TLV-TWA</w:t>
      </w:r>
      <w:r w:rsidR="00426BA8">
        <w:t xml:space="preserve"> came with a caveat that they may not protect susceptible workers from possible sensitisation or an allergic reaction in previously sensitised individuals </w:t>
      </w:r>
      <w:r>
        <w:t>(ACGIH, 2018).</w:t>
      </w:r>
    </w:p>
    <w:p w14:paraId="714BD8C6" w14:textId="1AAD16F0" w:rsidR="00426BA8" w:rsidRDefault="00426BA8" w:rsidP="00B11494">
      <w:r>
        <w:t xml:space="preserve">HCOTN (2018) acknowledged that a threshold for isocyanate-induced sensitisation and development of asthma could not be determined. </w:t>
      </w:r>
      <w:r w:rsidR="00C9641C">
        <w:t>HCOTN</w:t>
      </w:r>
      <w:r>
        <w:t xml:space="preserve"> established an exposure-response relationship using data from </w:t>
      </w:r>
      <w:r>
        <w:rPr>
          <w:rFonts w:cs="Arial"/>
        </w:rPr>
        <w:t xml:space="preserve">two studies in workers exposed to </w:t>
      </w:r>
      <w:r>
        <w:t xml:space="preserve">hexamethylene diisocyanate (HDI) and one study of workers exposed to TDI. </w:t>
      </w:r>
      <w:r w:rsidR="0070746A">
        <w:t>This was used as the</w:t>
      </w:r>
      <w:r>
        <w:t xml:space="preserve"> basis of deriving a concentration that corresponds with an extra risk of 1% for occurrence of adverse effects of the airways</w:t>
      </w:r>
      <w:r w:rsidR="0070746A">
        <w:t xml:space="preserve"> characteristic of occupational asthma</w:t>
      </w:r>
      <w:r w:rsidR="00393122">
        <w:t xml:space="preserve"> (OA)</w:t>
      </w:r>
      <w:r w:rsidR="0070746A">
        <w:t xml:space="preserve">. Using this risk-based methodology, </w:t>
      </w:r>
      <w:r w:rsidR="0082040B">
        <w:t>HCOTN</w:t>
      </w:r>
      <w:r w:rsidR="00C169C0">
        <w:t> </w:t>
      </w:r>
      <w:r w:rsidR="0082040B">
        <w:t xml:space="preserve">(2018) derived a </w:t>
      </w:r>
      <w:r w:rsidR="0070746A">
        <w:t>recommended TWA value</w:t>
      </w:r>
      <w:r w:rsidR="0082040B">
        <w:t xml:space="preserve"> </w:t>
      </w:r>
      <w:r w:rsidR="00FB53DD">
        <w:t xml:space="preserve">for </w:t>
      </w:r>
      <w:r w:rsidR="0070746A">
        <w:t xml:space="preserve">polyisocyanates </w:t>
      </w:r>
      <w:r w:rsidR="00FB53DD">
        <w:t>at</w:t>
      </w:r>
      <w:r w:rsidR="0082040B">
        <w:t xml:space="preserve"> 0.1 </w:t>
      </w:r>
      <w:r w:rsidR="0082040B">
        <w:rPr>
          <w:rFonts w:cs="Arial"/>
        </w:rPr>
        <w:t>µ</w:t>
      </w:r>
      <w:r w:rsidR="0082040B">
        <w:t>g/m</w:t>
      </w:r>
      <w:r w:rsidR="0082040B">
        <w:rPr>
          <w:vertAlign w:val="superscript"/>
        </w:rPr>
        <w:t>3</w:t>
      </w:r>
      <w:r w:rsidR="00B63037">
        <w:t xml:space="preserve"> </w:t>
      </w:r>
      <w:r w:rsidR="0070746A">
        <w:t>(0.00</w:t>
      </w:r>
      <w:r w:rsidR="00393122">
        <w:t>0</w:t>
      </w:r>
      <w:r w:rsidR="0070746A">
        <w:t>1</w:t>
      </w:r>
      <w:r w:rsidR="00393122">
        <w:t xml:space="preserve"> mg/m</w:t>
      </w:r>
      <w:r w:rsidR="00393122">
        <w:rPr>
          <w:vertAlign w:val="superscript"/>
        </w:rPr>
        <w:t>3</w:t>
      </w:r>
      <w:r w:rsidR="00393122">
        <w:t xml:space="preserve">) </w:t>
      </w:r>
      <w:r w:rsidR="00B63037">
        <w:t xml:space="preserve">for an </w:t>
      </w:r>
      <w:r w:rsidR="00393122">
        <w:t>8-hour</w:t>
      </w:r>
      <w:r w:rsidR="0082040B">
        <w:t xml:space="preserve"> working day for a reduced risk of </w:t>
      </w:r>
      <w:r w:rsidR="00393122">
        <w:t>OA.</w:t>
      </w:r>
      <w:r w:rsidR="001A71BC">
        <w:t xml:space="preserve"> </w:t>
      </w:r>
    </w:p>
    <w:p w14:paraId="39414864" w14:textId="5E8141E5" w:rsidR="00B63037" w:rsidRDefault="0070746A" w:rsidP="00B11494">
      <w:r>
        <w:t xml:space="preserve">Additionally, </w:t>
      </w:r>
      <w:r w:rsidR="001A71BC">
        <w:t xml:space="preserve">ACGIH (2018) reported that since the mid-1970s, </w:t>
      </w:r>
      <w:r w:rsidR="001A71BC" w:rsidRPr="001A71BC">
        <w:t>annual OA incidence rates</w:t>
      </w:r>
      <w:r w:rsidR="000A099B">
        <w:t xml:space="preserve"> have been</w:t>
      </w:r>
      <w:r w:rsidR="001A71BC" w:rsidRPr="001A71BC">
        <w:t xml:space="preserve"> </w:t>
      </w:r>
      <w:r w:rsidR="00FB53DD">
        <w:t xml:space="preserve">less than </w:t>
      </w:r>
      <w:r w:rsidR="001A71BC" w:rsidRPr="001A71BC">
        <w:t xml:space="preserve">1% </w:t>
      </w:r>
      <w:r w:rsidR="001A71BC">
        <w:t xml:space="preserve">against measured </w:t>
      </w:r>
      <w:r w:rsidR="00B63037">
        <w:t>8-h</w:t>
      </w:r>
      <w:r w:rsidR="00FB53DD">
        <w:t>our</w:t>
      </w:r>
      <w:r w:rsidR="001A71BC" w:rsidRPr="001A71BC">
        <w:t xml:space="preserve"> </w:t>
      </w:r>
      <w:r w:rsidR="001A71BC">
        <w:t xml:space="preserve">workplace </w:t>
      </w:r>
      <w:r w:rsidR="001A71BC" w:rsidRPr="001A71BC">
        <w:t xml:space="preserve">TDI concentrations </w:t>
      </w:r>
      <w:r w:rsidR="001A71BC">
        <w:t xml:space="preserve">of less than </w:t>
      </w:r>
      <w:r w:rsidR="00AD2462">
        <w:t>0.035 mg/m</w:t>
      </w:r>
      <w:r w:rsidR="00AD2462">
        <w:rPr>
          <w:vertAlign w:val="superscript"/>
        </w:rPr>
        <w:t>3</w:t>
      </w:r>
      <w:r w:rsidR="00B63037">
        <w:t xml:space="preserve">. </w:t>
      </w:r>
    </w:p>
    <w:p w14:paraId="3137D119" w14:textId="455DB437" w:rsidR="00B63037" w:rsidRDefault="00B67593" w:rsidP="00B11494">
      <w:pPr>
        <w:rPr>
          <w:rStyle w:val="checkbox"/>
          <w:rFonts w:ascii="Arial" w:hAnsi="Arial" w:cs="Arial"/>
        </w:rPr>
      </w:pPr>
      <w:r>
        <w:t>Asthma</w:t>
      </w:r>
      <w:r w:rsidR="00BA4EC0">
        <w:t xml:space="preserve"> has been</w:t>
      </w:r>
      <w:r>
        <w:t xml:space="preserve"> induced in p</w:t>
      </w:r>
      <w:r w:rsidRPr="000A099B">
        <w:rPr>
          <w:rStyle w:val="checkbox"/>
          <w:rFonts w:ascii="Arial" w:hAnsi="Arial" w:cs="Arial"/>
        </w:rPr>
        <w:t xml:space="preserve">reviously sensitised subjects </w:t>
      </w:r>
      <w:r>
        <w:rPr>
          <w:rStyle w:val="checkbox"/>
          <w:rFonts w:ascii="Arial" w:hAnsi="Arial" w:cs="Arial"/>
        </w:rPr>
        <w:t>when</w:t>
      </w:r>
      <w:r w:rsidRPr="000A099B">
        <w:rPr>
          <w:rStyle w:val="checkbox"/>
          <w:rFonts w:ascii="Arial" w:hAnsi="Arial" w:cs="Arial"/>
        </w:rPr>
        <w:t xml:space="preserve"> challenge</w:t>
      </w:r>
      <w:r w:rsidR="00967E74">
        <w:rPr>
          <w:rStyle w:val="checkbox"/>
          <w:rFonts w:ascii="Arial" w:hAnsi="Arial" w:cs="Arial"/>
        </w:rPr>
        <w:t>d</w:t>
      </w:r>
      <w:r w:rsidRPr="000A099B">
        <w:rPr>
          <w:rStyle w:val="checkbox"/>
          <w:rFonts w:ascii="Arial" w:hAnsi="Arial" w:cs="Arial"/>
        </w:rPr>
        <w:t xml:space="preserve"> at </w:t>
      </w:r>
      <w:r w:rsidR="00BA4EC0">
        <w:rPr>
          <w:rStyle w:val="checkbox"/>
          <w:rFonts w:ascii="Arial" w:hAnsi="Arial" w:cs="Arial"/>
        </w:rPr>
        <w:t>0.007 mg/m³</w:t>
      </w:r>
      <w:r>
        <w:rPr>
          <w:rStyle w:val="checkbox"/>
          <w:rFonts w:ascii="Arial" w:hAnsi="Arial" w:cs="Arial"/>
        </w:rPr>
        <w:t xml:space="preserve"> TDI. </w:t>
      </w:r>
      <w:r>
        <w:rPr>
          <w:color w:val="262626"/>
        </w:rPr>
        <w:t xml:space="preserve">In controlled experiments, </w:t>
      </w:r>
      <w:r w:rsidRPr="00B67593">
        <w:rPr>
          <w:rStyle w:val="checkbox"/>
          <w:rFonts w:ascii="Arial" w:hAnsi="Arial" w:cs="Arial"/>
        </w:rPr>
        <w:t>sensitisation</w:t>
      </w:r>
      <w:r>
        <w:rPr>
          <w:rStyle w:val="checkbox"/>
          <w:rFonts w:ascii="Arial" w:hAnsi="Arial" w:cs="Arial"/>
        </w:rPr>
        <w:t xml:space="preserve"> of</w:t>
      </w:r>
      <w:r>
        <w:rPr>
          <w:color w:val="262626"/>
        </w:rPr>
        <w:t xml:space="preserve"> participants</w:t>
      </w:r>
      <w:r>
        <w:rPr>
          <w:rFonts w:cs="Arial"/>
          <w:color w:val="262626"/>
        </w:rPr>
        <w:t xml:space="preserve"> not suffering from OA,</w:t>
      </w:r>
      <w:r w:rsidRPr="00B67593">
        <w:rPr>
          <w:rStyle w:val="checkbox"/>
          <w:rFonts w:ascii="Arial" w:hAnsi="Arial" w:cs="Arial"/>
        </w:rPr>
        <w:t xml:space="preserve"> occurred at </w:t>
      </w:r>
      <w:r w:rsidR="00BA4EC0">
        <w:rPr>
          <w:rStyle w:val="checkbox"/>
          <w:rFonts w:ascii="Arial" w:hAnsi="Arial" w:cs="Arial"/>
        </w:rPr>
        <w:t>0.07 mg/m³</w:t>
      </w:r>
      <w:r w:rsidRPr="000A099B">
        <w:rPr>
          <w:rStyle w:val="checkbox"/>
          <w:rFonts w:ascii="Arial" w:hAnsi="Arial" w:cs="Arial"/>
        </w:rPr>
        <w:t xml:space="preserve"> </w:t>
      </w:r>
      <w:r>
        <w:rPr>
          <w:rStyle w:val="checkbox"/>
          <w:rFonts w:ascii="Arial" w:hAnsi="Arial" w:cs="Arial"/>
        </w:rPr>
        <w:t>(NICNAS, 2013).</w:t>
      </w:r>
      <w:r w:rsidR="00B11494">
        <w:rPr>
          <w:rStyle w:val="checkbox"/>
          <w:rFonts w:ascii="Arial" w:hAnsi="Arial" w:cs="Arial"/>
        </w:rPr>
        <w:t xml:space="preserve"> </w:t>
      </w:r>
    </w:p>
    <w:p w14:paraId="747BE41A" w14:textId="3D5012E0" w:rsidR="00393122" w:rsidRPr="00393122" w:rsidRDefault="005D1D97" w:rsidP="00652696">
      <w:pPr>
        <w:rPr>
          <w:rStyle w:val="checkbox"/>
          <w:rFonts w:ascii="Arial" w:hAnsi="Arial" w:cs="Arial"/>
        </w:rPr>
      </w:pPr>
      <w:r>
        <w:rPr>
          <w:rStyle w:val="checkbox"/>
          <w:rFonts w:ascii="Arial" w:hAnsi="Arial" w:cs="Arial"/>
        </w:rPr>
        <w:t xml:space="preserve">A TWA of </w:t>
      </w:r>
      <w:r>
        <w:t xml:space="preserve">0.1 </w:t>
      </w:r>
      <w:r>
        <w:rPr>
          <w:rFonts w:cs="Arial"/>
        </w:rPr>
        <w:t>µ</w:t>
      </w:r>
      <w:r>
        <w:t>g/m</w:t>
      </w:r>
      <w:r>
        <w:rPr>
          <w:vertAlign w:val="superscript"/>
        </w:rPr>
        <w:t>3</w:t>
      </w:r>
      <w:r>
        <w:t xml:space="preserve"> (0.0001 mg/m</w:t>
      </w:r>
      <w:r>
        <w:rPr>
          <w:vertAlign w:val="superscript"/>
        </w:rPr>
        <w:t>3</w:t>
      </w:r>
      <w:r>
        <w:t>) (as – NCO) by HCOTN (2018) is recommended in the interim for polyisocyanates</w:t>
      </w:r>
      <w:r>
        <w:rPr>
          <w:rStyle w:val="checkbox"/>
          <w:rFonts w:ascii="Arial" w:hAnsi="Arial" w:cs="Arial"/>
        </w:rPr>
        <w:t xml:space="preserve"> given that p</w:t>
      </w:r>
      <w:r w:rsidR="00393122">
        <w:rPr>
          <w:rStyle w:val="checkbox"/>
          <w:rFonts w:ascii="Arial" w:hAnsi="Arial" w:cs="Arial"/>
        </w:rPr>
        <w:t xml:space="preserve">olyisocyanates exist as mixtures in the workplace, </w:t>
      </w:r>
      <w:r w:rsidR="00D86372">
        <w:rPr>
          <w:rStyle w:val="checkbox"/>
          <w:rFonts w:ascii="Arial" w:hAnsi="Arial" w:cs="Arial"/>
        </w:rPr>
        <w:t>the</w:t>
      </w:r>
      <w:r w:rsidR="00393122">
        <w:rPr>
          <w:rStyle w:val="checkbox"/>
          <w:rFonts w:ascii="Arial" w:hAnsi="Arial" w:cs="Arial"/>
        </w:rPr>
        <w:t xml:space="preserve"> </w:t>
      </w:r>
      <w:r w:rsidR="00CA25A5">
        <w:rPr>
          <w:rFonts w:cs="Arial"/>
        </w:rPr>
        <w:t>toxicology of this group is very similar with the critical effects being sensitisation related</w:t>
      </w:r>
      <w:r w:rsidR="00393122">
        <w:rPr>
          <w:rStyle w:val="checkbox"/>
          <w:rFonts w:ascii="Arial" w:hAnsi="Arial" w:cs="Arial"/>
        </w:rPr>
        <w:t xml:space="preserve"> and</w:t>
      </w:r>
      <w:r w:rsidR="00D86372">
        <w:rPr>
          <w:rStyle w:val="checkbox"/>
          <w:rFonts w:ascii="Arial" w:hAnsi="Arial" w:cs="Arial"/>
        </w:rPr>
        <w:t xml:space="preserve"> the</w:t>
      </w:r>
      <w:r w:rsidR="002D67BA">
        <w:rPr>
          <w:rStyle w:val="checkbox"/>
          <w:rFonts w:ascii="Arial" w:hAnsi="Arial" w:cs="Arial"/>
        </w:rPr>
        <w:t xml:space="preserve"> </w:t>
      </w:r>
      <w:r w:rsidR="00393122">
        <w:rPr>
          <w:rStyle w:val="checkbox"/>
          <w:rFonts w:ascii="Arial" w:hAnsi="Arial" w:cs="Arial"/>
        </w:rPr>
        <w:t>concentrations of TDI at 0.007 mg/m</w:t>
      </w:r>
      <w:r w:rsidR="00393122">
        <w:rPr>
          <w:rStyle w:val="checkbox"/>
          <w:rFonts w:ascii="Arial" w:hAnsi="Arial" w:cs="Arial"/>
          <w:vertAlign w:val="superscript"/>
        </w:rPr>
        <w:t>3</w:t>
      </w:r>
      <w:r w:rsidR="00393122">
        <w:rPr>
          <w:rStyle w:val="checkbox"/>
          <w:rFonts w:ascii="Arial" w:hAnsi="Arial" w:cs="Arial"/>
        </w:rPr>
        <w:t xml:space="preserve"> may not sufficiently protect for sensitisation</w:t>
      </w:r>
      <w:r>
        <w:rPr>
          <w:rStyle w:val="checkbox"/>
          <w:rFonts w:ascii="Arial" w:hAnsi="Arial" w:cs="Arial"/>
        </w:rPr>
        <w:t xml:space="preserve">. </w:t>
      </w:r>
    </w:p>
    <w:p w14:paraId="7D565DD6" w14:textId="4E06AE14" w:rsidR="00652696" w:rsidRPr="004C23F4" w:rsidRDefault="00C52972" w:rsidP="00652696">
      <w:pPr>
        <w:rPr>
          <w:rFonts w:cs="Arial"/>
        </w:rPr>
      </w:pPr>
      <w:r>
        <w:t>A priority in-depth assessment of the toxicological and epidemiological data for the chemical is recommended</w:t>
      </w:r>
      <w:r>
        <w:rPr>
          <w:rStyle w:val="checkbox"/>
          <w:rFonts w:ascii="Arial" w:hAnsi="Arial" w:cs="Arial"/>
        </w:rPr>
        <w:t xml:space="preserve"> d</w:t>
      </w:r>
      <w:r w:rsidR="00652696">
        <w:rPr>
          <w:rStyle w:val="checkbox"/>
          <w:rFonts w:ascii="Arial" w:hAnsi="Arial" w:cs="Arial"/>
        </w:rPr>
        <w:t>ue to residual uncertainty regarding toxicological difference of the individual</w:t>
      </w:r>
      <w:r w:rsidR="0026234B">
        <w:rPr>
          <w:rStyle w:val="checkbox"/>
          <w:rFonts w:ascii="Arial" w:hAnsi="Arial" w:cs="Arial"/>
        </w:rPr>
        <w:t xml:space="preserve"> poly-</w:t>
      </w:r>
      <w:r w:rsidR="00652696">
        <w:rPr>
          <w:rStyle w:val="checkbox"/>
          <w:rFonts w:ascii="Arial" w:hAnsi="Arial" w:cs="Arial"/>
        </w:rPr>
        <w:t>isocyanate compounds</w:t>
      </w:r>
      <w:r w:rsidR="00652696">
        <w:t>.</w:t>
      </w:r>
      <w:r w:rsidR="00652696">
        <w:rPr>
          <w:rStyle w:val="checkbox"/>
          <w:rFonts w:ascii="Arial" w:hAnsi="Arial" w:cs="Arial"/>
        </w:rPr>
        <w:t xml:space="preserve"> </w:t>
      </w:r>
    </w:p>
    <w:p w14:paraId="18046590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7BB8F231" w14:textId="77777777" w:rsidR="008E4F1F" w:rsidRPr="0007406C" w:rsidRDefault="008E4F1F" w:rsidP="008E4F1F">
      <w:pPr>
        <w:rPr>
          <w:rFonts w:cs="Arial"/>
        </w:rPr>
      </w:pPr>
      <w:r w:rsidRPr="0007406C">
        <w:rPr>
          <w:rFonts w:cs="Arial"/>
        </w:rPr>
        <w:t>Not classified as a carcinogen according to the Globally Harmonized System of</w:t>
      </w:r>
      <w:r w:rsidR="00155999" w:rsidRPr="0007406C">
        <w:rPr>
          <w:rFonts w:cs="Arial"/>
        </w:rPr>
        <w:t xml:space="preserve"> Classification and Labelling of</w:t>
      </w:r>
      <w:r w:rsidRPr="0007406C">
        <w:rPr>
          <w:rFonts w:cs="Arial"/>
        </w:rPr>
        <w:t xml:space="preserve"> Chemicals (GHS). </w:t>
      </w:r>
    </w:p>
    <w:p w14:paraId="075D4D9E" w14:textId="77777777" w:rsidR="0007406C" w:rsidRDefault="0007406C" w:rsidP="0007406C">
      <w:pPr>
        <w:rPr>
          <w:rFonts w:cs="Arial"/>
        </w:rPr>
      </w:pPr>
      <w:r>
        <w:rPr>
          <w:rFonts w:cs="Arial"/>
        </w:rPr>
        <w:t xml:space="preserve">Classified as a skin sensitiser and respiratory sensitiser according to the GHS. </w:t>
      </w:r>
    </w:p>
    <w:p w14:paraId="323E9F40" w14:textId="5B968FFB" w:rsidR="004529F0" w:rsidRPr="004C23F4" w:rsidRDefault="00B542E3" w:rsidP="0007406C">
      <w:pPr>
        <w:rPr>
          <w:rFonts w:cs="Arial"/>
        </w:rPr>
      </w:pPr>
      <w:r>
        <w:rPr>
          <w:rFonts w:cs="Arial"/>
        </w:rPr>
        <w:t>A skin notation is warranted based on evidence of systemic effects in humans following dermal contact.</w:t>
      </w:r>
    </w:p>
    <w:p w14:paraId="27701572" w14:textId="77777777" w:rsidR="0025734A" w:rsidRPr="004C23F4" w:rsidRDefault="0025734A">
      <w:pPr>
        <w:rPr>
          <w:rFonts w:cs="Arial"/>
        </w:rPr>
      </w:pPr>
    </w:p>
    <w:p w14:paraId="11F3886D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46C57CCD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21519356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20" w:firstRow="1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B45129" w14:paraId="5330C0A3" w14:textId="77777777" w:rsidTr="00B45129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" w:type="pct"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518E17B8" w14:textId="77777777" w:rsidR="00C978F0" w:rsidRPr="00B45129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  <w:rPr>
                <w:b/>
              </w:rPr>
            </w:pPr>
            <w:r w:rsidRPr="00B45129">
              <w:rPr>
                <w:b/>
              </w:rPr>
              <w:t>Source</w:t>
            </w:r>
            <w:r w:rsidR="00DA352E" w:rsidRPr="00B45129">
              <w:rPr>
                <w:b/>
              </w:rPr>
              <w:tab/>
              <w:t>Year set</w:t>
            </w:r>
            <w:r w:rsidR="00DA352E" w:rsidRPr="00B45129">
              <w:rPr>
                <w:b/>
              </w:rPr>
              <w:tab/>
              <w:t>Standard</w:t>
            </w:r>
            <w:r w:rsidR="00974F2D" w:rsidRPr="00B45129">
              <w:rPr>
                <w:b/>
              </w:rPr>
              <w:tab/>
            </w:r>
          </w:p>
        </w:tc>
      </w:tr>
      <w:tr w:rsidR="00DE26E8" w:rsidRPr="003365A5" w14:paraId="1343A68F" w14:textId="77777777" w:rsidTr="00B45129">
        <w:tc>
          <w:tcPr>
            <w:tcW w:w="5000" w:type="pct"/>
            <w:gridSpan w:val="2"/>
            <w:shd w:val="clear" w:color="auto" w:fill="F2F2F2" w:themeFill="background1" w:themeFillShade="F2"/>
          </w:tcPr>
          <w:p w14:paraId="105B2268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392F20">
                  <w:t>1990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E45B2E">
                  <w:t>TWA: 0.02 mg/m</w:t>
                </w:r>
                <w:r w:rsidR="00E45B2E" w:rsidRPr="00E45B2E">
                  <w:rPr>
                    <w:vertAlign w:val="superscript"/>
                  </w:rPr>
                  <w:t>3</w:t>
                </w:r>
                <w:r w:rsidR="00E45B2E">
                  <w:t>; STEL: 0.07 mg/m</w:t>
                </w:r>
                <w:r w:rsidR="00E45B2E" w:rsidRPr="00E45B2E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71CFA8E1" w14:textId="77777777" w:rsidTr="00B45129">
        <w:trPr>
          <w:gridAfter w:val="1"/>
          <w:wAfter w:w="8" w:type="pct"/>
        </w:trPr>
        <w:tc>
          <w:tcPr>
            <w:tcW w:w="4992" w:type="pct"/>
          </w:tcPr>
          <w:p w14:paraId="6BCB2CF8" w14:textId="77777777" w:rsidR="007B3245" w:rsidRDefault="007B3245" w:rsidP="0053764E">
            <w:pPr>
              <w:pStyle w:val="ListBullet"/>
              <w:spacing w:before="60" w:after="60"/>
              <w:ind w:left="714" w:hanging="357"/>
              <w:contextualSpacing w:val="0"/>
            </w:pPr>
            <w:r>
              <w:t>TWA and STEL for Isocyanates</w:t>
            </w:r>
            <w:r w:rsidRPr="002E2515">
              <w:t>, all, (as -NCO)</w:t>
            </w:r>
          </w:p>
          <w:p w14:paraId="5791B9B7" w14:textId="77777777" w:rsidR="007B3245" w:rsidRDefault="007B3245" w:rsidP="0053764E">
            <w:pPr>
              <w:pStyle w:val="ListBullet"/>
              <w:spacing w:before="60" w:after="60"/>
              <w:ind w:left="714" w:hanging="357"/>
              <w:contextualSpacing w:val="0"/>
            </w:pPr>
            <w:r>
              <w:t>Adopted ACGIH (1986) supported by HSE (1987) evidence</w:t>
            </w:r>
          </w:p>
          <w:p w14:paraId="59F0464B" w14:textId="77777777" w:rsidR="00C978F0" w:rsidRDefault="007B3245" w:rsidP="0053764E">
            <w:pPr>
              <w:pStyle w:val="ListBullet"/>
              <w:spacing w:before="60" w:after="60"/>
              <w:ind w:left="714" w:hanging="357"/>
              <w:contextualSpacing w:val="0"/>
            </w:pPr>
            <w:r>
              <w:t>I</w:t>
            </w:r>
            <w:r w:rsidRPr="002E2515">
              <w:t>socyanate prepolymer aerosols have the same ability as the monomer vapours to cause adverse respiratory effects and sensitisations</w:t>
            </w:r>
            <w:r>
              <w:t>.</w:t>
            </w:r>
          </w:p>
          <w:p w14:paraId="255966F6" w14:textId="06ED555B" w:rsidR="006B29DC" w:rsidRPr="00DA352E" w:rsidRDefault="006B29DC" w:rsidP="0053764E">
            <w:pPr>
              <w:pStyle w:val="ListBullet"/>
              <w:numPr>
                <w:ilvl w:val="0"/>
                <w:numId w:val="0"/>
              </w:numPr>
              <w:spacing w:before="60" w:after="60"/>
              <w:ind w:left="726"/>
              <w:contextualSpacing w:val="0"/>
            </w:pPr>
          </w:p>
        </w:tc>
      </w:tr>
      <w:tr w:rsidR="00C978F0" w:rsidRPr="00DA352E" w14:paraId="6E2129D0" w14:textId="77777777" w:rsidTr="00B45129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37A5EF8C" w14:textId="6BA61007" w:rsidR="00C978F0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392F20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r w:rsidR="00BA4EC0" w:rsidRPr="00BA4EC0">
              <w:t>TLV-TWA</w:t>
            </w:r>
            <w:r w:rsidR="00BA4EC0">
              <w:t xml:space="preserve"> 0.005 ppm (</w:t>
            </w:r>
            <w:r w:rsidR="00BA4EC0" w:rsidRPr="007B3245">
              <w:t>0.034 mg/m</w:t>
            </w:r>
            <w:r w:rsidR="00BA4EC0" w:rsidRPr="007B3245">
              <w:rPr>
                <w:vertAlign w:val="superscript"/>
              </w:rPr>
              <w:t>3</w:t>
            </w:r>
            <w:r w:rsidR="00BA4EC0" w:rsidRPr="007B3245">
              <w:t>)</w:t>
            </w:r>
            <w:r w:rsidR="00BA4EC0">
              <w:t xml:space="preserve"> (</w:t>
            </w:r>
            <w:r w:rsidR="00967E74">
              <w:t>HDI, IPDI, MDI, HMDI</w:t>
            </w:r>
            <w:r w:rsidR="00BA4EC0">
              <w:t>)</w:t>
            </w:r>
          </w:p>
          <w:p w14:paraId="36168D63" w14:textId="3B81D893" w:rsidR="007F16AE" w:rsidRDefault="00BA4EC0" w:rsidP="00BA4EC0">
            <w:pPr>
              <w:pStyle w:val="Tabletextprimarysource"/>
              <w:rPr>
                <w:b/>
                <w:i/>
              </w:rPr>
            </w:pPr>
            <w:r>
              <w:t xml:space="preserve">                         </w:t>
            </w:r>
            <w:r w:rsidR="0007406C" w:rsidRPr="00BA4EC0">
              <w:rPr>
                <w:b/>
                <w:i/>
              </w:rPr>
              <w:t xml:space="preserve">2016 </w:t>
            </w:r>
            <w:r w:rsidR="0007406C">
              <w:t xml:space="preserve">                 </w:t>
            </w:r>
            <w:r w:rsidRPr="00BA4EC0">
              <w:rPr>
                <w:b/>
                <w:i/>
              </w:rPr>
              <w:t>TLV-TWA: 0.001 ppm (0.007 mg/m</w:t>
            </w:r>
            <w:r w:rsidRPr="00BA4EC0">
              <w:rPr>
                <w:b/>
                <w:i/>
                <w:vertAlign w:val="superscript"/>
              </w:rPr>
              <w:t>3</w:t>
            </w:r>
            <w:r w:rsidRPr="00BA4EC0">
              <w:rPr>
                <w:b/>
                <w:i/>
              </w:rPr>
              <w:t xml:space="preserve">); TLV-STEL: 0.005 ppm </w:t>
            </w:r>
            <w:r w:rsidR="007F16AE">
              <w:rPr>
                <w:b/>
                <w:i/>
              </w:rPr>
              <w:t xml:space="preserve">  </w:t>
            </w:r>
          </w:p>
          <w:p w14:paraId="468EC4D0" w14:textId="00899932" w:rsidR="0007406C" w:rsidRPr="00BA4EC0" w:rsidRDefault="007F16AE" w:rsidP="00BA4EC0">
            <w:pPr>
              <w:pStyle w:val="Tabletextprimarysource"/>
              <w:rPr>
                <w:b/>
                <w:i/>
              </w:rPr>
            </w:pPr>
            <w:r>
              <w:rPr>
                <w:b/>
                <w:i/>
              </w:rPr>
              <w:t xml:space="preserve">                    </w:t>
            </w:r>
            <w:r w:rsidR="008C2CF0">
              <w:rPr>
                <w:b/>
                <w:i/>
              </w:rPr>
              <w:t xml:space="preserve">                               </w:t>
            </w:r>
            <w:r w:rsidR="00BA4EC0" w:rsidRPr="00BA4EC0">
              <w:rPr>
                <w:b/>
                <w:i/>
              </w:rPr>
              <w:t>(0.035 mg/m</w:t>
            </w:r>
            <w:r w:rsidR="00BA4EC0" w:rsidRPr="00BA4EC0">
              <w:rPr>
                <w:b/>
                <w:i/>
                <w:vertAlign w:val="superscript"/>
              </w:rPr>
              <w:t>3</w:t>
            </w:r>
            <w:r w:rsidR="00BA4EC0" w:rsidRPr="00BA4EC0">
              <w:rPr>
                <w:b/>
                <w:i/>
              </w:rPr>
              <w:t>) (</w:t>
            </w:r>
            <w:r w:rsidR="00967E74" w:rsidRPr="00BA4EC0">
              <w:rPr>
                <w:b/>
                <w:i/>
              </w:rPr>
              <w:t>TDI</w:t>
            </w:r>
            <w:r w:rsidR="00BA4EC0" w:rsidRPr="00BA4EC0">
              <w:rPr>
                <w:b/>
                <w:i/>
              </w:rPr>
              <w:t>)</w:t>
            </w:r>
          </w:p>
        </w:tc>
      </w:tr>
      <w:tr w:rsidR="00C978F0" w:rsidRPr="00DA352E" w14:paraId="12EEA0A4" w14:textId="77777777" w:rsidTr="00B45129">
        <w:trPr>
          <w:gridAfter w:val="1"/>
          <w:wAfter w:w="8" w:type="pct"/>
        </w:trPr>
        <w:tc>
          <w:tcPr>
            <w:tcW w:w="4992" w:type="pct"/>
          </w:tcPr>
          <w:p w14:paraId="2C62BB56" w14:textId="1100F5FB" w:rsidR="00C978F0" w:rsidRDefault="006B5FEF" w:rsidP="003365A5">
            <w:pPr>
              <w:pStyle w:val="Tabletextprimarysource"/>
              <w:rPr>
                <w:b/>
              </w:rPr>
            </w:pPr>
            <w:r w:rsidRPr="00206FA6">
              <w:rPr>
                <w:b/>
              </w:rPr>
              <w:t>HDI</w:t>
            </w:r>
            <w:r w:rsidRPr="005E0009">
              <w:rPr>
                <w:b/>
              </w:rPr>
              <w:t xml:space="preserve"> </w:t>
            </w:r>
            <w:r>
              <w:rPr>
                <w:b/>
              </w:rPr>
              <w:t xml:space="preserve">– </w:t>
            </w:r>
            <w:r w:rsidR="005E0009" w:rsidRPr="005E0009">
              <w:rPr>
                <w:b/>
              </w:rPr>
              <w:t xml:space="preserve">Hexamethylene diisocyanate </w:t>
            </w:r>
          </w:p>
          <w:p w14:paraId="62D079CE" w14:textId="5A099B33" w:rsidR="002045F2" w:rsidRDefault="008C2CF0" w:rsidP="002045F2">
            <w:pPr>
              <w:pStyle w:val="Tabletextprimarysource"/>
            </w:pPr>
            <w:r>
              <w:t>TLV-TWA</w:t>
            </w:r>
            <w:r w:rsidR="00206FA6">
              <w:t xml:space="preserve"> recommended to minimise the potential eye, nose and respiratory tract irritation and possible pulmonary sensitisation.</w:t>
            </w:r>
            <w:r w:rsidR="002045F2">
              <w:t xml:space="preserve"> </w:t>
            </w:r>
          </w:p>
          <w:p w14:paraId="766B7E8F" w14:textId="6BC0CBFD" w:rsidR="00CD2411" w:rsidRDefault="00CD2411" w:rsidP="00CD2411">
            <w:pPr>
              <w:pStyle w:val="Tabletextprimarysource"/>
            </w:pPr>
            <w:r>
              <w:t>Recommends the 2001 TLV–TWA of 0.005 ppm for TDI be applied to HDI until more information specific to HDI becomes available</w:t>
            </w:r>
          </w:p>
          <w:p w14:paraId="69199ACB" w14:textId="14E31E6D" w:rsidR="00CD2411" w:rsidRDefault="00CD2411" w:rsidP="00CD2411">
            <w:pPr>
              <w:pStyle w:val="Tabletextprimarysource"/>
            </w:pPr>
            <w:r>
              <w:t>The recommended TLV may not protect susceptible workers from possible sensitisation or an allergic reaction in previously sensitised individuals</w:t>
            </w:r>
          </w:p>
          <w:p w14:paraId="7EAE29D0" w14:textId="7565306F" w:rsidR="00206FA6" w:rsidRDefault="00206FA6" w:rsidP="00206FA6">
            <w:pPr>
              <w:pStyle w:val="Tabletextprimarysource"/>
            </w:pPr>
            <w:r>
              <w:t>Summary of data: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195"/>
              <w:gridCol w:w="2540"/>
              <w:gridCol w:w="1850"/>
              <w:gridCol w:w="2195"/>
            </w:tblGrid>
            <w:tr w:rsidR="00597E44" w14:paraId="51475C08" w14:textId="77777777" w:rsidTr="00954AAD">
              <w:tc>
                <w:tcPr>
                  <w:tcW w:w="2195" w:type="dxa"/>
                </w:tcPr>
                <w:p w14:paraId="344A1F0D" w14:textId="77777777" w:rsidR="00597E44" w:rsidRDefault="00597E44" w:rsidP="00206FA6">
                  <w:pPr>
                    <w:pStyle w:val="Tabletextprimarysource"/>
                  </w:pPr>
                </w:p>
              </w:tc>
              <w:tc>
                <w:tcPr>
                  <w:tcW w:w="2540" w:type="dxa"/>
                </w:tcPr>
                <w:p w14:paraId="1A960A9E" w14:textId="701B7CAF" w:rsidR="00597E44" w:rsidRDefault="00051815" w:rsidP="00206FA6">
                  <w:pPr>
                    <w:pStyle w:val="Tabletextprimarysource"/>
                  </w:pPr>
                  <w:r>
                    <w:t>Exposure Information</w:t>
                  </w:r>
                </w:p>
              </w:tc>
              <w:tc>
                <w:tcPr>
                  <w:tcW w:w="1850" w:type="dxa"/>
                </w:tcPr>
                <w:p w14:paraId="09222186" w14:textId="46D86F7F" w:rsidR="00597E44" w:rsidRDefault="00597E44" w:rsidP="00206FA6">
                  <w:pPr>
                    <w:pStyle w:val="Tabletextprimarysource"/>
                  </w:pPr>
                  <w:r>
                    <w:t>Effects</w:t>
                  </w:r>
                  <w:r w:rsidR="002045AA">
                    <w:t>/Outcomes/Symptoms</w:t>
                  </w:r>
                </w:p>
              </w:tc>
              <w:tc>
                <w:tcPr>
                  <w:tcW w:w="2195" w:type="dxa"/>
                </w:tcPr>
                <w:p w14:paraId="7D6CC826" w14:textId="1AC06139" w:rsidR="00597E44" w:rsidRDefault="00597E44" w:rsidP="00206FA6">
                  <w:pPr>
                    <w:pStyle w:val="Tabletextprimarysource"/>
                  </w:pPr>
                  <w:r>
                    <w:t>Notes</w:t>
                  </w:r>
                </w:p>
              </w:tc>
            </w:tr>
            <w:tr w:rsidR="00954AAD" w14:paraId="239CBCD3" w14:textId="77777777" w:rsidTr="00D13F33">
              <w:tc>
                <w:tcPr>
                  <w:tcW w:w="2195" w:type="dxa"/>
                </w:tcPr>
                <w:p w14:paraId="118EC514" w14:textId="49C791B1" w:rsidR="00954AAD" w:rsidRDefault="00954AAD" w:rsidP="00206FA6">
                  <w:pPr>
                    <w:pStyle w:val="Tabletextprimarysource"/>
                  </w:pPr>
                  <w:r>
                    <w:t>TLV-TWA</w:t>
                  </w:r>
                </w:p>
              </w:tc>
              <w:tc>
                <w:tcPr>
                  <w:tcW w:w="2540" w:type="dxa"/>
                </w:tcPr>
                <w:p w14:paraId="2D2B3D39" w14:textId="51F3BC21" w:rsidR="00954AAD" w:rsidRDefault="00954AAD" w:rsidP="00206FA6">
                  <w:pPr>
                    <w:pStyle w:val="Tabletextprimarysource"/>
                  </w:pPr>
                  <w:r>
                    <w:t>0.005 ppm (</w:t>
                  </w:r>
                  <w:r w:rsidRPr="007B3245">
                    <w:t>0.034 mg/m</w:t>
                  </w:r>
                  <w:r w:rsidRPr="007B3245">
                    <w:rPr>
                      <w:vertAlign w:val="superscript"/>
                    </w:rPr>
                    <w:t>3</w:t>
                  </w:r>
                  <w:r w:rsidRPr="007B3245">
                    <w:t>)</w:t>
                  </w:r>
                </w:p>
              </w:tc>
              <w:tc>
                <w:tcPr>
                  <w:tcW w:w="1850" w:type="dxa"/>
                </w:tcPr>
                <w:p w14:paraId="6ED88CF2" w14:textId="686DD215" w:rsidR="00954AAD" w:rsidRDefault="00054C17" w:rsidP="00206FA6">
                  <w:pPr>
                    <w:pStyle w:val="Tabletextprimarysource"/>
                  </w:pPr>
                  <w:r>
                    <w:t>Toxicology of HDI is like TDI; The 2001 TDI TLV-TWA has been adopted until more information becomes available.</w:t>
                  </w:r>
                </w:p>
              </w:tc>
              <w:tc>
                <w:tcPr>
                  <w:tcW w:w="2195" w:type="dxa"/>
                </w:tcPr>
                <w:p w14:paraId="04A40692" w14:textId="588FEBCA" w:rsidR="00954AAD" w:rsidRDefault="00A71410" w:rsidP="00206FA6">
                  <w:pPr>
                    <w:pStyle w:val="Tabletextprimarysource"/>
                  </w:pPr>
                  <w:r>
                    <w:t>May not protect for sensitisation</w:t>
                  </w:r>
                </w:p>
              </w:tc>
            </w:tr>
            <w:tr w:rsidR="00954AAD" w14:paraId="2FB11C52" w14:textId="77777777" w:rsidTr="00D13F33">
              <w:tc>
                <w:tcPr>
                  <w:tcW w:w="2195" w:type="dxa"/>
                </w:tcPr>
                <w:p w14:paraId="4F049D74" w14:textId="0D26F1D6" w:rsidR="00954AAD" w:rsidRDefault="00954AAD" w:rsidP="00206FA6">
                  <w:pPr>
                    <w:pStyle w:val="Tabletextprimarysource"/>
                  </w:pPr>
                  <w:r>
                    <w:t>Limited study in 82 workers</w:t>
                  </w:r>
                </w:p>
              </w:tc>
              <w:tc>
                <w:tcPr>
                  <w:tcW w:w="2540" w:type="dxa"/>
                </w:tcPr>
                <w:p w14:paraId="74913914" w14:textId="77777777" w:rsidR="00954AAD" w:rsidRDefault="00954AAD" w:rsidP="00206FA6">
                  <w:pPr>
                    <w:pStyle w:val="Tabletextprimarysource"/>
                  </w:pPr>
                  <w:r>
                    <w:t>&lt;0.014 ppm (0.001 mg/m</w:t>
                  </w:r>
                  <w:r w:rsidRPr="00950326">
                    <w:rPr>
                      <w:vertAlign w:val="superscript"/>
                    </w:rPr>
                    <w:t>3</w:t>
                  </w:r>
                  <w:r>
                    <w:t>)</w:t>
                  </w:r>
                </w:p>
                <w:p w14:paraId="7F194AD2" w14:textId="3F31EA1F" w:rsidR="00051815" w:rsidRDefault="00051815" w:rsidP="00206FA6">
                  <w:pPr>
                    <w:pStyle w:val="Tabletextprimarysource"/>
                  </w:pPr>
                  <w:r>
                    <w:t>No duration provided</w:t>
                  </w:r>
                </w:p>
              </w:tc>
              <w:tc>
                <w:tcPr>
                  <w:tcW w:w="1850" w:type="dxa"/>
                </w:tcPr>
                <w:p w14:paraId="085858C6" w14:textId="73F3B1FE" w:rsidR="00954AAD" w:rsidRDefault="00051815" w:rsidP="00206FA6">
                  <w:pPr>
                    <w:pStyle w:val="Tabletextprimarysource"/>
                  </w:pPr>
                  <w:r>
                    <w:t>A</w:t>
                  </w:r>
                  <w:r w:rsidR="00954AAD">
                    <w:t>ll workers complained of irritation of eye and upper respiratory tract</w:t>
                  </w:r>
                </w:p>
              </w:tc>
              <w:tc>
                <w:tcPr>
                  <w:tcW w:w="2195" w:type="dxa"/>
                </w:tcPr>
                <w:p w14:paraId="4052486C" w14:textId="5141975D" w:rsidR="00954AAD" w:rsidRDefault="00051815" w:rsidP="00206FA6">
                  <w:pPr>
                    <w:pStyle w:val="Tabletextprimarysource"/>
                  </w:pPr>
                  <w:r>
                    <w:t>C</w:t>
                  </w:r>
                  <w:r w:rsidR="00954AAD">
                    <w:t>o-exposure to phosgene and chlorobenzene likely</w:t>
                  </w:r>
                  <w:r w:rsidR="00901C85">
                    <w:t xml:space="preserve"> to</w:t>
                  </w:r>
                  <w:r w:rsidR="00954AAD">
                    <w:t xml:space="preserve"> cause of complaint</w:t>
                  </w:r>
                </w:p>
              </w:tc>
            </w:tr>
            <w:tr w:rsidR="00954AAD" w14:paraId="7BB3F2A8" w14:textId="77777777" w:rsidTr="00D13F33">
              <w:tc>
                <w:tcPr>
                  <w:tcW w:w="2195" w:type="dxa"/>
                </w:tcPr>
                <w:p w14:paraId="38983B66" w14:textId="0F4999CE" w:rsidR="00954AAD" w:rsidRDefault="00954AAD" w:rsidP="00206FA6">
                  <w:pPr>
                    <w:pStyle w:val="Tabletextprimarysource"/>
                  </w:pPr>
                  <w:r>
                    <w:t>Workers potentially exposed</w:t>
                  </w:r>
                </w:p>
              </w:tc>
              <w:tc>
                <w:tcPr>
                  <w:tcW w:w="2540" w:type="dxa"/>
                </w:tcPr>
                <w:p w14:paraId="0BA81CEF" w14:textId="77777777" w:rsidR="00954AAD" w:rsidRDefault="00954AAD" w:rsidP="00206FA6">
                  <w:pPr>
                    <w:pStyle w:val="Tabletextprimarysource"/>
                  </w:pPr>
                  <w:r>
                    <w:rPr>
                      <w:rFonts w:cs="Arial"/>
                    </w:rPr>
                    <w:t>≤</w:t>
                  </w:r>
                  <w:r>
                    <w:t>0.04 ppm (0.28 mg/m</w:t>
                  </w:r>
                  <w:r w:rsidRPr="00741D5C">
                    <w:rPr>
                      <w:vertAlign w:val="superscript"/>
                    </w:rPr>
                    <w:t>3</w:t>
                  </w:r>
                  <w:r>
                    <w:t>)</w:t>
                  </w:r>
                </w:p>
                <w:p w14:paraId="432B8814" w14:textId="3FE01BEF" w:rsidR="00051815" w:rsidRPr="00954AAD" w:rsidRDefault="00051815" w:rsidP="00206FA6">
                  <w:pPr>
                    <w:pStyle w:val="Tabletextprimarysource"/>
                  </w:pPr>
                  <w:r>
                    <w:t>No duration provided</w:t>
                  </w:r>
                </w:p>
              </w:tc>
              <w:tc>
                <w:tcPr>
                  <w:tcW w:w="1850" w:type="dxa"/>
                </w:tcPr>
                <w:p w14:paraId="781040CD" w14:textId="34DD71E2" w:rsidR="00954AAD" w:rsidRDefault="00051815" w:rsidP="00206FA6">
                  <w:pPr>
                    <w:pStyle w:val="Tabletextprimarysource"/>
                  </w:pPr>
                  <w:r>
                    <w:t>N</w:t>
                  </w:r>
                  <w:r w:rsidR="00954AAD">
                    <w:t>ormal pulmonary function measurements</w:t>
                  </w:r>
                  <w:r w:rsidR="0062107D">
                    <w:t>.</w:t>
                  </w:r>
                  <w:r w:rsidR="00954AAD">
                    <w:t xml:space="preserve"> </w:t>
                  </w:r>
                  <w:r w:rsidR="00C159D8">
                    <w:t>W</w:t>
                  </w:r>
                  <w:r w:rsidR="0062107D">
                    <w:t xml:space="preserve">orkers </w:t>
                  </w:r>
                  <w:r w:rsidR="00954AAD">
                    <w:t>complained of eye, nose and throat irritation; cough; and chest discomfort</w:t>
                  </w:r>
                </w:p>
              </w:tc>
              <w:tc>
                <w:tcPr>
                  <w:tcW w:w="2195" w:type="dxa"/>
                </w:tcPr>
                <w:p w14:paraId="2292FB00" w14:textId="32D13E23" w:rsidR="00954AAD" w:rsidRDefault="00051815" w:rsidP="00206FA6">
                  <w:pPr>
                    <w:pStyle w:val="Tabletextprimarysource"/>
                  </w:pPr>
                  <w:r>
                    <w:t>L</w:t>
                  </w:r>
                  <w:r w:rsidR="00954AAD">
                    <w:t>ikely co-exposures to other chemicals</w:t>
                  </w:r>
                </w:p>
              </w:tc>
            </w:tr>
            <w:tr w:rsidR="00954AAD" w14:paraId="03034C3A" w14:textId="77777777" w:rsidTr="00D13F33">
              <w:tc>
                <w:tcPr>
                  <w:tcW w:w="2195" w:type="dxa"/>
                </w:tcPr>
                <w:p w14:paraId="4171180F" w14:textId="4B0A5354" w:rsidR="00954AAD" w:rsidRDefault="00954AAD" w:rsidP="00206FA6">
                  <w:pPr>
                    <w:pStyle w:val="Tabletextprimarysource"/>
                  </w:pPr>
                  <w:r>
                    <w:t xml:space="preserve">3 subjects with occupational asthma </w:t>
                  </w:r>
                </w:p>
              </w:tc>
              <w:tc>
                <w:tcPr>
                  <w:tcW w:w="2540" w:type="dxa"/>
                </w:tcPr>
                <w:p w14:paraId="2AB4C933" w14:textId="16676198" w:rsidR="00954AAD" w:rsidRDefault="00954AAD" w:rsidP="00206FA6">
                  <w:pPr>
                    <w:pStyle w:val="Tabletextprimarysource"/>
                  </w:pPr>
                  <w:r>
                    <w:t>Given HDI challenge doses</w:t>
                  </w:r>
                </w:p>
              </w:tc>
              <w:tc>
                <w:tcPr>
                  <w:tcW w:w="1850" w:type="dxa"/>
                </w:tcPr>
                <w:p w14:paraId="74976385" w14:textId="5037E462" w:rsidR="00954AAD" w:rsidRDefault="00954AAD" w:rsidP="00206FA6">
                  <w:pPr>
                    <w:pStyle w:val="Tabletextprimarysource"/>
                  </w:pPr>
                  <w:r>
                    <w:t xml:space="preserve">1 experienced early reaction; 2 subjects had late </w:t>
                  </w:r>
                  <w:r>
                    <w:lastRenderedPageBreak/>
                    <w:t>asthmatic responses</w:t>
                  </w:r>
                  <w:r w:rsidR="00051815">
                    <w:t>; FEV</w:t>
                  </w:r>
                  <w:r w:rsidR="00051815" w:rsidRPr="00E7783B">
                    <w:rPr>
                      <w:vertAlign w:val="subscript"/>
                    </w:rPr>
                    <w:t>1</w:t>
                  </w:r>
                  <w:r w:rsidR="00051815">
                    <w:t xml:space="preserve"> was reduced from 13% to 31%, 6 to 8 hours after the specific challenge</w:t>
                  </w:r>
                </w:p>
              </w:tc>
              <w:tc>
                <w:tcPr>
                  <w:tcW w:w="2195" w:type="dxa"/>
                </w:tcPr>
                <w:p w14:paraId="6ED1D5C8" w14:textId="77777777" w:rsidR="00954AAD" w:rsidRDefault="00954AAD" w:rsidP="00206FA6">
                  <w:pPr>
                    <w:pStyle w:val="Tabletextprimarysource"/>
                  </w:pPr>
                </w:p>
              </w:tc>
            </w:tr>
          </w:tbl>
          <w:p w14:paraId="11DC543B" w14:textId="085C9A4F" w:rsidR="00051815" w:rsidRDefault="00051815" w:rsidP="00E7783B">
            <w:pPr>
              <w:pStyle w:val="ListBullet"/>
              <w:ind w:left="1080"/>
            </w:pPr>
            <w:r>
              <w:t>No animal data presented</w:t>
            </w:r>
          </w:p>
          <w:p w14:paraId="2202E241" w14:textId="08DFEEE4" w:rsidR="00362F6C" w:rsidRDefault="00362F6C" w:rsidP="00E7783B">
            <w:pPr>
              <w:pStyle w:val="ListBullet"/>
              <w:ind w:left="1080"/>
            </w:pPr>
            <w:r>
              <w:t xml:space="preserve">Adequate HDI exposure information is not available to support a </w:t>
            </w:r>
            <w:r w:rsidR="00051815">
              <w:t>TLV</w:t>
            </w:r>
          </w:p>
          <w:p w14:paraId="3D911B1F" w14:textId="41BA3D75" w:rsidR="00362F6C" w:rsidRDefault="00362F6C" w:rsidP="00E7783B">
            <w:pPr>
              <w:pStyle w:val="ListBullet"/>
              <w:ind w:left="1080"/>
            </w:pPr>
            <w:r>
              <w:t xml:space="preserve">The existing information indicates that the toxicological action of HDI is like that of TDI, </w:t>
            </w:r>
            <w:r w:rsidR="00D86372">
              <w:t xml:space="preserve">with </w:t>
            </w:r>
            <w:r>
              <w:t>eye</w:t>
            </w:r>
            <w:r w:rsidR="00872FAB">
              <w:t xml:space="preserve"> </w:t>
            </w:r>
            <w:r w:rsidR="00D86372">
              <w:t>and</w:t>
            </w:r>
            <w:r>
              <w:t xml:space="preserve"> respiratory tract irritation and possible pulmonary sensitisation</w:t>
            </w:r>
          </w:p>
          <w:p w14:paraId="5A86E903" w14:textId="59091106" w:rsidR="00362F6C" w:rsidRDefault="00362F6C" w:rsidP="00E7783B">
            <w:pPr>
              <w:pStyle w:val="ListBullet"/>
              <w:ind w:left="1080"/>
            </w:pPr>
            <w:r>
              <w:t>2001 TDI TLV</w:t>
            </w:r>
            <w:r w:rsidR="00A376A8">
              <w:t>-TWA has been</w:t>
            </w:r>
            <w:r>
              <w:t xml:space="preserve"> adopted</w:t>
            </w:r>
            <w:r w:rsidR="00A376A8">
              <w:t xml:space="preserve"> </w:t>
            </w:r>
            <w:r w:rsidR="0062107D">
              <w:t xml:space="preserve">by ACGIH </w:t>
            </w:r>
            <w:r w:rsidR="00A376A8">
              <w:t>until more information becomes available</w:t>
            </w:r>
            <w:r w:rsidR="00D86372">
              <w:t>.</w:t>
            </w:r>
          </w:p>
          <w:p w14:paraId="3120EF28" w14:textId="45D25289" w:rsidR="00CA0362" w:rsidRDefault="00051815" w:rsidP="002045F2">
            <w:pPr>
              <w:pStyle w:val="Tabletextprimarysource"/>
            </w:pPr>
            <w:r>
              <w:t>The recommended TLV may not protect susceptible workers from possible sensitisation or an allergic reaction in previously sensitised individuals</w:t>
            </w:r>
            <w:r w:rsidR="00E7783B">
              <w:t>.</w:t>
            </w:r>
          </w:p>
          <w:p w14:paraId="30B52744" w14:textId="77777777" w:rsidR="00E7783B" w:rsidRDefault="00E7783B" w:rsidP="002045F2">
            <w:pPr>
              <w:pStyle w:val="Tabletextprimarysource"/>
              <w:rPr>
                <w:b/>
              </w:rPr>
            </w:pPr>
          </w:p>
          <w:p w14:paraId="7EBEBCB4" w14:textId="3397D244" w:rsidR="002045F2" w:rsidRDefault="006B5FEF" w:rsidP="002045F2">
            <w:pPr>
              <w:pStyle w:val="Tabletextprimarysource"/>
              <w:rPr>
                <w:b/>
              </w:rPr>
            </w:pPr>
            <w:r>
              <w:rPr>
                <w:b/>
              </w:rPr>
              <w:t>IPD</w:t>
            </w:r>
            <w:r w:rsidRPr="00206FA6">
              <w:rPr>
                <w:b/>
              </w:rPr>
              <w:t>I</w:t>
            </w:r>
            <w:r w:rsidRPr="005E0009">
              <w:rPr>
                <w:b/>
              </w:rPr>
              <w:t xml:space="preserve"> </w:t>
            </w:r>
            <w:r>
              <w:rPr>
                <w:b/>
              </w:rPr>
              <w:t xml:space="preserve">– </w:t>
            </w:r>
            <w:r w:rsidR="005E0009" w:rsidRPr="005E0009">
              <w:rPr>
                <w:b/>
              </w:rPr>
              <w:t xml:space="preserve">Isophorone diisocyanate </w:t>
            </w:r>
          </w:p>
          <w:p w14:paraId="4CE17159" w14:textId="2849043B" w:rsidR="00CD2411" w:rsidRDefault="00CD2411" w:rsidP="00C0487D">
            <w:pPr>
              <w:pStyle w:val="Tabletextprimarysource"/>
            </w:pPr>
            <w:r>
              <w:t>Recommends the 2001 TLV–TWA of 0.005 ppm for TDI be applied to IPDI until more information specific to IPDI becomes available</w:t>
            </w:r>
          </w:p>
          <w:p w14:paraId="07E8D56A" w14:textId="25C992E0" w:rsidR="00C0487D" w:rsidRDefault="00AD5AA3" w:rsidP="00C0487D">
            <w:pPr>
              <w:pStyle w:val="Tabletextprimarysource"/>
            </w:pPr>
            <w:r>
              <w:t>The recommended TLV may not protect susceptible workers from possible sensitisation or an allergic reaction in previously sensitised individuals</w:t>
            </w:r>
            <w:r w:rsidR="00C0487D">
              <w:t xml:space="preserve"> </w:t>
            </w:r>
          </w:p>
          <w:p w14:paraId="0A500779" w14:textId="4823BAB9" w:rsidR="00C0487D" w:rsidRDefault="00C0487D" w:rsidP="00C0487D">
            <w:pPr>
              <w:pStyle w:val="Tabletextprimarysource"/>
            </w:pPr>
            <w:r>
              <w:t>Summary of data: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195"/>
              <w:gridCol w:w="2540"/>
              <w:gridCol w:w="1850"/>
              <w:gridCol w:w="2195"/>
            </w:tblGrid>
            <w:tr w:rsidR="00597E44" w14:paraId="285BDF3A" w14:textId="77777777" w:rsidTr="00D13F33">
              <w:tc>
                <w:tcPr>
                  <w:tcW w:w="2195" w:type="dxa"/>
                </w:tcPr>
                <w:p w14:paraId="6D925C00" w14:textId="7E7A8F8C" w:rsidR="00597E44" w:rsidRPr="00D86372" w:rsidRDefault="00597E44" w:rsidP="00597E44">
                  <w:pPr>
                    <w:pStyle w:val="Tabletextprimarysource"/>
                    <w:rPr>
                      <w:sz w:val="18"/>
                    </w:rPr>
                  </w:pPr>
                </w:p>
              </w:tc>
              <w:tc>
                <w:tcPr>
                  <w:tcW w:w="2540" w:type="dxa"/>
                </w:tcPr>
                <w:p w14:paraId="22E05F2B" w14:textId="1F127D35" w:rsidR="00597E44" w:rsidRPr="00D86372" w:rsidRDefault="004F3513" w:rsidP="00597E44">
                  <w:pPr>
                    <w:pStyle w:val="Tabletextprimarysource"/>
                    <w:rPr>
                      <w:sz w:val="18"/>
                    </w:rPr>
                  </w:pPr>
                  <w:r w:rsidRPr="00D86372">
                    <w:rPr>
                      <w:sz w:val="18"/>
                    </w:rPr>
                    <w:t>Exposure Information</w:t>
                  </w:r>
                </w:p>
              </w:tc>
              <w:tc>
                <w:tcPr>
                  <w:tcW w:w="1850" w:type="dxa"/>
                </w:tcPr>
                <w:p w14:paraId="14AFAF25" w14:textId="6316A340" w:rsidR="00597E44" w:rsidRPr="00D86372" w:rsidRDefault="00597E44" w:rsidP="00597E44">
                  <w:pPr>
                    <w:pStyle w:val="Tabletextprimarysource"/>
                    <w:rPr>
                      <w:sz w:val="18"/>
                    </w:rPr>
                  </w:pPr>
                  <w:r w:rsidRPr="00D86372">
                    <w:rPr>
                      <w:sz w:val="18"/>
                    </w:rPr>
                    <w:t>Effects</w:t>
                  </w:r>
                  <w:r w:rsidR="002045AA" w:rsidRPr="00D86372">
                    <w:rPr>
                      <w:sz w:val="18"/>
                    </w:rPr>
                    <w:t>/Outcomes/</w:t>
                  </w:r>
                  <w:r w:rsidR="00D86372">
                    <w:rPr>
                      <w:sz w:val="18"/>
                    </w:rPr>
                    <w:t xml:space="preserve"> </w:t>
                  </w:r>
                  <w:r w:rsidR="002045AA" w:rsidRPr="00D86372">
                    <w:rPr>
                      <w:sz w:val="18"/>
                    </w:rPr>
                    <w:t>Symptoms</w:t>
                  </w:r>
                </w:p>
              </w:tc>
              <w:tc>
                <w:tcPr>
                  <w:tcW w:w="2195" w:type="dxa"/>
                </w:tcPr>
                <w:p w14:paraId="32DECC99" w14:textId="4A71356D" w:rsidR="00597E44" w:rsidRPr="00D86372" w:rsidRDefault="00597E44" w:rsidP="00597E44">
                  <w:pPr>
                    <w:pStyle w:val="Tabletextprimarysource"/>
                    <w:rPr>
                      <w:sz w:val="18"/>
                    </w:rPr>
                  </w:pPr>
                  <w:r w:rsidRPr="00D86372">
                    <w:rPr>
                      <w:sz w:val="18"/>
                    </w:rPr>
                    <w:t>Notes</w:t>
                  </w:r>
                </w:p>
              </w:tc>
            </w:tr>
            <w:tr w:rsidR="00597E44" w14:paraId="5E7A2D3A" w14:textId="77777777" w:rsidTr="00D13F33">
              <w:tc>
                <w:tcPr>
                  <w:tcW w:w="2195" w:type="dxa"/>
                </w:tcPr>
                <w:p w14:paraId="678F7F25" w14:textId="574E1F4A" w:rsidR="00597E44" w:rsidRPr="00D86372" w:rsidRDefault="00597E44" w:rsidP="00597E44">
                  <w:pPr>
                    <w:pStyle w:val="Tabletextprimarysource"/>
                    <w:rPr>
                      <w:sz w:val="18"/>
                    </w:rPr>
                  </w:pPr>
                  <w:r w:rsidRPr="00D86372">
                    <w:rPr>
                      <w:sz w:val="18"/>
                    </w:rPr>
                    <w:t>TLV-TWA</w:t>
                  </w:r>
                </w:p>
              </w:tc>
              <w:tc>
                <w:tcPr>
                  <w:tcW w:w="2540" w:type="dxa"/>
                </w:tcPr>
                <w:p w14:paraId="070DAECC" w14:textId="6B133BA9" w:rsidR="00597E44" w:rsidRPr="00D86372" w:rsidRDefault="00597E44" w:rsidP="00597E44">
                  <w:pPr>
                    <w:pStyle w:val="Tabletextprimarysource"/>
                    <w:rPr>
                      <w:sz w:val="18"/>
                    </w:rPr>
                  </w:pPr>
                  <w:r w:rsidRPr="00D86372">
                    <w:rPr>
                      <w:sz w:val="18"/>
                    </w:rPr>
                    <w:t>0.005 ppm (0.034 mg/m</w:t>
                  </w:r>
                  <w:r w:rsidRPr="00D86372">
                    <w:rPr>
                      <w:sz w:val="18"/>
                      <w:vertAlign w:val="superscript"/>
                    </w:rPr>
                    <w:t>3</w:t>
                  </w:r>
                  <w:r w:rsidRPr="00D86372">
                    <w:rPr>
                      <w:sz w:val="18"/>
                    </w:rPr>
                    <w:t>)</w:t>
                  </w:r>
                </w:p>
              </w:tc>
              <w:tc>
                <w:tcPr>
                  <w:tcW w:w="1850" w:type="dxa"/>
                </w:tcPr>
                <w:p w14:paraId="32F7815B" w14:textId="1A4347CB" w:rsidR="00597E44" w:rsidRPr="00D86372" w:rsidRDefault="00597E44" w:rsidP="00597E44">
                  <w:pPr>
                    <w:pStyle w:val="Tabletextprimarysource"/>
                    <w:rPr>
                      <w:sz w:val="18"/>
                    </w:rPr>
                  </w:pPr>
                  <w:r w:rsidRPr="00D86372">
                    <w:rPr>
                      <w:sz w:val="18"/>
                    </w:rPr>
                    <w:t xml:space="preserve">In absence of quantitative data, the </w:t>
                  </w:r>
                  <w:r w:rsidR="002045AA" w:rsidRPr="00D86372">
                    <w:rPr>
                      <w:sz w:val="18"/>
                    </w:rPr>
                    <w:t xml:space="preserve">2001 </w:t>
                  </w:r>
                  <w:r w:rsidRPr="00D86372">
                    <w:rPr>
                      <w:sz w:val="18"/>
                    </w:rPr>
                    <w:t>TLV-TWA for TDI is applied</w:t>
                  </w:r>
                </w:p>
              </w:tc>
              <w:tc>
                <w:tcPr>
                  <w:tcW w:w="2195" w:type="dxa"/>
                </w:tcPr>
                <w:p w14:paraId="06FCB1CB" w14:textId="3D93DD67" w:rsidR="00597E44" w:rsidRPr="00D86372" w:rsidRDefault="004F3513" w:rsidP="00597E44">
                  <w:pPr>
                    <w:pStyle w:val="Tabletextprimarysource"/>
                    <w:rPr>
                      <w:sz w:val="18"/>
                    </w:rPr>
                  </w:pPr>
                  <w:r w:rsidRPr="00D86372">
                    <w:rPr>
                      <w:sz w:val="18"/>
                    </w:rPr>
                    <w:t>Reported skin sensitisation, asthma and allergic dermatitis for IPDI exposed workers warrant consideration of a sensitiser (SEN) notation</w:t>
                  </w:r>
                </w:p>
                <w:p w14:paraId="5C2A5134" w14:textId="69727049" w:rsidR="004F3513" w:rsidRPr="00D86372" w:rsidRDefault="00E7783B" w:rsidP="00597E44">
                  <w:pPr>
                    <w:pStyle w:val="Tabletextprimarysource"/>
                    <w:rPr>
                      <w:sz w:val="18"/>
                    </w:rPr>
                  </w:pPr>
                  <w:r w:rsidRPr="00D86372">
                    <w:rPr>
                      <w:sz w:val="18"/>
                    </w:rPr>
                    <w:t>TLV-TWA m</w:t>
                  </w:r>
                  <w:r w:rsidR="004F3513" w:rsidRPr="00D86372">
                    <w:rPr>
                      <w:sz w:val="18"/>
                    </w:rPr>
                    <w:t>ay not protect for sensitisation</w:t>
                  </w:r>
                </w:p>
              </w:tc>
            </w:tr>
            <w:tr w:rsidR="00597E44" w14:paraId="4C179DCA" w14:textId="77777777" w:rsidTr="00D13F33">
              <w:tc>
                <w:tcPr>
                  <w:tcW w:w="2195" w:type="dxa"/>
                </w:tcPr>
                <w:p w14:paraId="2BCA1008" w14:textId="77777777" w:rsidR="009028DB" w:rsidRPr="00D86372" w:rsidRDefault="009028DB" w:rsidP="00D13F33">
                  <w:pPr>
                    <w:pStyle w:val="ListBullet"/>
                    <w:numPr>
                      <w:ilvl w:val="0"/>
                      <w:numId w:val="0"/>
                    </w:numPr>
                    <w:rPr>
                      <w:sz w:val="18"/>
                    </w:rPr>
                  </w:pPr>
                  <w:r w:rsidRPr="00D86372">
                    <w:rPr>
                      <w:sz w:val="18"/>
                    </w:rPr>
                    <w:t xml:space="preserve">Skin sensitisation reported following exposure </w:t>
                  </w:r>
                </w:p>
                <w:p w14:paraId="1025F525" w14:textId="77777777" w:rsidR="00597E44" w:rsidRPr="00D86372" w:rsidRDefault="00597E44" w:rsidP="00597E44">
                  <w:pPr>
                    <w:pStyle w:val="Tabletextprimarysource"/>
                    <w:rPr>
                      <w:sz w:val="18"/>
                    </w:rPr>
                  </w:pPr>
                </w:p>
              </w:tc>
              <w:tc>
                <w:tcPr>
                  <w:tcW w:w="2540" w:type="dxa"/>
                </w:tcPr>
                <w:p w14:paraId="1B3A5593" w14:textId="62EFB09C" w:rsidR="00597E44" w:rsidRPr="00D86372" w:rsidRDefault="002045AA" w:rsidP="00597E44">
                  <w:pPr>
                    <w:pStyle w:val="Tabletextprimarysource"/>
                    <w:rPr>
                      <w:sz w:val="18"/>
                    </w:rPr>
                  </w:pPr>
                  <w:r w:rsidRPr="00D86372">
                    <w:rPr>
                      <w:sz w:val="18"/>
                    </w:rPr>
                    <w:t>Patch test</w:t>
                  </w:r>
                </w:p>
              </w:tc>
              <w:tc>
                <w:tcPr>
                  <w:tcW w:w="1850" w:type="dxa"/>
                </w:tcPr>
                <w:p w14:paraId="27F1A6AB" w14:textId="6CA18524" w:rsidR="00597E44" w:rsidRPr="00D86372" w:rsidRDefault="009028DB" w:rsidP="00597E44">
                  <w:pPr>
                    <w:pStyle w:val="Tabletextprimarysource"/>
                    <w:rPr>
                      <w:sz w:val="18"/>
                    </w:rPr>
                  </w:pPr>
                  <w:r w:rsidRPr="00D86372">
                    <w:rPr>
                      <w:sz w:val="18"/>
                    </w:rPr>
                    <w:t>Four sensitised workers were patch tested with IPDI and the results of these challenge tests were found to be strongly positive. The control subjects were negative</w:t>
                  </w:r>
                </w:p>
              </w:tc>
              <w:tc>
                <w:tcPr>
                  <w:tcW w:w="2195" w:type="dxa"/>
                </w:tcPr>
                <w:p w14:paraId="7C93C5C9" w14:textId="77777777" w:rsidR="00597E44" w:rsidRPr="00D86372" w:rsidRDefault="00597E44" w:rsidP="00597E44">
                  <w:pPr>
                    <w:pStyle w:val="Tabletextprimarysource"/>
                    <w:rPr>
                      <w:sz w:val="18"/>
                    </w:rPr>
                  </w:pPr>
                </w:p>
              </w:tc>
            </w:tr>
            <w:tr w:rsidR="00597E44" w14:paraId="68CE8229" w14:textId="77777777" w:rsidTr="00D13F33">
              <w:tc>
                <w:tcPr>
                  <w:tcW w:w="2195" w:type="dxa"/>
                </w:tcPr>
                <w:p w14:paraId="410D2C45" w14:textId="751657F9" w:rsidR="00597E44" w:rsidRPr="00D86372" w:rsidRDefault="009028DB" w:rsidP="00597E44">
                  <w:pPr>
                    <w:pStyle w:val="Tabletextprimarysource"/>
                    <w:rPr>
                      <w:sz w:val="18"/>
                    </w:rPr>
                  </w:pPr>
                  <w:r w:rsidRPr="00D86372">
                    <w:rPr>
                      <w:sz w:val="18"/>
                    </w:rPr>
                    <w:t>Skin sensitisation reported following exposure</w:t>
                  </w:r>
                </w:p>
              </w:tc>
              <w:tc>
                <w:tcPr>
                  <w:tcW w:w="2540" w:type="dxa"/>
                </w:tcPr>
                <w:p w14:paraId="29B538C1" w14:textId="78FAA72C" w:rsidR="00597E44" w:rsidRPr="00D86372" w:rsidRDefault="002045AA" w:rsidP="00597E44">
                  <w:pPr>
                    <w:pStyle w:val="Tabletextprimarysource"/>
                    <w:rPr>
                      <w:sz w:val="18"/>
                    </w:rPr>
                  </w:pPr>
                  <w:r w:rsidRPr="00D86372">
                    <w:rPr>
                      <w:sz w:val="18"/>
                    </w:rPr>
                    <w:t>A single 1-hr workplace exposure to IPDI</w:t>
                  </w:r>
                </w:p>
                <w:p w14:paraId="31681D66" w14:textId="4CBBE4A1" w:rsidR="002045AA" w:rsidRPr="00D86372" w:rsidRDefault="002045AA" w:rsidP="00597E44">
                  <w:pPr>
                    <w:pStyle w:val="Tabletextprimarysource"/>
                    <w:rPr>
                      <w:sz w:val="18"/>
                    </w:rPr>
                  </w:pPr>
                  <w:r w:rsidRPr="00D86372">
                    <w:rPr>
                      <w:sz w:val="18"/>
                    </w:rPr>
                    <w:t>No further information</w:t>
                  </w:r>
                </w:p>
              </w:tc>
              <w:tc>
                <w:tcPr>
                  <w:tcW w:w="1850" w:type="dxa"/>
                </w:tcPr>
                <w:p w14:paraId="023C8CBA" w14:textId="5DED63F9" w:rsidR="00597E44" w:rsidRPr="00D86372" w:rsidRDefault="002045AA" w:rsidP="00597E44">
                  <w:pPr>
                    <w:pStyle w:val="Tabletextprimarysource"/>
                    <w:rPr>
                      <w:sz w:val="18"/>
                    </w:rPr>
                  </w:pPr>
                  <w:r w:rsidRPr="00D86372">
                    <w:rPr>
                      <w:sz w:val="18"/>
                    </w:rPr>
                    <w:t>C</w:t>
                  </w:r>
                  <w:r w:rsidR="009028DB" w:rsidRPr="00D86372">
                    <w:rPr>
                      <w:sz w:val="18"/>
                    </w:rPr>
                    <w:t xml:space="preserve">aused eczema in </w:t>
                  </w:r>
                  <w:r w:rsidRPr="00D86372">
                    <w:rPr>
                      <w:sz w:val="18"/>
                    </w:rPr>
                    <w:t>3</w:t>
                  </w:r>
                  <w:r w:rsidR="009028DB" w:rsidRPr="00D86372">
                    <w:rPr>
                      <w:sz w:val="18"/>
                    </w:rPr>
                    <w:t xml:space="preserve"> of </w:t>
                  </w:r>
                  <w:r w:rsidRPr="00D86372">
                    <w:rPr>
                      <w:sz w:val="18"/>
                    </w:rPr>
                    <w:t>4</w:t>
                  </w:r>
                  <w:r w:rsidR="009028DB" w:rsidRPr="00D86372">
                    <w:rPr>
                      <w:sz w:val="18"/>
                    </w:rPr>
                    <w:t xml:space="preserve"> workers</w:t>
                  </w:r>
                </w:p>
              </w:tc>
              <w:tc>
                <w:tcPr>
                  <w:tcW w:w="2195" w:type="dxa"/>
                </w:tcPr>
                <w:p w14:paraId="67EF77A9" w14:textId="77777777" w:rsidR="00597E44" w:rsidRPr="00D86372" w:rsidRDefault="00597E44" w:rsidP="00597E44">
                  <w:pPr>
                    <w:pStyle w:val="Tabletextprimarysource"/>
                    <w:rPr>
                      <w:sz w:val="18"/>
                    </w:rPr>
                  </w:pPr>
                </w:p>
              </w:tc>
            </w:tr>
            <w:tr w:rsidR="00597E44" w14:paraId="5ADF4F77" w14:textId="77777777" w:rsidTr="00D13F33">
              <w:tc>
                <w:tcPr>
                  <w:tcW w:w="2195" w:type="dxa"/>
                </w:tcPr>
                <w:p w14:paraId="556441B9" w14:textId="1E827046" w:rsidR="00597E44" w:rsidRPr="00D86372" w:rsidRDefault="003B23A4" w:rsidP="00597E44">
                  <w:pPr>
                    <w:pStyle w:val="Tabletextprimarysource"/>
                    <w:rPr>
                      <w:sz w:val="18"/>
                    </w:rPr>
                  </w:pPr>
                  <w:r w:rsidRPr="00D86372">
                    <w:rPr>
                      <w:sz w:val="18"/>
                    </w:rPr>
                    <w:t>Asthma</w:t>
                  </w:r>
                </w:p>
              </w:tc>
              <w:tc>
                <w:tcPr>
                  <w:tcW w:w="2540" w:type="dxa"/>
                </w:tcPr>
                <w:p w14:paraId="6E174F7A" w14:textId="7F45F30C" w:rsidR="002045AA" w:rsidRPr="00D86372" w:rsidRDefault="002045AA" w:rsidP="00597E44">
                  <w:pPr>
                    <w:pStyle w:val="Tabletextprimarysource"/>
                    <w:rPr>
                      <w:sz w:val="18"/>
                    </w:rPr>
                  </w:pPr>
                  <w:r w:rsidRPr="00D86372">
                    <w:rPr>
                      <w:sz w:val="18"/>
                    </w:rPr>
                    <w:t>Workplace exposure to</w:t>
                  </w:r>
                  <w:r w:rsidR="00AD5AA3" w:rsidRPr="00D86372">
                    <w:rPr>
                      <w:sz w:val="18"/>
                    </w:rPr>
                    <w:t xml:space="preserve"> </w:t>
                  </w:r>
                  <w:r w:rsidRPr="00D86372">
                    <w:rPr>
                      <w:sz w:val="18"/>
                    </w:rPr>
                    <w:t>paint containing IPDI</w:t>
                  </w:r>
                </w:p>
                <w:p w14:paraId="023A4674" w14:textId="6D303968" w:rsidR="00597E44" w:rsidRPr="00D86372" w:rsidRDefault="002045AA" w:rsidP="00597E44">
                  <w:pPr>
                    <w:pStyle w:val="Tabletextprimarysource"/>
                    <w:rPr>
                      <w:sz w:val="18"/>
                    </w:rPr>
                  </w:pPr>
                  <w:r w:rsidRPr="00D86372">
                    <w:rPr>
                      <w:sz w:val="18"/>
                    </w:rPr>
                    <w:t>Unspecified exposure information</w:t>
                  </w:r>
                </w:p>
              </w:tc>
              <w:tc>
                <w:tcPr>
                  <w:tcW w:w="1850" w:type="dxa"/>
                </w:tcPr>
                <w:p w14:paraId="10AD875E" w14:textId="3AB61F9E" w:rsidR="00597E44" w:rsidRPr="00D86372" w:rsidRDefault="003B23A4" w:rsidP="00597E44">
                  <w:pPr>
                    <w:pStyle w:val="Tabletextprimarysource"/>
                    <w:rPr>
                      <w:sz w:val="18"/>
                    </w:rPr>
                  </w:pPr>
                  <w:r w:rsidRPr="00D86372">
                    <w:rPr>
                      <w:sz w:val="18"/>
                    </w:rPr>
                    <w:t xml:space="preserve">50-year-old spray painter developed severe asthma soon after the introduction of a new paint containing IPDI; Positive results in </w:t>
                  </w:r>
                  <w:r w:rsidRPr="00D86372">
                    <w:rPr>
                      <w:sz w:val="18"/>
                    </w:rPr>
                    <w:lastRenderedPageBreak/>
                    <w:t>bronchial challenge test of spray painter</w:t>
                  </w:r>
                </w:p>
              </w:tc>
              <w:tc>
                <w:tcPr>
                  <w:tcW w:w="2195" w:type="dxa"/>
                </w:tcPr>
                <w:p w14:paraId="6C2ECF9B" w14:textId="77777777" w:rsidR="00597E44" w:rsidRPr="00D86372" w:rsidRDefault="00597E44" w:rsidP="00597E44">
                  <w:pPr>
                    <w:pStyle w:val="Tabletextprimarysource"/>
                    <w:rPr>
                      <w:sz w:val="18"/>
                    </w:rPr>
                  </w:pPr>
                </w:p>
              </w:tc>
            </w:tr>
            <w:tr w:rsidR="00597E44" w14:paraId="69BD6C89" w14:textId="77777777" w:rsidTr="00D13F33">
              <w:tc>
                <w:tcPr>
                  <w:tcW w:w="2195" w:type="dxa"/>
                </w:tcPr>
                <w:p w14:paraId="43F86045" w14:textId="77777777" w:rsidR="00597E44" w:rsidRPr="00D86372" w:rsidRDefault="00597E44" w:rsidP="00597E44">
                  <w:pPr>
                    <w:pStyle w:val="Tabletextprimarysource"/>
                    <w:rPr>
                      <w:sz w:val="18"/>
                    </w:rPr>
                  </w:pPr>
                </w:p>
              </w:tc>
              <w:tc>
                <w:tcPr>
                  <w:tcW w:w="2540" w:type="dxa"/>
                </w:tcPr>
                <w:p w14:paraId="3F6D87DC" w14:textId="12262467" w:rsidR="002045AA" w:rsidRPr="00D86372" w:rsidRDefault="002045AA" w:rsidP="002045AA">
                  <w:pPr>
                    <w:pStyle w:val="Tabletextprimarysource"/>
                    <w:rPr>
                      <w:sz w:val="18"/>
                    </w:rPr>
                  </w:pPr>
                  <w:r w:rsidRPr="00D86372">
                    <w:rPr>
                      <w:sz w:val="18"/>
                    </w:rPr>
                    <w:t>Workplace exposure to</w:t>
                  </w:r>
                  <w:r w:rsidR="00AD5AA3" w:rsidRPr="00D86372">
                    <w:rPr>
                      <w:sz w:val="18"/>
                    </w:rPr>
                    <w:t xml:space="preserve"> </w:t>
                  </w:r>
                  <w:r w:rsidRPr="00D86372">
                    <w:rPr>
                      <w:sz w:val="18"/>
                    </w:rPr>
                    <w:t>paint containing IPDI</w:t>
                  </w:r>
                </w:p>
                <w:p w14:paraId="2A922151" w14:textId="77777777" w:rsidR="00597E44" w:rsidRPr="00D86372" w:rsidRDefault="00597E44" w:rsidP="00597E44">
                  <w:pPr>
                    <w:pStyle w:val="Tabletextprimarysource"/>
                    <w:rPr>
                      <w:sz w:val="18"/>
                    </w:rPr>
                  </w:pPr>
                </w:p>
              </w:tc>
              <w:tc>
                <w:tcPr>
                  <w:tcW w:w="1850" w:type="dxa"/>
                </w:tcPr>
                <w:p w14:paraId="4314E9A2" w14:textId="5A715AE3" w:rsidR="00597E44" w:rsidRPr="00D86372" w:rsidRDefault="003B23A4" w:rsidP="00D13F33">
                  <w:pPr>
                    <w:pStyle w:val="ListBullet"/>
                    <w:numPr>
                      <w:ilvl w:val="0"/>
                      <w:numId w:val="0"/>
                    </w:numPr>
                    <w:spacing w:before="60" w:after="60"/>
                    <w:contextualSpacing w:val="0"/>
                    <w:rPr>
                      <w:sz w:val="18"/>
                    </w:rPr>
                  </w:pPr>
                  <w:r w:rsidRPr="00D86372">
                    <w:rPr>
                      <w:sz w:val="18"/>
                    </w:rPr>
                    <w:t>Symptoms of chest tightness and dyspnoea reported in automobile spray painter using paint containing IPDI</w:t>
                  </w:r>
                </w:p>
              </w:tc>
              <w:tc>
                <w:tcPr>
                  <w:tcW w:w="2195" w:type="dxa"/>
                </w:tcPr>
                <w:p w14:paraId="1453B117" w14:textId="77777777" w:rsidR="00597E44" w:rsidRPr="00D86372" w:rsidRDefault="00597E44" w:rsidP="00597E44">
                  <w:pPr>
                    <w:pStyle w:val="Tabletextprimarysource"/>
                    <w:rPr>
                      <w:sz w:val="18"/>
                    </w:rPr>
                  </w:pPr>
                </w:p>
              </w:tc>
            </w:tr>
            <w:tr w:rsidR="00597E44" w14:paraId="424BBC21" w14:textId="77777777" w:rsidTr="00D13F33">
              <w:tc>
                <w:tcPr>
                  <w:tcW w:w="2195" w:type="dxa"/>
                </w:tcPr>
                <w:p w14:paraId="22F9B1EB" w14:textId="7C439B69" w:rsidR="00597E44" w:rsidRPr="00D86372" w:rsidRDefault="00757E47" w:rsidP="00597E44">
                  <w:pPr>
                    <w:pStyle w:val="Tabletextprimarysource"/>
                    <w:rPr>
                      <w:sz w:val="18"/>
                    </w:rPr>
                  </w:pPr>
                  <w:r w:rsidRPr="00D86372">
                    <w:rPr>
                      <w:sz w:val="18"/>
                    </w:rPr>
                    <w:t>Animal data: LC</w:t>
                  </w:r>
                  <w:r w:rsidRPr="00D86372">
                    <w:rPr>
                      <w:sz w:val="18"/>
                      <w:vertAlign w:val="subscript"/>
                    </w:rPr>
                    <w:t>50</w:t>
                  </w:r>
                </w:p>
              </w:tc>
              <w:tc>
                <w:tcPr>
                  <w:tcW w:w="2540" w:type="dxa"/>
                </w:tcPr>
                <w:p w14:paraId="602B384B" w14:textId="4C8C3C71" w:rsidR="00597E44" w:rsidRPr="00D86372" w:rsidRDefault="00757E47" w:rsidP="00597E44">
                  <w:pPr>
                    <w:pStyle w:val="Tabletextprimarysource"/>
                    <w:rPr>
                      <w:sz w:val="18"/>
                    </w:rPr>
                  </w:pPr>
                  <w:r w:rsidRPr="00D86372">
                    <w:rPr>
                      <w:sz w:val="18"/>
                    </w:rPr>
                    <w:t>33 mg/m</w:t>
                  </w:r>
                  <w:r w:rsidRPr="00D86372">
                    <w:rPr>
                      <w:sz w:val="18"/>
                      <w:vertAlign w:val="superscript"/>
                    </w:rPr>
                    <w:t>3</w:t>
                  </w:r>
                  <w:r w:rsidRPr="00D86372">
                    <w:rPr>
                      <w:sz w:val="18"/>
                    </w:rPr>
                    <w:t xml:space="preserve"> (rats, 4 h/d for 5</w:t>
                  </w:r>
                  <w:r w:rsidR="00AD5AA3" w:rsidRPr="00D86372">
                    <w:rPr>
                      <w:sz w:val="18"/>
                    </w:rPr>
                    <w:t> </w:t>
                  </w:r>
                  <w:r w:rsidRPr="00D86372">
                    <w:rPr>
                      <w:sz w:val="18"/>
                    </w:rPr>
                    <w:t>d)</w:t>
                  </w:r>
                </w:p>
              </w:tc>
              <w:tc>
                <w:tcPr>
                  <w:tcW w:w="1850" w:type="dxa"/>
                </w:tcPr>
                <w:p w14:paraId="751B90BA" w14:textId="77777777" w:rsidR="00597E44" w:rsidRPr="00D86372" w:rsidRDefault="00597E44" w:rsidP="00597E44">
                  <w:pPr>
                    <w:pStyle w:val="Tabletextprimarysource"/>
                    <w:rPr>
                      <w:sz w:val="18"/>
                    </w:rPr>
                  </w:pPr>
                </w:p>
              </w:tc>
              <w:tc>
                <w:tcPr>
                  <w:tcW w:w="2195" w:type="dxa"/>
                </w:tcPr>
                <w:p w14:paraId="3D8C1699" w14:textId="77777777" w:rsidR="00597E44" w:rsidRPr="00D86372" w:rsidRDefault="00597E44" w:rsidP="00597E44">
                  <w:pPr>
                    <w:pStyle w:val="Tabletextprimarysource"/>
                    <w:rPr>
                      <w:sz w:val="18"/>
                    </w:rPr>
                  </w:pPr>
                </w:p>
              </w:tc>
            </w:tr>
            <w:tr w:rsidR="00D16ECC" w14:paraId="3F20AADA" w14:textId="77777777" w:rsidTr="00597E44">
              <w:tc>
                <w:tcPr>
                  <w:tcW w:w="2195" w:type="dxa"/>
                </w:tcPr>
                <w:p w14:paraId="52376EDA" w14:textId="77777777" w:rsidR="00D16ECC" w:rsidRPr="00D86372" w:rsidRDefault="00D16ECC" w:rsidP="00597E44">
                  <w:pPr>
                    <w:pStyle w:val="Tabletextprimarysource"/>
                    <w:rPr>
                      <w:sz w:val="18"/>
                    </w:rPr>
                  </w:pPr>
                </w:p>
              </w:tc>
              <w:tc>
                <w:tcPr>
                  <w:tcW w:w="2540" w:type="dxa"/>
                </w:tcPr>
                <w:p w14:paraId="33A492B6" w14:textId="77777777" w:rsidR="00D16ECC" w:rsidRPr="00D86372" w:rsidRDefault="00D16ECC" w:rsidP="00597E44">
                  <w:pPr>
                    <w:pStyle w:val="Tabletextprimarysource"/>
                    <w:rPr>
                      <w:sz w:val="18"/>
                    </w:rPr>
                  </w:pPr>
                </w:p>
              </w:tc>
              <w:tc>
                <w:tcPr>
                  <w:tcW w:w="1850" w:type="dxa"/>
                </w:tcPr>
                <w:p w14:paraId="4B9D3113" w14:textId="6047C904" w:rsidR="00D16ECC" w:rsidRPr="00D86372" w:rsidRDefault="00D16ECC" w:rsidP="00D13F33">
                  <w:pPr>
                    <w:pStyle w:val="ListBullet"/>
                    <w:numPr>
                      <w:ilvl w:val="0"/>
                      <w:numId w:val="0"/>
                    </w:numPr>
                    <w:spacing w:before="60" w:after="60"/>
                    <w:contextualSpacing w:val="0"/>
                    <w:rPr>
                      <w:sz w:val="18"/>
                    </w:rPr>
                  </w:pPr>
                  <w:r w:rsidRPr="00D86372">
                    <w:rPr>
                      <w:sz w:val="18"/>
                    </w:rPr>
                    <w:t>Moderate skin and eye irritation in rabbits</w:t>
                  </w:r>
                </w:p>
              </w:tc>
              <w:tc>
                <w:tcPr>
                  <w:tcW w:w="2195" w:type="dxa"/>
                </w:tcPr>
                <w:p w14:paraId="68708163" w14:textId="77777777" w:rsidR="00D16ECC" w:rsidRPr="00D86372" w:rsidRDefault="00D16ECC" w:rsidP="00597E44">
                  <w:pPr>
                    <w:pStyle w:val="Tabletextprimarysource"/>
                    <w:rPr>
                      <w:sz w:val="18"/>
                    </w:rPr>
                  </w:pPr>
                </w:p>
              </w:tc>
            </w:tr>
            <w:tr w:rsidR="00D16ECC" w14:paraId="088F001C" w14:textId="77777777" w:rsidTr="00597E44">
              <w:tc>
                <w:tcPr>
                  <w:tcW w:w="2195" w:type="dxa"/>
                </w:tcPr>
                <w:p w14:paraId="20186533" w14:textId="77777777" w:rsidR="00D16ECC" w:rsidRPr="00D86372" w:rsidRDefault="00D16ECC" w:rsidP="00597E44">
                  <w:pPr>
                    <w:pStyle w:val="Tabletextprimarysource"/>
                    <w:rPr>
                      <w:sz w:val="18"/>
                    </w:rPr>
                  </w:pPr>
                </w:p>
              </w:tc>
              <w:tc>
                <w:tcPr>
                  <w:tcW w:w="2540" w:type="dxa"/>
                </w:tcPr>
                <w:p w14:paraId="62EF2660" w14:textId="77777777" w:rsidR="00D16ECC" w:rsidRPr="00D86372" w:rsidRDefault="00D16ECC" w:rsidP="00597E44">
                  <w:pPr>
                    <w:pStyle w:val="Tabletextprimarysource"/>
                    <w:rPr>
                      <w:sz w:val="18"/>
                    </w:rPr>
                  </w:pPr>
                </w:p>
              </w:tc>
              <w:tc>
                <w:tcPr>
                  <w:tcW w:w="1850" w:type="dxa"/>
                </w:tcPr>
                <w:p w14:paraId="0BA00A58" w14:textId="49B8A416" w:rsidR="00D16ECC" w:rsidRPr="00D86372" w:rsidRDefault="00D16ECC" w:rsidP="00D13F33">
                  <w:pPr>
                    <w:pStyle w:val="ListBullet"/>
                    <w:numPr>
                      <w:ilvl w:val="0"/>
                      <w:numId w:val="0"/>
                    </w:numPr>
                    <w:spacing w:before="60" w:after="60"/>
                    <w:contextualSpacing w:val="0"/>
                    <w:rPr>
                      <w:sz w:val="18"/>
                    </w:rPr>
                  </w:pPr>
                  <w:r w:rsidRPr="00D86372">
                    <w:rPr>
                      <w:sz w:val="18"/>
                    </w:rPr>
                    <w:t>Moderate skin sensitisation in guinea pigs</w:t>
                  </w:r>
                </w:p>
              </w:tc>
              <w:tc>
                <w:tcPr>
                  <w:tcW w:w="2195" w:type="dxa"/>
                </w:tcPr>
                <w:p w14:paraId="15B980CD" w14:textId="4B7BAFDE" w:rsidR="00D16ECC" w:rsidRPr="00D86372" w:rsidRDefault="00D14881" w:rsidP="00597E44">
                  <w:pPr>
                    <w:pStyle w:val="Tabletextprimarysource"/>
                    <w:rPr>
                      <w:sz w:val="18"/>
                    </w:rPr>
                  </w:pPr>
                  <w:r w:rsidRPr="00D86372">
                    <w:rPr>
                      <w:sz w:val="18"/>
                    </w:rPr>
                    <w:t>Consideration of a sensitiser notation is warranted, however insufficient data to recommend a skin, sensitiser or carcinogenicity notation</w:t>
                  </w:r>
                </w:p>
              </w:tc>
            </w:tr>
          </w:tbl>
          <w:p w14:paraId="4D9F77C0" w14:textId="47FA8046" w:rsidR="008C2CF0" w:rsidRDefault="008C2CF0" w:rsidP="008C2CF0">
            <w:pPr>
              <w:pStyle w:val="ListBullet"/>
              <w:numPr>
                <w:ilvl w:val="0"/>
                <w:numId w:val="0"/>
              </w:numPr>
              <w:ind w:left="720"/>
            </w:pPr>
          </w:p>
          <w:p w14:paraId="258EACEE" w14:textId="343E76F6" w:rsidR="00BA5141" w:rsidRPr="005E0009" w:rsidRDefault="006B5FEF" w:rsidP="00F12CAF">
            <w:pPr>
              <w:pStyle w:val="Tabletextprimarysource"/>
              <w:rPr>
                <w:b/>
              </w:rPr>
            </w:pPr>
            <w:r w:rsidRPr="00A718B5">
              <w:rPr>
                <w:b/>
              </w:rPr>
              <w:t xml:space="preserve">MDI </w:t>
            </w:r>
            <w:r>
              <w:rPr>
                <w:b/>
              </w:rPr>
              <w:t xml:space="preserve">– </w:t>
            </w:r>
            <w:r w:rsidR="00A718B5" w:rsidRPr="00A718B5">
              <w:rPr>
                <w:b/>
              </w:rPr>
              <w:t>Methylenebisphenyl isocyanate</w:t>
            </w:r>
            <w:r w:rsidR="00A718B5">
              <w:rPr>
                <w:b/>
              </w:rPr>
              <w:t xml:space="preserve"> </w:t>
            </w:r>
          </w:p>
          <w:p w14:paraId="14D24AD0" w14:textId="758652D4" w:rsidR="00CD2411" w:rsidRDefault="00CD2411" w:rsidP="00CD2411">
            <w:pPr>
              <w:pStyle w:val="Tabletextprimarysource"/>
            </w:pPr>
            <w:r>
              <w:t xml:space="preserve">Recommends the 2001 TLV–TWA of 0.005 ppm for TDI be applied to MDI until more information specific to </w:t>
            </w:r>
            <w:r w:rsidR="0064373B">
              <w:t>M</w:t>
            </w:r>
            <w:r>
              <w:t>DI becomes available</w:t>
            </w:r>
          </w:p>
          <w:p w14:paraId="5426E052" w14:textId="27E7488B" w:rsidR="00AD5AA3" w:rsidRDefault="00CD2411" w:rsidP="00F12CAF">
            <w:pPr>
              <w:pStyle w:val="Tabletextprimarysource"/>
            </w:pPr>
            <w:r>
              <w:t>The recommended TLV may not protect susceptible workers from possible sensitisation or an allergic reaction in previously sensitised individuals</w:t>
            </w:r>
            <w:r w:rsidR="00635E84">
              <w:t>.</w:t>
            </w:r>
            <w:r>
              <w:t xml:space="preserve"> </w:t>
            </w:r>
            <w:r w:rsidR="00AD5AA3">
              <w:t>The recommended TLV may not protect susceptible workers from possible sensitisation or an allergic reaction in previously sensitised individuals</w:t>
            </w:r>
          </w:p>
          <w:p w14:paraId="604B0663" w14:textId="77777777" w:rsidR="00BA5141" w:rsidRDefault="00BA5141" w:rsidP="00F12CAF">
            <w:pPr>
              <w:pStyle w:val="Tabletextprimarysource"/>
              <w:rPr>
                <w:b/>
              </w:rPr>
            </w:pPr>
          </w:p>
          <w:p w14:paraId="7A6F9997" w14:textId="523B3396" w:rsidR="002045F2" w:rsidRPr="00F12CAF" w:rsidRDefault="00A718B5" w:rsidP="00F12CAF">
            <w:pPr>
              <w:pStyle w:val="Tabletextprimarysource"/>
              <w:rPr>
                <w:b/>
              </w:rPr>
            </w:pPr>
            <w:r>
              <w:rPr>
                <w:b/>
              </w:rPr>
              <w:t>HMDI</w:t>
            </w:r>
            <w:r w:rsidRPr="00A718B5">
              <w:rPr>
                <w:b/>
              </w:rPr>
              <w:t xml:space="preserve"> </w:t>
            </w:r>
            <w:r>
              <w:rPr>
                <w:b/>
              </w:rPr>
              <w:t xml:space="preserve">– </w:t>
            </w:r>
            <w:r w:rsidRPr="00A718B5">
              <w:rPr>
                <w:b/>
              </w:rPr>
              <w:t>Dicyclohexylmethane</w:t>
            </w:r>
            <w:r w:rsidR="00D61783">
              <w:rPr>
                <w:b/>
              </w:rPr>
              <w:t xml:space="preserve"> 4,4'-diisocyanate</w:t>
            </w:r>
          </w:p>
          <w:p w14:paraId="2569D084" w14:textId="5BF70312" w:rsidR="009E1831" w:rsidRDefault="009E1831" w:rsidP="009E1831">
            <w:pPr>
              <w:pStyle w:val="Tabletextprimarysource"/>
            </w:pPr>
            <w:r>
              <w:t>Recommends the 2001 TLV–TWA of 0.005 ppm for TDI be applied to HMDI until more information specific to HMDI becomes available</w:t>
            </w:r>
          </w:p>
          <w:p w14:paraId="534C7D4E" w14:textId="4FE42603" w:rsidR="00AD5AA3" w:rsidRDefault="009E1831" w:rsidP="00206FA6">
            <w:pPr>
              <w:pStyle w:val="Tabletextprimarysource"/>
            </w:pPr>
            <w:r>
              <w:t>The recommended TLV may not protect susceptible workers from possible sensitisation or an allergic reaction in previously sensitised individuals</w:t>
            </w:r>
            <w:r w:rsidR="00E7783B">
              <w:t>.</w:t>
            </w:r>
          </w:p>
          <w:p w14:paraId="58053E68" w14:textId="77777777" w:rsidR="00E7783B" w:rsidRDefault="00E7783B" w:rsidP="00206FA6">
            <w:pPr>
              <w:pStyle w:val="Tabletextprimarysource"/>
              <w:rPr>
                <w:b/>
              </w:rPr>
            </w:pPr>
          </w:p>
          <w:p w14:paraId="3E129F92" w14:textId="12D6B347" w:rsidR="002C5148" w:rsidRDefault="00A718B5" w:rsidP="00206FA6">
            <w:pPr>
              <w:pStyle w:val="Tabletextprimarysource"/>
              <w:rPr>
                <w:b/>
              </w:rPr>
            </w:pPr>
            <w:r w:rsidRPr="002C5148">
              <w:rPr>
                <w:b/>
              </w:rPr>
              <w:t>TDI</w:t>
            </w:r>
            <w:r>
              <w:rPr>
                <w:b/>
              </w:rPr>
              <w:t xml:space="preserve"> (</w:t>
            </w:r>
            <w:r w:rsidRPr="002C5148">
              <w:rPr>
                <w:b/>
              </w:rPr>
              <w:t>2,4- or 2,6-</w:t>
            </w:r>
            <w:r>
              <w:rPr>
                <w:b/>
              </w:rPr>
              <w:t>)</w:t>
            </w:r>
            <w:r w:rsidRPr="002C5148">
              <w:rPr>
                <w:b/>
              </w:rPr>
              <w:t xml:space="preserve"> or as a mixture</w:t>
            </w:r>
            <w:r w:rsidRPr="00A718B5">
              <w:rPr>
                <w:b/>
              </w:rPr>
              <w:t xml:space="preserve"> </w:t>
            </w:r>
            <w:r>
              <w:rPr>
                <w:b/>
              </w:rPr>
              <w:t xml:space="preserve">– </w:t>
            </w:r>
            <w:r w:rsidRPr="00A718B5">
              <w:rPr>
                <w:b/>
              </w:rPr>
              <w:t>Toluene-2,4-diisocyanate</w:t>
            </w:r>
            <w:r w:rsidR="00D61783">
              <w:rPr>
                <w:b/>
              </w:rPr>
              <w:t xml:space="preserve">, </w:t>
            </w:r>
            <w:r w:rsidR="00D61783" w:rsidRPr="00D61783">
              <w:rPr>
                <w:b/>
              </w:rPr>
              <w:t>Toluene-2,6-diisocyanate</w:t>
            </w:r>
          </w:p>
          <w:p w14:paraId="4146DED4" w14:textId="7A615731" w:rsidR="0041537A" w:rsidRDefault="0041537A" w:rsidP="00206FA6">
            <w:pPr>
              <w:pStyle w:val="Tabletextprimarysource"/>
            </w:pPr>
            <w:r>
              <w:t>TLV-TWA and TLV-STEL are derived from human data, supported by animal data, demonstrating sensitisation potential and induc</w:t>
            </w:r>
            <w:r w:rsidR="00E7783B">
              <w:t>tion of</w:t>
            </w:r>
            <w:r>
              <w:t xml:space="preserve"> occupational asthma</w:t>
            </w:r>
            <w:r w:rsidR="0006070F">
              <w:t xml:space="preserve"> (OA)</w:t>
            </w:r>
            <w:r w:rsidR="007145FC">
              <w:t xml:space="preserve">. </w:t>
            </w:r>
            <w:r w:rsidR="009E1831">
              <w:t>Workers already sensitised may not be protected.</w:t>
            </w:r>
          </w:p>
          <w:p w14:paraId="58A9F156" w14:textId="7681B2A7" w:rsidR="001D4471" w:rsidRDefault="0041537A" w:rsidP="00206FA6">
            <w:pPr>
              <w:pStyle w:val="Tabletextprimarysource"/>
            </w:pPr>
            <w:r>
              <w:t>Summary of data:</w:t>
            </w:r>
          </w:p>
          <w:p w14:paraId="118DA2B0" w14:textId="77777777" w:rsidR="0041537A" w:rsidRDefault="0041537A" w:rsidP="00206FA6">
            <w:pPr>
              <w:pStyle w:val="Tabletextprimarysource"/>
            </w:pPr>
            <w:r>
              <w:t>Human data:</w:t>
            </w:r>
          </w:p>
          <w:p w14:paraId="2C623AC8" w14:textId="029FB384" w:rsidR="007145FC" w:rsidRDefault="00202A52" w:rsidP="00D61783">
            <w:pPr>
              <w:pStyle w:val="ListBullet"/>
              <w:spacing w:before="60" w:after="60"/>
              <w:ind w:left="720" w:hanging="357"/>
              <w:contextualSpacing w:val="0"/>
            </w:pPr>
            <w:r>
              <w:t>Recognis</w:t>
            </w:r>
            <w:r w:rsidR="007145FC">
              <w:t>ed sensitiser following dermal absorption and/or inhalation in the workplace</w:t>
            </w:r>
          </w:p>
          <w:p w14:paraId="0B59CCB1" w14:textId="1E32CAFC" w:rsidR="0006070F" w:rsidRDefault="0041537A" w:rsidP="00D61783">
            <w:pPr>
              <w:pStyle w:val="ListBullet"/>
              <w:spacing w:before="60" w:after="60"/>
              <w:ind w:left="720" w:hanging="357"/>
              <w:contextualSpacing w:val="0"/>
            </w:pPr>
            <w:r>
              <w:t>TDI</w:t>
            </w:r>
            <w:r w:rsidR="0006070F">
              <w:t xml:space="preserve"> </w:t>
            </w:r>
            <w:r>
              <w:t>induced OA incidence</w:t>
            </w:r>
            <w:r w:rsidR="0006070F">
              <w:t xml:space="preserve"> (location unknown</w:t>
            </w:r>
            <w:r w:rsidR="006A7406">
              <w:t>, assumed USA</w:t>
            </w:r>
            <w:r w:rsidR="0006070F">
              <w:t>)</w:t>
            </w:r>
            <w:r w:rsidR="00B60C0D">
              <w:t>:</w:t>
            </w:r>
          </w:p>
          <w:p w14:paraId="2EDC5C61" w14:textId="508F7946" w:rsidR="0006070F" w:rsidRDefault="0006070F" w:rsidP="00D61783">
            <w:pPr>
              <w:pStyle w:val="ListBullet"/>
              <w:numPr>
                <w:ilvl w:val="0"/>
                <w:numId w:val="5"/>
              </w:numPr>
              <w:spacing w:before="60" w:after="60"/>
              <w:ind w:hanging="357"/>
              <w:contextualSpacing w:val="0"/>
            </w:pPr>
            <w:r>
              <w:t xml:space="preserve">5.6% in </w:t>
            </w:r>
            <w:r w:rsidR="0041537A">
              <w:t xml:space="preserve">1961–1970 </w:t>
            </w:r>
            <w:r>
              <w:t>correspond</w:t>
            </w:r>
            <w:r w:rsidR="003A70C3">
              <w:t>ing</w:t>
            </w:r>
            <w:r>
              <w:t xml:space="preserve"> to &gt;0.02 ppm</w:t>
            </w:r>
          </w:p>
          <w:p w14:paraId="1679B782" w14:textId="0AB2B71C" w:rsidR="0006070F" w:rsidRDefault="0041537A" w:rsidP="00D61783">
            <w:pPr>
              <w:pStyle w:val="ListBullet"/>
              <w:numPr>
                <w:ilvl w:val="0"/>
                <w:numId w:val="5"/>
              </w:numPr>
              <w:spacing w:before="60" w:after="60"/>
              <w:ind w:hanging="357"/>
              <w:contextualSpacing w:val="0"/>
            </w:pPr>
            <w:r>
              <w:t xml:space="preserve">1.8% </w:t>
            </w:r>
            <w:r w:rsidR="0006070F">
              <w:t xml:space="preserve">in </w:t>
            </w:r>
            <w:r>
              <w:t>1967–1979</w:t>
            </w:r>
            <w:r w:rsidR="0006070F">
              <w:t xml:space="preserve"> correspond</w:t>
            </w:r>
            <w:r w:rsidR="003A70C3">
              <w:t>ing</w:t>
            </w:r>
            <w:r w:rsidR="0006070F">
              <w:t xml:space="preserve"> to</w:t>
            </w:r>
            <w:r>
              <w:t xml:space="preserve"> </w:t>
            </w:r>
            <w:r w:rsidR="0006070F">
              <w:t>0.0034–0.01 ppm</w:t>
            </w:r>
          </w:p>
          <w:p w14:paraId="39F44B82" w14:textId="26F4FE95" w:rsidR="0006070F" w:rsidRDefault="0006070F" w:rsidP="00D61783">
            <w:pPr>
              <w:pStyle w:val="ListBullet"/>
              <w:numPr>
                <w:ilvl w:val="0"/>
                <w:numId w:val="5"/>
              </w:numPr>
              <w:spacing w:before="60" w:after="60"/>
              <w:ind w:hanging="357"/>
              <w:contextualSpacing w:val="0"/>
            </w:pPr>
            <w:r>
              <w:t xml:space="preserve">0.7% in </w:t>
            </w:r>
            <w:r w:rsidR="0041537A">
              <w:t xml:space="preserve">1980–1996 </w:t>
            </w:r>
            <w:r>
              <w:t>correspond</w:t>
            </w:r>
            <w:r w:rsidR="003A70C3">
              <w:t>ing</w:t>
            </w:r>
            <w:r>
              <w:t xml:space="preserve"> to 0.0003–0.0027 ppm</w:t>
            </w:r>
          </w:p>
          <w:p w14:paraId="30D6A543" w14:textId="0AD0D67E" w:rsidR="007145FC" w:rsidRDefault="007145FC" w:rsidP="00D61783">
            <w:pPr>
              <w:pStyle w:val="ListBullet"/>
              <w:numPr>
                <w:ilvl w:val="0"/>
                <w:numId w:val="5"/>
              </w:numPr>
              <w:spacing w:before="60" w:after="60"/>
              <w:ind w:hanging="357"/>
              <w:contextualSpacing w:val="0"/>
            </w:pPr>
            <w:r>
              <w:t xml:space="preserve">data suggest that efforts to control diisocyanates have reduced the number </w:t>
            </w:r>
            <w:r w:rsidR="001A71BC">
              <w:t>of worker</w:t>
            </w:r>
            <w:r>
              <w:t xml:space="preserve"> OA claims</w:t>
            </w:r>
          </w:p>
          <w:p w14:paraId="1F823788" w14:textId="47BE3CD9" w:rsidR="007145FC" w:rsidRDefault="007145FC" w:rsidP="00D61783">
            <w:pPr>
              <w:pStyle w:val="ListBullet"/>
              <w:numPr>
                <w:ilvl w:val="0"/>
                <w:numId w:val="5"/>
              </w:numPr>
              <w:spacing w:before="60" w:after="60"/>
              <w:ind w:hanging="357"/>
              <w:contextualSpacing w:val="0"/>
            </w:pPr>
            <w:r>
              <w:t>annual OA incidence rates less than 1% since the mid-1970s; when 8-h TDI concentrations &lt;5 ppb as determined by personal monitoring</w:t>
            </w:r>
          </w:p>
          <w:p w14:paraId="043629E5" w14:textId="0B7DB649" w:rsidR="0006070F" w:rsidRDefault="007145FC" w:rsidP="00D61783">
            <w:pPr>
              <w:pStyle w:val="ListBullet"/>
              <w:spacing w:before="60" w:after="60"/>
              <w:ind w:left="720" w:hanging="357"/>
              <w:contextualSpacing w:val="0"/>
            </w:pPr>
            <w:r>
              <w:lastRenderedPageBreak/>
              <w:t>A</w:t>
            </w:r>
            <w:r w:rsidR="006A7406">
              <w:t xml:space="preserve"> study in</w:t>
            </w:r>
            <w:r w:rsidR="00202A52">
              <w:t xml:space="preserve"> </w:t>
            </w:r>
            <w:r w:rsidR="006A7406">
              <w:t>136 workers exposed at &lt;1 ppb</w:t>
            </w:r>
            <w:r w:rsidR="003A70C3">
              <w:t xml:space="preserve"> reported eye</w:t>
            </w:r>
            <w:r w:rsidR="006A7406">
              <w:t xml:space="preserve"> and lower airways</w:t>
            </w:r>
            <w:r w:rsidR="00C43EA1">
              <w:t xml:space="preserve"> irritation</w:t>
            </w:r>
            <w:r w:rsidR="006A7406">
              <w:t xml:space="preserve"> and nose bleeding</w:t>
            </w:r>
            <w:r w:rsidR="00C43EA1">
              <w:t xml:space="preserve"> </w:t>
            </w:r>
          </w:p>
          <w:p w14:paraId="039C0225" w14:textId="77777777" w:rsidR="006A7406" w:rsidRDefault="006A7406" w:rsidP="00D61783">
            <w:pPr>
              <w:pStyle w:val="ListBullet"/>
              <w:spacing w:before="60" w:after="60"/>
              <w:ind w:left="720" w:hanging="357"/>
              <w:contextualSpacing w:val="0"/>
            </w:pPr>
            <w:r>
              <w:t>TLV-STEL based on:</w:t>
            </w:r>
          </w:p>
          <w:p w14:paraId="6AC6AA33" w14:textId="62B840CF" w:rsidR="006A7406" w:rsidRDefault="006A7406" w:rsidP="00D61783">
            <w:pPr>
              <w:pStyle w:val="ListBullet"/>
              <w:numPr>
                <w:ilvl w:val="0"/>
                <w:numId w:val="7"/>
              </w:numPr>
              <w:spacing w:before="60" w:after="60"/>
              <w:ind w:hanging="357"/>
              <w:contextualSpacing w:val="0"/>
            </w:pPr>
            <w:r>
              <w:t>FEV</w:t>
            </w:r>
            <w:r w:rsidRPr="006A7406">
              <w:rPr>
                <w:vertAlign w:val="subscript"/>
              </w:rPr>
              <w:t>1</w:t>
            </w:r>
            <w:r>
              <w:t xml:space="preserve"> reductions reported in workers exposed </w:t>
            </w:r>
            <w:r w:rsidR="00710735">
              <w:t>at</w:t>
            </w:r>
            <w:r>
              <w:t xml:space="preserve"> 0.002–0.003 ppm TDI</w:t>
            </w:r>
          </w:p>
          <w:p w14:paraId="305EC15E" w14:textId="5578B8EB" w:rsidR="006A7406" w:rsidRDefault="006A7406" w:rsidP="00D61783">
            <w:pPr>
              <w:pStyle w:val="ListBullet"/>
              <w:numPr>
                <w:ilvl w:val="0"/>
                <w:numId w:val="7"/>
              </w:numPr>
              <w:spacing w:before="60" w:after="60"/>
              <w:ind w:hanging="357"/>
              <w:contextualSpacing w:val="0"/>
            </w:pPr>
            <w:r>
              <w:t>no consistent evidence of accelerated FEV</w:t>
            </w:r>
            <w:r w:rsidRPr="006A7406">
              <w:rPr>
                <w:vertAlign w:val="subscript"/>
              </w:rPr>
              <w:t>1</w:t>
            </w:r>
            <w:r>
              <w:t xml:space="preserve"> loss in workers exposed up to 0.005 ppm TDI; longitudinal studies with ongoing medical surveillance</w:t>
            </w:r>
            <w:r w:rsidR="00202A52">
              <w:t>.</w:t>
            </w:r>
          </w:p>
          <w:p w14:paraId="61B8B129" w14:textId="1B25CE66" w:rsidR="006A7406" w:rsidRDefault="006A7406" w:rsidP="006A7406">
            <w:pPr>
              <w:pStyle w:val="Tabletextprimarysource"/>
            </w:pPr>
            <w:r>
              <w:t>Animal data:</w:t>
            </w:r>
          </w:p>
          <w:p w14:paraId="146BCF50" w14:textId="75BA4B3A" w:rsidR="006A7406" w:rsidRDefault="006A7406" w:rsidP="00D61783">
            <w:pPr>
              <w:pStyle w:val="ListBullet"/>
              <w:spacing w:before="60" w:after="60"/>
              <w:ind w:left="692" w:hanging="357"/>
              <w:contextualSpacing w:val="0"/>
            </w:pPr>
            <w:r>
              <w:t xml:space="preserve">Guinea pigs exposed </w:t>
            </w:r>
            <w:r w:rsidR="00C43EA1">
              <w:t xml:space="preserve">at </w:t>
            </w:r>
            <w:r w:rsidR="00202A52">
              <w:t>~1.3 ppm TDI, 3 h/d for 5 d</w:t>
            </w:r>
            <w:r>
              <w:t>; increase breathing rate as a measu</w:t>
            </w:r>
            <w:r w:rsidR="00202A52">
              <w:t>re of respiratory sensitisation. C</w:t>
            </w:r>
            <w:r>
              <w:t>hallenge ex</w:t>
            </w:r>
            <w:r w:rsidR="00202A52">
              <w:t>posures of 18 to 46 ppb at 1-wk intervals following the 5-d</w:t>
            </w:r>
            <w:r>
              <w:t xml:space="preserve"> exposures produced both immediate and delayed</w:t>
            </w:r>
            <w:r w:rsidR="005D1FFB">
              <w:t>-</w:t>
            </w:r>
            <w:r>
              <w:t>type hypersensitivity</w:t>
            </w:r>
          </w:p>
          <w:p w14:paraId="195D53F6" w14:textId="2E66B3EF" w:rsidR="005D1FFB" w:rsidRDefault="005D1FFB" w:rsidP="00D61783">
            <w:pPr>
              <w:pStyle w:val="ListBullet"/>
              <w:spacing w:before="60" w:after="60"/>
              <w:ind w:left="692" w:hanging="357"/>
              <w:contextualSpacing w:val="0"/>
            </w:pPr>
            <w:r>
              <w:t>Ability to cause respiratory hypersensitivity following dermal exposure</w:t>
            </w:r>
            <w:r w:rsidR="0062107D">
              <w:t>:</w:t>
            </w:r>
            <w:r>
              <w:t xml:space="preserve"> no further information</w:t>
            </w:r>
          </w:p>
          <w:p w14:paraId="0ACCC755" w14:textId="2BFE1CD2" w:rsidR="005D1FFB" w:rsidRDefault="005D1FFB" w:rsidP="00D61783">
            <w:pPr>
              <w:pStyle w:val="ListBullet"/>
              <w:spacing w:before="60" w:after="60"/>
              <w:ind w:left="692" w:hanging="357"/>
              <w:contextualSpacing w:val="0"/>
            </w:pPr>
            <w:r>
              <w:t>Rats and mice exposed via inhalation at up to 0.15 ppm; 6 h/d, 5 d/wk</w:t>
            </w:r>
            <w:r w:rsidR="00C52972">
              <w:t>,</w:t>
            </w:r>
            <w:r>
              <w:t xml:space="preserve"> 110 wk; no increase in tumours</w:t>
            </w:r>
          </w:p>
          <w:p w14:paraId="094E10FE" w14:textId="324650D5" w:rsidR="006B29DC" w:rsidRPr="0041537A" w:rsidRDefault="005D1FFB" w:rsidP="00D61783">
            <w:pPr>
              <w:pStyle w:val="ListBullet"/>
              <w:spacing w:before="60" w:after="60"/>
              <w:ind w:left="692" w:hanging="357"/>
              <w:contextualSpacing w:val="0"/>
            </w:pPr>
            <w:r>
              <w:t>Oral gavage exposures of mice (105 wk) and rats (106 wk) produced an increase in tumours at multiple sites; likely to be a consequence of the toluene diamines formed from TDI in the acidic environment of the gastrointestinal tract; not relevant to occupational exposure</w:t>
            </w:r>
            <w:r w:rsidR="00202A52">
              <w:t>.</w:t>
            </w:r>
          </w:p>
        </w:tc>
      </w:tr>
      <w:tr w:rsidR="00C978F0" w:rsidRPr="00EC16B1" w14:paraId="69CA73D1" w14:textId="77777777" w:rsidTr="00B45129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4229297B" w14:textId="77777777" w:rsidR="00784A01" w:rsidRDefault="00DA352E" w:rsidP="00306EB2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1425571015"/>
                <w:placeholder>
                  <w:docPart w:val="6BA97CEF27614643BA529D930D1B1D57"/>
                </w:placeholder>
                <w:text/>
              </w:sdtPr>
              <w:sdtEndPr/>
              <w:sdtContent>
                <w:r w:rsidR="00306EB2">
                  <w:t>2013</w:t>
                </w:r>
              </w:sdtContent>
            </w:sdt>
            <w:r w:rsidR="00306EB2" w:rsidRPr="003365A5">
              <w:tab/>
            </w:r>
            <w:r w:rsidR="00306EB2">
              <w:tab/>
            </w:r>
            <w:r w:rsidR="00784A01" w:rsidRPr="00784A01">
              <w:rPr>
                <w:u w:val="single"/>
              </w:rPr>
              <w:t>Hexamethylene diisocyanate</w:t>
            </w:r>
            <w:r w:rsidR="00784A01" w:rsidRPr="00784A01">
              <w:t xml:space="preserve"> </w:t>
            </w:r>
          </w:p>
          <w:p w14:paraId="2443CF97" w14:textId="6612D454" w:rsidR="00306EB2" w:rsidRDefault="00784A01" w:rsidP="00306EB2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>
              <w:tab/>
            </w:r>
            <w:r>
              <w:tab/>
            </w:r>
            <w:r>
              <w:tab/>
            </w:r>
            <w:r w:rsidR="00306EB2">
              <w:t>MAK: 0.005 ppm (0.035</w:t>
            </w:r>
            <w:r w:rsidR="00306EB2" w:rsidRPr="007B3245">
              <w:t xml:space="preserve"> mg/m</w:t>
            </w:r>
            <w:r w:rsidR="00306EB2" w:rsidRPr="007B3245">
              <w:rPr>
                <w:vertAlign w:val="superscript"/>
              </w:rPr>
              <w:t>3</w:t>
            </w:r>
            <w:r w:rsidR="00306EB2" w:rsidRPr="007B3245">
              <w:t>)</w:t>
            </w:r>
            <w:r w:rsidR="00306EB2">
              <w:t xml:space="preserve"> </w:t>
            </w:r>
          </w:p>
          <w:p w14:paraId="41944F53" w14:textId="223B7536" w:rsidR="00306EB2" w:rsidRDefault="00306EB2" w:rsidP="00306EB2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>
              <w:t xml:space="preserve">                                                   </w:t>
            </w:r>
            <w:r w:rsidRPr="007B3245">
              <w:t xml:space="preserve">Momentary Value </w:t>
            </w:r>
            <w:r>
              <w:t>0.01 ppm (</w:t>
            </w:r>
            <w:r w:rsidRPr="007B3245">
              <w:t>0.07 mg/m</w:t>
            </w:r>
            <w:r w:rsidRPr="007B3245">
              <w:rPr>
                <w:vertAlign w:val="superscript"/>
              </w:rPr>
              <w:t>3</w:t>
            </w:r>
            <w:r w:rsidR="00784A01">
              <w:t xml:space="preserve">) </w:t>
            </w:r>
          </w:p>
          <w:p w14:paraId="4876BDE8" w14:textId="675C83B8" w:rsidR="00784A01" w:rsidRPr="00784A01" w:rsidRDefault="00306EB2" w:rsidP="007D421A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b/>
                <w:i/>
                <w:u w:val="single"/>
              </w:rPr>
            </w:pPr>
            <w:r>
              <w:t xml:space="preserve">                                                   </w:t>
            </w:r>
            <w:r w:rsidR="00784A01" w:rsidRPr="00784A01">
              <w:rPr>
                <w:b/>
                <w:i/>
                <w:u w:val="single"/>
              </w:rPr>
              <w:t>Diisocyanate Grouping</w:t>
            </w:r>
          </w:p>
          <w:p w14:paraId="5EB1BA56" w14:textId="202F2CB8" w:rsidR="007D421A" w:rsidRDefault="00784A01" w:rsidP="007D421A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b/>
              </w:rPr>
            </w:pP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 w:rsidR="00306EB2" w:rsidRPr="00306EB2">
              <w:rPr>
                <w:b/>
                <w:i/>
              </w:rPr>
              <w:t>MAK:</w:t>
            </w:r>
            <w:r w:rsidR="00E3409B">
              <w:rPr>
                <w:b/>
                <w:i/>
              </w:rPr>
              <w:t xml:space="preserve"> </w:t>
            </w:r>
            <w:r w:rsidR="00E3409B">
              <w:rPr>
                <w:b/>
              </w:rPr>
              <w:t xml:space="preserve">TWA 0.01 ppm </w:t>
            </w:r>
          </w:p>
          <w:p w14:paraId="620C0E37" w14:textId="63361DE8" w:rsidR="007D421A" w:rsidRDefault="007D421A" w:rsidP="007D421A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b/>
              </w:rPr>
            </w:pPr>
            <w:r>
              <w:rPr>
                <w:b/>
                <w:i/>
              </w:rPr>
              <w:t xml:space="preserve">                                                    </w:t>
            </w:r>
            <w:r w:rsidR="00E3409B">
              <w:rPr>
                <w:b/>
              </w:rPr>
              <w:t>IPDI (0.09 mg/m</w:t>
            </w:r>
            <w:r w:rsidR="00E3409B">
              <w:rPr>
                <w:b/>
                <w:vertAlign w:val="superscript"/>
              </w:rPr>
              <w:t>3</w:t>
            </w:r>
            <w:r w:rsidR="00E3409B">
              <w:rPr>
                <w:b/>
              </w:rPr>
              <w:t>),</w:t>
            </w:r>
            <w:r w:rsidR="00E3409B">
              <w:rPr>
                <w:b/>
                <w:i/>
              </w:rPr>
              <w:t xml:space="preserve"> </w:t>
            </w:r>
            <w:r w:rsidR="00E3409B">
              <w:rPr>
                <w:b/>
              </w:rPr>
              <w:t>MDI (0.1 mg/m</w:t>
            </w:r>
            <w:r w:rsidR="00E3409B">
              <w:rPr>
                <w:b/>
                <w:vertAlign w:val="superscript"/>
              </w:rPr>
              <w:t>3</w:t>
            </w:r>
            <w:r w:rsidR="00E3409B">
              <w:rPr>
                <w:b/>
              </w:rPr>
              <w:t>),</w:t>
            </w:r>
          </w:p>
          <w:p w14:paraId="6795682D" w14:textId="7A6F9151" w:rsidR="00C978F0" w:rsidRPr="00F24EED" w:rsidRDefault="00E3409B" w:rsidP="007D421A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b/>
                <w:lang w:val="it-IT"/>
              </w:rPr>
            </w:pPr>
            <w:r>
              <w:rPr>
                <w:b/>
              </w:rPr>
              <w:t xml:space="preserve"> </w:t>
            </w:r>
            <w:r w:rsidR="007D421A">
              <w:rPr>
                <w:b/>
              </w:rPr>
              <w:t xml:space="preserve">                                                   </w:t>
            </w:r>
            <w:r w:rsidRPr="00F24EED">
              <w:rPr>
                <w:b/>
                <w:lang w:val="it-IT"/>
              </w:rPr>
              <w:t>NDI (0.09 mg/m</w:t>
            </w:r>
            <w:r w:rsidRPr="00F24EED">
              <w:rPr>
                <w:b/>
                <w:vertAlign w:val="superscript"/>
                <w:lang w:val="it-IT"/>
              </w:rPr>
              <w:t>3</w:t>
            </w:r>
            <w:r w:rsidRPr="00F24EED">
              <w:rPr>
                <w:b/>
                <w:lang w:val="it-IT"/>
              </w:rPr>
              <w:t>), TDI (0.07 mg/m</w:t>
            </w:r>
            <w:r w:rsidRPr="00F24EED">
              <w:rPr>
                <w:b/>
                <w:vertAlign w:val="superscript"/>
                <w:lang w:val="it-IT"/>
              </w:rPr>
              <w:t>3</w:t>
            </w:r>
            <w:r w:rsidRPr="00F24EED">
              <w:rPr>
                <w:b/>
                <w:lang w:val="it-IT"/>
              </w:rPr>
              <w:t>)</w:t>
            </w:r>
          </w:p>
        </w:tc>
      </w:tr>
      <w:tr w:rsidR="00C978F0" w:rsidRPr="00DA352E" w14:paraId="5E9DE1EA" w14:textId="77777777" w:rsidTr="00B45129">
        <w:trPr>
          <w:gridAfter w:val="1"/>
          <w:wAfter w:w="8" w:type="pct"/>
        </w:trPr>
        <w:tc>
          <w:tcPr>
            <w:tcW w:w="4992" w:type="pct"/>
          </w:tcPr>
          <w:p w14:paraId="428934CC" w14:textId="67E1F6C1" w:rsidR="00784A01" w:rsidRDefault="00784A01" w:rsidP="007B3245">
            <w:pPr>
              <w:pStyle w:val="Tabletextprimarysource"/>
            </w:pPr>
            <w:r>
              <w:t>Two MAK value documents date</w:t>
            </w:r>
            <w:r w:rsidR="0058439A">
              <w:t>d 2013 have been sourced:</w:t>
            </w:r>
          </w:p>
          <w:p w14:paraId="4FA7C222" w14:textId="2F2E1D14" w:rsidR="00784A01" w:rsidRPr="00784A01" w:rsidRDefault="00784A01" w:rsidP="00784A01">
            <w:pPr>
              <w:pStyle w:val="Tabletextprimarysource"/>
              <w:numPr>
                <w:ilvl w:val="0"/>
                <w:numId w:val="21"/>
              </w:numPr>
            </w:pPr>
            <w:r w:rsidRPr="00784A01">
              <w:t>Hexamethylene diisocyanate</w:t>
            </w:r>
            <w:r>
              <w:t xml:space="preserve"> </w:t>
            </w:r>
          </w:p>
          <w:p w14:paraId="0A97D11B" w14:textId="42DA66D5" w:rsidR="00784A01" w:rsidRPr="00784A01" w:rsidRDefault="00784A01" w:rsidP="00784A01">
            <w:pPr>
              <w:pStyle w:val="Tabletextprimarysource"/>
              <w:numPr>
                <w:ilvl w:val="0"/>
                <w:numId w:val="21"/>
              </w:numPr>
            </w:pPr>
            <w:r>
              <w:t>Diisocyanates including HDI</w:t>
            </w:r>
          </w:p>
          <w:p w14:paraId="1E7EF3E7" w14:textId="4A706097" w:rsidR="0058439A" w:rsidRPr="00D86372" w:rsidRDefault="0058439A" w:rsidP="007B3245">
            <w:pPr>
              <w:pStyle w:val="Tabletextprimarysource"/>
            </w:pPr>
            <w:r>
              <w:t xml:space="preserve">It is not clear why HDI has been recommended </w:t>
            </w:r>
            <w:r w:rsidR="00D86372">
              <w:t>in two</w:t>
            </w:r>
            <w:r>
              <w:t xml:space="preserve"> different MAK values, but it appears the stand</w:t>
            </w:r>
            <w:r w:rsidR="00C52972">
              <w:t>-</w:t>
            </w:r>
            <w:r>
              <w:t>alone MAK applies at this point</w:t>
            </w:r>
            <w:r w:rsidR="00920EAA">
              <w:t>.</w:t>
            </w:r>
          </w:p>
          <w:p w14:paraId="4B84CF79" w14:textId="77777777" w:rsidR="0058439A" w:rsidRDefault="0058439A" w:rsidP="007B3245">
            <w:pPr>
              <w:pStyle w:val="Tabletextprimarysource"/>
              <w:rPr>
                <w:b/>
              </w:rPr>
            </w:pPr>
          </w:p>
          <w:p w14:paraId="22FA4CE1" w14:textId="15F374E0" w:rsidR="00B542E3" w:rsidRPr="007D421A" w:rsidRDefault="005E0009" w:rsidP="007B3245">
            <w:pPr>
              <w:pStyle w:val="Tabletextprimarysource"/>
              <w:rPr>
                <w:b/>
              </w:rPr>
            </w:pPr>
            <w:r w:rsidRPr="005E0009">
              <w:rPr>
                <w:b/>
              </w:rPr>
              <w:t>Hexamethylene diisocyanate</w:t>
            </w:r>
            <w:r w:rsidR="0058439A">
              <w:rPr>
                <w:b/>
              </w:rPr>
              <w:t xml:space="preserve"> (HDI) - </w:t>
            </w:r>
            <w:r w:rsidR="0058439A" w:rsidRPr="0058439A">
              <w:rPr>
                <w:b/>
              </w:rPr>
              <w:t>0.005 ppm (0.035 mg/m</w:t>
            </w:r>
            <w:r w:rsidR="0058439A" w:rsidRPr="0058439A">
              <w:rPr>
                <w:b/>
                <w:vertAlign w:val="superscript"/>
              </w:rPr>
              <w:t>3</w:t>
            </w:r>
            <w:r w:rsidR="0058439A" w:rsidRPr="0058439A">
              <w:rPr>
                <w:b/>
              </w:rPr>
              <w:t>)</w:t>
            </w:r>
          </w:p>
          <w:p w14:paraId="5A547721" w14:textId="08EA64D0" w:rsidR="00BA72CD" w:rsidRDefault="007B3245" w:rsidP="007B3245">
            <w:pPr>
              <w:pStyle w:val="Tabletextprimarysource"/>
            </w:pPr>
            <w:r>
              <w:t>Summary of additional data:</w:t>
            </w:r>
          </w:p>
          <w:p w14:paraId="7D43D6FF" w14:textId="543653F3" w:rsidR="0058439A" w:rsidRDefault="0058439A" w:rsidP="00D61783">
            <w:pPr>
              <w:pStyle w:val="ListBullet"/>
              <w:spacing w:before="60" w:after="60"/>
              <w:ind w:left="714" w:hanging="357"/>
              <w:contextualSpacing w:val="0"/>
            </w:pPr>
            <w:r>
              <w:t>MAK value reduced to 0.005 ppm; not expected to produce irritant effects</w:t>
            </w:r>
            <w:r w:rsidR="00C52972">
              <w:t>:</w:t>
            </w:r>
          </w:p>
          <w:p w14:paraId="2861C972" w14:textId="0A95183C" w:rsidR="0058439A" w:rsidRDefault="0058439A" w:rsidP="0058439A">
            <w:pPr>
              <w:pStyle w:val="ListBullet"/>
              <w:numPr>
                <w:ilvl w:val="0"/>
                <w:numId w:val="22"/>
              </w:numPr>
              <w:spacing w:before="60" w:after="60"/>
              <w:contextualSpacing w:val="0"/>
            </w:pPr>
            <w:r>
              <w:t>does not apply for persons with non-specific bronchial hyperreactivity or allergic HDI hypersensitivity, as minimal HDI concentrations are already able to provoke bronchospastic condition</w:t>
            </w:r>
          </w:p>
          <w:p w14:paraId="1BF36E1D" w14:textId="2F3AC928" w:rsidR="007B3245" w:rsidRDefault="007B3245" w:rsidP="00D61783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Short-term exposure </w:t>
            </w:r>
            <w:r w:rsidR="00C43EA1">
              <w:t xml:space="preserve">at </w:t>
            </w:r>
            <w:r w:rsidR="00423D2B">
              <w:t>0.02 ppm (</w:t>
            </w:r>
            <w:r>
              <w:t>0.14</w:t>
            </w:r>
            <w:r w:rsidR="00423D2B">
              <w:t xml:space="preserve"> </w:t>
            </w:r>
            <w:r>
              <w:t>mg/m</w:t>
            </w:r>
            <w:r w:rsidRPr="005904B0">
              <w:rPr>
                <w:vertAlign w:val="superscript"/>
              </w:rPr>
              <w:t>3</w:t>
            </w:r>
            <w:r w:rsidR="00423D2B">
              <w:t>)</w:t>
            </w:r>
            <w:r>
              <w:t xml:space="preserve"> </w:t>
            </w:r>
            <w:r w:rsidR="00E30C5B">
              <w:t>in</w:t>
            </w:r>
            <w:r>
              <w:t xml:space="preserve"> human volunteers</w:t>
            </w:r>
            <w:r w:rsidRPr="002E7953">
              <w:t>;</w:t>
            </w:r>
            <w:r>
              <w:rPr>
                <w:vertAlign w:val="superscript"/>
              </w:rPr>
              <w:t xml:space="preserve"> </w:t>
            </w:r>
            <w:r>
              <w:t xml:space="preserve">mild irritant effects in the eye; perceived by smell at this concentration; marked irritation of eye and throat at </w:t>
            </w:r>
            <w:r w:rsidR="00423D2B">
              <w:t>0.1</w:t>
            </w:r>
            <w:r w:rsidR="00E30C5B">
              <w:t> </w:t>
            </w:r>
            <w:r w:rsidR="00423D2B">
              <w:t>ppm (</w:t>
            </w:r>
            <w:r>
              <w:t>0.7 mg/m</w:t>
            </w:r>
            <w:r w:rsidRPr="00741D5C">
              <w:rPr>
                <w:vertAlign w:val="superscript"/>
              </w:rPr>
              <w:t>3</w:t>
            </w:r>
            <w:r w:rsidR="00423D2B">
              <w:t>)</w:t>
            </w:r>
            <w:r>
              <w:t xml:space="preserve"> (no further information)</w:t>
            </w:r>
          </w:p>
          <w:p w14:paraId="64D41724" w14:textId="445262B3" w:rsidR="007B3245" w:rsidRDefault="007B3245" w:rsidP="00D61783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No symptoms observed in volunteers exposed </w:t>
            </w:r>
            <w:r w:rsidR="006A63FD">
              <w:t>at ~</w:t>
            </w:r>
            <w:r w:rsidR="0015798E">
              <w:t>0.0035 ppm (</w:t>
            </w:r>
            <w:r>
              <w:t>0.025 mg/m</w:t>
            </w:r>
            <w:r>
              <w:rPr>
                <w:vertAlign w:val="superscript"/>
              </w:rPr>
              <w:t>3</w:t>
            </w:r>
            <w:r w:rsidR="0015798E">
              <w:t>)</w:t>
            </w:r>
            <w:r w:rsidR="006A63FD">
              <w:t>;</w:t>
            </w:r>
            <w:r>
              <w:t xml:space="preserve"> </w:t>
            </w:r>
            <w:r w:rsidR="006A63FD">
              <w:t xml:space="preserve">single exposure </w:t>
            </w:r>
            <w:r>
              <w:t>for 7.5 h</w:t>
            </w:r>
          </w:p>
          <w:p w14:paraId="37889A4B" w14:textId="42C6D1B3" w:rsidR="007B3245" w:rsidRDefault="007B3245" w:rsidP="00D61783">
            <w:pPr>
              <w:pStyle w:val="ListBullet"/>
              <w:spacing w:before="60" w:after="60"/>
              <w:ind w:left="714" w:hanging="357"/>
              <w:contextualSpacing w:val="0"/>
            </w:pPr>
            <w:r>
              <w:t>Epidemiological study: irritation to eye, nose and throat reported at concentrations of 0.001</w:t>
            </w:r>
            <w:r w:rsidR="00E30C5B">
              <w:t> </w:t>
            </w:r>
            <w:r>
              <w:t>mg/m</w:t>
            </w:r>
            <w:r w:rsidRPr="002E7953">
              <w:rPr>
                <w:vertAlign w:val="superscript"/>
              </w:rPr>
              <w:t>3</w:t>
            </w:r>
            <w:r>
              <w:t xml:space="preserve"> including short-term peaks exceeding this value (no further information)</w:t>
            </w:r>
          </w:p>
          <w:p w14:paraId="0E93FD66" w14:textId="77777777" w:rsidR="007B3245" w:rsidRDefault="007B3245" w:rsidP="00D61783">
            <w:pPr>
              <w:pStyle w:val="ListBullet"/>
              <w:spacing w:before="60" w:after="60"/>
              <w:ind w:left="714" w:hanging="357"/>
              <w:contextualSpacing w:val="0"/>
            </w:pPr>
            <w:r>
              <w:t>Sensitisation of the airways reported in humans</w:t>
            </w:r>
          </w:p>
          <w:p w14:paraId="7023B031" w14:textId="1B00B4EF" w:rsidR="007B3245" w:rsidRDefault="007B3245" w:rsidP="00D61783">
            <w:pPr>
              <w:pStyle w:val="ListBullet"/>
              <w:spacing w:before="60" w:after="60"/>
              <w:ind w:left="714" w:hanging="357"/>
              <w:contextualSpacing w:val="0"/>
            </w:pPr>
            <w:r>
              <w:t>In rats:</w:t>
            </w:r>
            <w:r w:rsidR="000A099B">
              <w:t xml:space="preserve"> NOAEC 0.00</w:t>
            </w:r>
            <w:r w:rsidR="002A7258">
              <w:t>5 ppm</w:t>
            </w:r>
            <w:r>
              <w:t xml:space="preserve"> </w:t>
            </w:r>
            <w:r w:rsidR="002A7258">
              <w:t>(</w:t>
            </w:r>
            <w:r>
              <w:t>0.035 mg/m</w:t>
            </w:r>
            <w:r w:rsidRPr="00950326">
              <w:rPr>
                <w:vertAlign w:val="superscript"/>
              </w:rPr>
              <w:t>3</w:t>
            </w:r>
            <w:r w:rsidR="002A7258">
              <w:t xml:space="preserve">) </w:t>
            </w:r>
            <w:r>
              <w:t xml:space="preserve">for &gt;2 yr; slight histological changes </w:t>
            </w:r>
            <w:r w:rsidR="002A7258">
              <w:t>in the nasal mucosal epithelium</w:t>
            </w:r>
            <w:r w:rsidR="00C43EA1">
              <w:t>.</w:t>
            </w:r>
          </w:p>
          <w:p w14:paraId="7F110084" w14:textId="77777777" w:rsidR="00BA72CD" w:rsidRDefault="00BA72CD" w:rsidP="005D05E0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b/>
              </w:rPr>
            </w:pPr>
          </w:p>
          <w:p w14:paraId="391FC9BF" w14:textId="54E34538" w:rsidR="00202A52" w:rsidRDefault="008859A7" w:rsidP="005D05E0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b/>
              </w:rPr>
            </w:pPr>
            <w:r>
              <w:rPr>
                <w:b/>
              </w:rPr>
              <w:lastRenderedPageBreak/>
              <w:t>D</w:t>
            </w:r>
            <w:r w:rsidR="005D05E0" w:rsidRPr="005D05E0">
              <w:rPr>
                <w:b/>
              </w:rPr>
              <w:t>iisocyan</w:t>
            </w:r>
            <w:r w:rsidR="007D421A">
              <w:rPr>
                <w:b/>
              </w:rPr>
              <w:t>a</w:t>
            </w:r>
            <w:r w:rsidR="005D05E0" w:rsidRPr="005D05E0">
              <w:rPr>
                <w:b/>
              </w:rPr>
              <w:t>tes</w:t>
            </w:r>
            <w:r w:rsidR="003710D0">
              <w:rPr>
                <w:b/>
              </w:rPr>
              <w:t xml:space="preserve"> </w:t>
            </w:r>
            <w:r w:rsidR="00784A01">
              <w:rPr>
                <w:b/>
              </w:rPr>
              <w:t>– 0.01 ppm</w:t>
            </w:r>
          </w:p>
          <w:p w14:paraId="6E362A66" w14:textId="2D719BD4" w:rsidR="005D05E0" w:rsidRDefault="00BA72CD" w:rsidP="005D05E0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b/>
              </w:rPr>
            </w:pPr>
            <w:r>
              <w:rPr>
                <w:b/>
              </w:rPr>
              <w:t>HDI</w:t>
            </w:r>
            <w:r w:rsidR="00141BCB">
              <w:rPr>
                <w:b/>
              </w:rPr>
              <w:t xml:space="preserve"> (0.07 mg/m</w:t>
            </w:r>
            <w:r w:rsidR="00141BCB">
              <w:rPr>
                <w:b/>
                <w:vertAlign w:val="superscript"/>
              </w:rPr>
              <w:t>3</w:t>
            </w:r>
            <w:r w:rsidR="00141BCB">
              <w:rPr>
                <w:b/>
              </w:rPr>
              <w:t>)</w:t>
            </w:r>
            <w:r>
              <w:rPr>
                <w:b/>
              </w:rPr>
              <w:t>, IPDI</w:t>
            </w:r>
            <w:r w:rsidR="00141BCB">
              <w:rPr>
                <w:b/>
              </w:rPr>
              <w:t xml:space="preserve"> (0.09 mg/m</w:t>
            </w:r>
            <w:r w:rsidR="00141BCB">
              <w:rPr>
                <w:b/>
                <w:vertAlign w:val="superscript"/>
              </w:rPr>
              <w:t>3</w:t>
            </w:r>
            <w:r w:rsidR="00141BCB">
              <w:rPr>
                <w:b/>
              </w:rPr>
              <w:t>),</w:t>
            </w:r>
            <w:r>
              <w:rPr>
                <w:b/>
              </w:rPr>
              <w:t xml:space="preserve"> MDI</w:t>
            </w:r>
            <w:r w:rsidR="00141BCB">
              <w:rPr>
                <w:b/>
              </w:rPr>
              <w:t xml:space="preserve"> (0.1 mg/m</w:t>
            </w:r>
            <w:r w:rsidR="00141BCB">
              <w:rPr>
                <w:b/>
                <w:vertAlign w:val="superscript"/>
              </w:rPr>
              <w:t>3</w:t>
            </w:r>
            <w:r w:rsidR="00141BCB">
              <w:rPr>
                <w:b/>
              </w:rPr>
              <w:t>)</w:t>
            </w:r>
            <w:r w:rsidR="00141BCB" w:rsidRPr="00202A52">
              <w:rPr>
                <w:b/>
              </w:rPr>
              <w:t>,</w:t>
            </w:r>
            <w:r w:rsidR="00141BCB">
              <w:rPr>
                <w:b/>
              </w:rPr>
              <w:t xml:space="preserve"> TDI (0.07 mg/m</w:t>
            </w:r>
            <w:r w:rsidR="00141BCB">
              <w:rPr>
                <w:b/>
                <w:vertAlign w:val="superscript"/>
              </w:rPr>
              <w:t>3</w:t>
            </w:r>
            <w:r w:rsidR="008859A7">
              <w:rPr>
                <w:b/>
              </w:rPr>
              <w:t>)</w:t>
            </w:r>
          </w:p>
          <w:p w14:paraId="36F5413F" w14:textId="5DBF86C3" w:rsidR="001F438E" w:rsidRPr="00141BCB" w:rsidRDefault="00141BCB" w:rsidP="00141BCB">
            <w:pPr>
              <w:pStyle w:val="Tabletextprimarysource"/>
            </w:pPr>
            <w:r>
              <w:t>Summary of additional data:</w:t>
            </w:r>
          </w:p>
          <w:p w14:paraId="1459A9B5" w14:textId="77777777" w:rsidR="00BA72CD" w:rsidRDefault="00BA72CD" w:rsidP="00D61783">
            <w:pPr>
              <w:pStyle w:val="ListBullet"/>
              <w:spacing w:before="60" w:after="60"/>
              <w:ind w:left="714" w:hanging="357"/>
              <w:contextualSpacing w:val="0"/>
            </w:pPr>
            <w:r>
              <w:t>Reported no acute decline in lung function at concentrations &lt;20 ppb in animals; 15 wk inhalation study</w:t>
            </w:r>
          </w:p>
          <w:p w14:paraId="387B4D97" w14:textId="3E9B2429" w:rsidR="007D421A" w:rsidRPr="007D421A" w:rsidRDefault="00BA72CD" w:rsidP="00D61783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Evidence from human studies indicate upper threshold limit value of 20 ppb in humans; basis </w:t>
            </w:r>
            <w:r w:rsidR="003710D0">
              <w:t>for TWA</w:t>
            </w:r>
            <w:r w:rsidR="007D421A" w:rsidRPr="00202A52">
              <w:rPr>
                <w:b/>
              </w:rPr>
              <w:t xml:space="preserve"> </w:t>
            </w:r>
          </w:p>
          <w:p w14:paraId="4C9230D4" w14:textId="41BFC9AC" w:rsidR="00BA72CD" w:rsidRDefault="00C43EA1" w:rsidP="00D61783">
            <w:pPr>
              <w:pStyle w:val="ListBullet"/>
              <w:spacing w:before="60" w:after="60"/>
              <w:ind w:left="714" w:hanging="357"/>
              <w:contextualSpacing w:val="0"/>
            </w:pPr>
            <w:r>
              <w:t>I</w:t>
            </w:r>
            <w:r w:rsidR="007D421A">
              <w:t xml:space="preserve">ncludes reference to </w:t>
            </w:r>
            <w:r w:rsidR="007D421A" w:rsidRPr="007D421A">
              <w:t>naphthalene diisocyanate</w:t>
            </w:r>
            <w:r w:rsidR="007D421A">
              <w:t xml:space="preserve"> (NDI)</w:t>
            </w:r>
            <w:r w:rsidR="007D421A" w:rsidRPr="007D421A">
              <w:t xml:space="preserve"> </w:t>
            </w:r>
            <w:r w:rsidR="007D421A">
              <w:t xml:space="preserve">with a </w:t>
            </w:r>
            <w:r w:rsidR="007D421A" w:rsidRPr="007D421A">
              <w:t xml:space="preserve">MAK </w:t>
            </w:r>
            <w:r w:rsidR="006B29DC">
              <w:t>of</w:t>
            </w:r>
            <w:r w:rsidR="006B29DC" w:rsidRPr="007D421A">
              <w:t xml:space="preserve"> </w:t>
            </w:r>
            <w:r w:rsidR="007D421A" w:rsidRPr="007D421A">
              <w:t>0.09 mg/m</w:t>
            </w:r>
            <w:r w:rsidR="007D421A" w:rsidRPr="007D421A">
              <w:rPr>
                <w:vertAlign w:val="superscript"/>
              </w:rPr>
              <w:t>3</w:t>
            </w:r>
            <w:r w:rsidR="007D421A" w:rsidRPr="007D421A">
              <w:t>.</w:t>
            </w:r>
          </w:p>
          <w:p w14:paraId="16CA013B" w14:textId="61386BF3" w:rsidR="006B29DC" w:rsidRPr="007D421A" w:rsidRDefault="006B29DC" w:rsidP="00D61783">
            <w:pPr>
              <w:pStyle w:val="ListBullet"/>
              <w:numPr>
                <w:ilvl w:val="0"/>
                <w:numId w:val="0"/>
              </w:numPr>
              <w:spacing w:before="60" w:after="60"/>
              <w:ind w:left="714"/>
              <w:contextualSpacing w:val="0"/>
            </w:pPr>
          </w:p>
        </w:tc>
      </w:tr>
      <w:tr w:rsidR="00C978F0" w:rsidRPr="00DA352E" w14:paraId="51DC9090" w14:textId="77777777" w:rsidTr="00B45129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69F0B1A9" w14:textId="0FEBE052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392F20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5E68D8">
                  <w:t>NA</w:t>
                </w:r>
              </w:sdtContent>
            </w:sdt>
          </w:p>
        </w:tc>
      </w:tr>
      <w:tr w:rsidR="00C978F0" w:rsidRPr="00DA352E" w14:paraId="1EEA1567" w14:textId="77777777" w:rsidTr="00B45129">
        <w:trPr>
          <w:gridAfter w:val="1"/>
          <w:wAfter w:w="8" w:type="pct"/>
        </w:trPr>
        <w:tc>
          <w:tcPr>
            <w:tcW w:w="4992" w:type="pct"/>
          </w:tcPr>
          <w:p w14:paraId="15A2BAEF" w14:textId="629B7458" w:rsidR="00C978F0" w:rsidRPr="00DA352E" w:rsidRDefault="005E68D8" w:rsidP="003365A5">
            <w:pPr>
              <w:pStyle w:val="Tabletextprimarysource"/>
            </w:pPr>
            <w:r>
              <w:t>No report</w:t>
            </w:r>
            <w:r w:rsidR="009F65B1">
              <w:t>.</w:t>
            </w:r>
          </w:p>
        </w:tc>
      </w:tr>
      <w:tr w:rsidR="00DA352E" w:rsidRPr="00DA352E" w14:paraId="673CF1A4" w14:textId="77777777" w:rsidTr="00B45129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1543DB33" w14:textId="1EA12469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392F20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5E68D8">
                  <w:t>NA</w:t>
                </w:r>
              </w:sdtContent>
            </w:sdt>
          </w:p>
        </w:tc>
      </w:tr>
      <w:tr w:rsidR="00DA352E" w:rsidRPr="00DA352E" w14:paraId="64FF6622" w14:textId="77777777" w:rsidTr="00B45129">
        <w:trPr>
          <w:gridAfter w:val="1"/>
          <w:wAfter w:w="8" w:type="pct"/>
        </w:trPr>
        <w:tc>
          <w:tcPr>
            <w:tcW w:w="4992" w:type="pct"/>
          </w:tcPr>
          <w:p w14:paraId="280F10AC" w14:textId="17D61FD9" w:rsidR="00DA352E" w:rsidRPr="00DA352E" w:rsidRDefault="005E68D8" w:rsidP="003365A5">
            <w:pPr>
              <w:pStyle w:val="Tabletextprimarysource"/>
            </w:pPr>
            <w:r>
              <w:t>No report</w:t>
            </w:r>
            <w:r w:rsidR="009F65B1">
              <w:t>.</w:t>
            </w:r>
          </w:p>
        </w:tc>
      </w:tr>
      <w:tr w:rsidR="00DA352E" w:rsidRPr="00DA352E" w14:paraId="0FD5C3EA" w14:textId="77777777" w:rsidTr="00B45129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34FE036A" w14:textId="3A787CF9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392F20">
                  <w:t>2018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9F65B1" w:rsidRPr="007B3245">
                  <w:t>TWA: 0.1 µg/m</w:t>
                </w:r>
                <w:r w:rsidR="009F65B1" w:rsidRPr="007B3245">
                  <w:rPr>
                    <w:vertAlign w:val="superscript"/>
                  </w:rPr>
                  <w:t>3</w:t>
                </w:r>
                <w:r w:rsidR="009F65B1" w:rsidRPr="007B3245">
                  <w:t xml:space="preserve"> (0.0001 mg/m</w:t>
                </w:r>
                <w:r w:rsidR="009F65B1" w:rsidRPr="007B3245">
                  <w:rPr>
                    <w:vertAlign w:val="superscript"/>
                  </w:rPr>
                  <w:t>3</w:t>
                </w:r>
                <w:r w:rsidR="009F65B1" w:rsidRPr="007B3245">
                  <w:t>) NCO</w:t>
                </w:r>
                <w:r w:rsidR="009F65B1">
                  <w:t xml:space="preserve"> </w:t>
                </w:r>
              </w:sdtContent>
            </w:sdt>
          </w:p>
        </w:tc>
      </w:tr>
      <w:tr w:rsidR="00DA352E" w:rsidRPr="00DA352E" w14:paraId="517DFD46" w14:textId="77777777" w:rsidTr="00B45129">
        <w:trPr>
          <w:gridAfter w:val="1"/>
          <w:wAfter w:w="8" w:type="pct"/>
        </w:trPr>
        <w:tc>
          <w:tcPr>
            <w:tcW w:w="4992" w:type="pct"/>
          </w:tcPr>
          <w:p w14:paraId="27C03721" w14:textId="350B1981" w:rsidR="00DA352E" w:rsidRDefault="00553ECD" w:rsidP="003365A5">
            <w:pPr>
              <w:pStyle w:val="Tabletextprimarysource"/>
              <w:rPr>
                <w:b/>
              </w:rPr>
            </w:pPr>
            <w:r w:rsidRPr="00553ECD">
              <w:rPr>
                <w:b/>
              </w:rPr>
              <w:t>Diisocyanates and triisocyanates</w:t>
            </w:r>
            <w:r>
              <w:rPr>
                <w:b/>
              </w:rPr>
              <w:t xml:space="preserve"> (isocyanates)</w:t>
            </w:r>
            <w:r w:rsidRPr="00553ECD">
              <w:rPr>
                <w:b/>
              </w:rPr>
              <w:t xml:space="preserve"> </w:t>
            </w:r>
          </w:p>
          <w:p w14:paraId="46286B46" w14:textId="3DDCF763" w:rsidR="005F2C13" w:rsidRDefault="007B3245" w:rsidP="007B3245">
            <w:pPr>
              <w:pStyle w:val="Tabletextprimarysource"/>
            </w:pPr>
            <w:r>
              <w:t>Summary of additional data:</w:t>
            </w:r>
          </w:p>
          <w:p w14:paraId="59DA9271" w14:textId="37378E36" w:rsidR="00425EAE" w:rsidRPr="00553ECD" w:rsidRDefault="007B3245" w:rsidP="00D61783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  <w:rPr>
                <w:b/>
              </w:rPr>
            </w:pPr>
            <w:r>
              <w:t xml:space="preserve">TWA </w:t>
            </w:r>
            <w:r w:rsidR="00920EAA">
              <w:t xml:space="preserve">applies </w:t>
            </w:r>
            <w:r>
              <w:t>for di- and triisocyanates</w:t>
            </w:r>
            <w:r w:rsidR="00920EAA">
              <w:t xml:space="preserve"> and was derived excluding</w:t>
            </w:r>
            <w:r w:rsidR="003E2F2A">
              <w:t xml:space="preserve"> studies with exposure &gt;100 </w:t>
            </w:r>
            <w:r w:rsidR="003E2F2A">
              <w:rPr>
                <w:rFonts w:cs="Arial"/>
              </w:rPr>
              <w:t>µ</w:t>
            </w:r>
            <w:r w:rsidR="003E2F2A">
              <w:t>g/m</w:t>
            </w:r>
            <w:r w:rsidR="003E2F2A">
              <w:rPr>
                <w:vertAlign w:val="superscript"/>
              </w:rPr>
              <w:t>3</w:t>
            </w:r>
            <w:r w:rsidR="009F65B1">
              <w:t>,</w:t>
            </w:r>
            <w:r w:rsidR="00920EAA">
              <w:t xml:space="preserve"> as these were</w:t>
            </w:r>
            <w:r w:rsidR="009F65B1">
              <w:t xml:space="preserve"> not considered </w:t>
            </w:r>
            <w:r w:rsidR="003E2F2A">
              <w:t>suitable starting point to derive a value</w:t>
            </w:r>
            <w:r w:rsidR="00920EAA">
              <w:t>. The assessment addressed the following isomers:</w:t>
            </w:r>
          </w:p>
          <w:p w14:paraId="4567C903" w14:textId="1510434D" w:rsidR="00920EAA" w:rsidRPr="00920EAA" w:rsidRDefault="00872FAB" w:rsidP="00D61783">
            <w:pPr>
              <w:pStyle w:val="ListBullet"/>
              <w:numPr>
                <w:ilvl w:val="0"/>
                <w:numId w:val="4"/>
              </w:numPr>
              <w:spacing w:before="60" w:after="60"/>
              <w:ind w:left="1094" w:hanging="357"/>
              <w:contextualSpacing w:val="0"/>
              <w:rPr>
                <w:b/>
              </w:rPr>
            </w:pPr>
            <w:r>
              <w:t>t</w:t>
            </w:r>
            <w:r w:rsidR="00553ECD">
              <w:t>oluene diisocyanate (TDI)</w:t>
            </w:r>
          </w:p>
          <w:p w14:paraId="6846F2A8" w14:textId="17520DA1" w:rsidR="00920EAA" w:rsidRPr="00920EAA" w:rsidRDefault="00872FAB" w:rsidP="00D61783">
            <w:pPr>
              <w:pStyle w:val="ListBullet"/>
              <w:numPr>
                <w:ilvl w:val="0"/>
                <w:numId w:val="4"/>
              </w:numPr>
              <w:spacing w:before="60" w:after="60"/>
              <w:ind w:left="1094" w:hanging="357"/>
              <w:contextualSpacing w:val="0"/>
              <w:rPr>
                <w:b/>
              </w:rPr>
            </w:pPr>
            <w:r>
              <w:t>h</w:t>
            </w:r>
            <w:r w:rsidR="00553ECD">
              <w:t>examethylene diisocyanate (HDI)</w:t>
            </w:r>
          </w:p>
          <w:p w14:paraId="4C969ABD" w14:textId="063FC204" w:rsidR="00920EAA" w:rsidRPr="00920EAA" w:rsidRDefault="00872FAB" w:rsidP="00D61783">
            <w:pPr>
              <w:pStyle w:val="ListBullet"/>
              <w:numPr>
                <w:ilvl w:val="0"/>
                <w:numId w:val="4"/>
              </w:numPr>
              <w:spacing w:before="60" w:after="60"/>
              <w:ind w:left="1094" w:hanging="357"/>
              <w:contextualSpacing w:val="0"/>
              <w:rPr>
                <w:b/>
              </w:rPr>
            </w:pPr>
            <w:r>
              <w:t>m</w:t>
            </w:r>
            <w:r w:rsidR="00553ECD">
              <w:t>ethylene diphenyl diisocyanate (MDI)</w:t>
            </w:r>
          </w:p>
          <w:p w14:paraId="283CFAAA" w14:textId="21C43C8E" w:rsidR="00920EAA" w:rsidRPr="00920EAA" w:rsidRDefault="00872FAB" w:rsidP="00D61783">
            <w:pPr>
              <w:pStyle w:val="ListBullet"/>
              <w:numPr>
                <w:ilvl w:val="0"/>
                <w:numId w:val="4"/>
              </w:numPr>
              <w:spacing w:before="60" w:after="60"/>
              <w:ind w:left="1094" w:hanging="357"/>
              <w:contextualSpacing w:val="0"/>
              <w:rPr>
                <w:b/>
              </w:rPr>
            </w:pPr>
            <w:r>
              <w:t>p</w:t>
            </w:r>
            <w:r w:rsidR="00B64B35">
              <w:t>olymeric MDI (PMDI), the primary technical/ commercial form of MDI</w:t>
            </w:r>
          </w:p>
          <w:p w14:paraId="0B4F5B7A" w14:textId="2D1BF38A" w:rsidR="00920EAA" w:rsidRPr="00920EAA" w:rsidRDefault="00872FAB" w:rsidP="00D61783">
            <w:pPr>
              <w:pStyle w:val="ListBullet"/>
              <w:numPr>
                <w:ilvl w:val="0"/>
                <w:numId w:val="4"/>
              </w:numPr>
              <w:spacing w:before="60" w:after="60"/>
              <w:ind w:left="1094" w:hanging="357"/>
              <w:contextualSpacing w:val="0"/>
              <w:rPr>
                <w:b/>
              </w:rPr>
            </w:pPr>
            <w:r>
              <w:t>n</w:t>
            </w:r>
            <w:r w:rsidR="00B64B35">
              <w:t>aphthalene diisocyanate (NDI)</w:t>
            </w:r>
          </w:p>
          <w:p w14:paraId="3092E5A4" w14:textId="4ABA66E7" w:rsidR="00920EAA" w:rsidRPr="00920EAA" w:rsidRDefault="00872FAB" w:rsidP="00D61783">
            <w:pPr>
              <w:pStyle w:val="ListBullet"/>
              <w:numPr>
                <w:ilvl w:val="0"/>
                <w:numId w:val="4"/>
              </w:numPr>
              <w:spacing w:before="60" w:after="60"/>
              <w:ind w:left="1094" w:hanging="357"/>
              <w:contextualSpacing w:val="0"/>
              <w:rPr>
                <w:b/>
              </w:rPr>
            </w:pPr>
            <w:r>
              <w:t>is</w:t>
            </w:r>
            <w:r w:rsidR="00B64B35">
              <w:t>ophorone diisocyanate (IPDI)</w:t>
            </w:r>
          </w:p>
          <w:p w14:paraId="5CD97232" w14:textId="6BCB48DC" w:rsidR="00920EAA" w:rsidRPr="00920EAA" w:rsidRDefault="00B64B35" w:rsidP="00D61783">
            <w:pPr>
              <w:pStyle w:val="ListBullet"/>
              <w:numPr>
                <w:ilvl w:val="0"/>
                <w:numId w:val="4"/>
              </w:numPr>
              <w:spacing w:before="60" w:after="60"/>
              <w:ind w:left="1094" w:hanging="357"/>
              <w:contextualSpacing w:val="0"/>
              <w:rPr>
                <w:b/>
              </w:rPr>
            </w:pPr>
            <w:r>
              <w:t>HDI biuret</w:t>
            </w:r>
          </w:p>
          <w:p w14:paraId="0E436BC4" w14:textId="5ACBF095" w:rsidR="00553ECD" w:rsidRPr="00425EAE" w:rsidRDefault="00B64B35" w:rsidP="00D61783">
            <w:pPr>
              <w:pStyle w:val="ListBullet"/>
              <w:numPr>
                <w:ilvl w:val="0"/>
                <w:numId w:val="4"/>
              </w:numPr>
              <w:spacing w:before="60" w:after="60"/>
              <w:ind w:left="1094" w:hanging="357"/>
              <w:contextualSpacing w:val="0"/>
              <w:rPr>
                <w:b/>
              </w:rPr>
            </w:pPr>
            <w:r>
              <w:t>HDI trimer isocyanurate</w:t>
            </w:r>
          </w:p>
          <w:p w14:paraId="15D6EA12" w14:textId="70B717E1" w:rsidR="00925B23" w:rsidRDefault="00925B23" w:rsidP="00D61783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</w:pPr>
            <w:r>
              <w:t>Isocyanates are chemically characterised by the presence of NCO groups which have been mechanistically linked to sensitising properties</w:t>
            </w:r>
          </w:p>
          <w:p w14:paraId="65126D75" w14:textId="21D18C50" w:rsidR="007A1422" w:rsidRDefault="007A1422" w:rsidP="00D61783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</w:pPr>
            <w:r>
              <w:t>In practice, mixtures of different types and different forms of isocyanates are used. For most of these isocyanates, insufficient data are available for a quantitative hazard assessment</w:t>
            </w:r>
          </w:p>
          <w:p w14:paraId="14C7E506" w14:textId="7AF76A90" w:rsidR="007A1422" w:rsidRDefault="007A1422" w:rsidP="007A1422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 identified difference in potency for different isocyanates based on the available epidemiological data</w:t>
            </w:r>
          </w:p>
          <w:p w14:paraId="194B6C72" w14:textId="63A396A3" w:rsidR="00496927" w:rsidRDefault="00496927" w:rsidP="00D61783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</w:pPr>
            <w:r>
              <w:t>In humans, exposure to isocyanates can result</w:t>
            </w:r>
            <w:r w:rsidR="00EE0A04">
              <w:t xml:space="preserve"> in</w:t>
            </w:r>
            <w:r>
              <w:t>:</w:t>
            </w:r>
          </w:p>
          <w:p w14:paraId="34C775DC" w14:textId="05727243" w:rsidR="00496927" w:rsidRDefault="00496927" w:rsidP="00D61783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irritation of the skin, mucous membran</w:t>
            </w:r>
            <w:r w:rsidR="00EE0A04">
              <w:t>es, eye and respiratory tract</w:t>
            </w:r>
          </w:p>
          <w:p w14:paraId="3794D666" w14:textId="100CB3E6" w:rsidR="00496927" w:rsidRDefault="00496927" w:rsidP="00D61783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asthma due to sensitisation; reported as most common</w:t>
            </w:r>
          </w:p>
          <w:p w14:paraId="701860F8" w14:textId="4A9EA995" w:rsidR="00496927" w:rsidRDefault="00496927" w:rsidP="00D61783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irritant and allergic contact dermatitis and hypersensitivity pneumonitis/allergic alveolitis; reported as less prevalent</w:t>
            </w:r>
          </w:p>
          <w:p w14:paraId="488E319F" w14:textId="433F7BFA" w:rsidR="007A1422" w:rsidRDefault="0069334A" w:rsidP="00D61783">
            <w:pPr>
              <w:pStyle w:val="ListBullet"/>
              <w:spacing w:before="60" w:after="60"/>
              <w:ind w:left="714" w:hanging="357"/>
              <w:contextualSpacing w:val="0"/>
            </w:pPr>
            <w:r>
              <w:t>A threshold for isocyanate-induced sensitisation and development</w:t>
            </w:r>
            <w:r w:rsidR="007A1422">
              <w:t xml:space="preserve"> of asthma cannot be determined and therefore a</w:t>
            </w:r>
            <w:r>
              <w:t xml:space="preserve"> risk-based </w:t>
            </w:r>
            <w:r w:rsidR="007A1422">
              <w:t xml:space="preserve">advisory </w:t>
            </w:r>
            <w:r>
              <w:t xml:space="preserve">recommended </w:t>
            </w:r>
            <w:r w:rsidR="007A1422">
              <w:t xml:space="preserve">of </w:t>
            </w:r>
            <w:r>
              <w:t xml:space="preserve">TWA of 0.1 </w:t>
            </w:r>
            <w:r>
              <w:rPr>
                <w:rFonts w:cs="Arial"/>
              </w:rPr>
              <w:t>µ</w:t>
            </w:r>
            <w:r>
              <w:t>g/m</w:t>
            </w:r>
            <w:r>
              <w:rPr>
                <w:vertAlign w:val="superscript"/>
              </w:rPr>
              <w:t>3</w:t>
            </w:r>
            <w:r w:rsidR="003432E9">
              <w:t xml:space="preserve"> (NCO)</w:t>
            </w:r>
            <w:r w:rsidR="0004346E">
              <w:t xml:space="preserve"> is derived</w:t>
            </w:r>
            <w:r w:rsidR="00C52972">
              <w:t>:</w:t>
            </w:r>
          </w:p>
          <w:p w14:paraId="60796406" w14:textId="585C9D00" w:rsidR="0069334A" w:rsidRDefault="0004346E" w:rsidP="0004346E">
            <w:pPr>
              <w:pStyle w:val="ListBullet"/>
              <w:numPr>
                <w:ilvl w:val="0"/>
                <w:numId w:val="23"/>
              </w:numPr>
              <w:spacing w:before="60" w:after="60"/>
              <w:contextualSpacing w:val="0"/>
            </w:pPr>
            <w:r>
              <w:t xml:space="preserve">TWA corresponds to </w:t>
            </w:r>
            <w:r w:rsidR="0069334A">
              <w:t>workers have an extra risk of 1% of bronchial hyperreactivity (BHR), compared to th</w:t>
            </w:r>
            <w:r>
              <w:t>e general population.</w:t>
            </w:r>
            <w:r w:rsidR="0069334A">
              <w:t xml:space="preserve"> based </w:t>
            </w:r>
            <w:r>
              <w:t xml:space="preserve">primarily </w:t>
            </w:r>
            <w:r w:rsidR="0069334A">
              <w:t>on information from</w:t>
            </w:r>
            <w:r>
              <w:t xml:space="preserve"> the first 2 studies</w:t>
            </w:r>
            <w:r w:rsidR="0069334A">
              <w:t>:</w:t>
            </w:r>
          </w:p>
          <w:p w14:paraId="12E9631E" w14:textId="70C6B9E6" w:rsidR="00390B7B" w:rsidRDefault="00872FAB" w:rsidP="00D61783">
            <w:pPr>
              <w:pStyle w:val="ListBullet"/>
              <w:numPr>
                <w:ilvl w:val="0"/>
                <w:numId w:val="3"/>
              </w:numPr>
              <w:spacing w:before="60" w:after="60"/>
              <w:ind w:left="1094" w:hanging="357"/>
              <w:contextualSpacing w:val="0"/>
            </w:pPr>
            <w:r>
              <w:rPr>
                <w:b/>
              </w:rPr>
              <w:lastRenderedPageBreak/>
              <w:t>s</w:t>
            </w:r>
            <w:r w:rsidR="00390B7B" w:rsidRPr="0004346E">
              <w:rPr>
                <w:b/>
              </w:rPr>
              <w:t>tudy</w:t>
            </w:r>
            <w:r w:rsidR="0004346E" w:rsidRPr="0004346E">
              <w:rPr>
                <w:b/>
              </w:rPr>
              <w:t xml:space="preserve"> 1</w:t>
            </w:r>
            <w:r w:rsidR="0069334A">
              <w:t xml:space="preserve"> </w:t>
            </w:r>
            <w:r w:rsidR="007E744D">
              <w:t xml:space="preserve">(Pronk, 2007) </w:t>
            </w:r>
            <w:r w:rsidR="0069334A">
              <w:t>in</w:t>
            </w:r>
            <w:r w:rsidR="00390B7B">
              <w:t xml:space="preserve"> 581</w:t>
            </w:r>
            <w:r w:rsidR="007A1422">
              <w:t xml:space="preserve"> spray painters with cumulative exposure ranging</w:t>
            </w:r>
            <w:r w:rsidR="003A25E8">
              <w:t xml:space="preserve"> from 4</w:t>
            </w:r>
            <w:r w:rsidR="006B29DC">
              <w:t>–</w:t>
            </w:r>
            <w:r w:rsidR="003A25E8">
              <w:t>66,</w:t>
            </w:r>
            <w:r w:rsidR="00E30C5B">
              <w:t xml:space="preserve"> </w:t>
            </w:r>
            <w:r w:rsidR="003A25E8">
              <w:t xml:space="preserve">464 </w:t>
            </w:r>
            <w:r w:rsidR="003A25E8">
              <w:rPr>
                <w:rFonts w:cs="Arial"/>
              </w:rPr>
              <w:t>µ</w:t>
            </w:r>
            <w:r w:rsidR="003A25E8">
              <w:t>g/m</w:t>
            </w:r>
            <w:r w:rsidR="003A25E8">
              <w:rPr>
                <w:vertAlign w:val="superscript"/>
              </w:rPr>
              <w:t>3</w:t>
            </w:r>
            <w:r w:rsidR="003A25E8">
              <w:t xml:space="preserve">*h*mo (mean 3,682 </w:t>
            </w:r>
            <w:r w:rsidR="003A25E8">
              <w:rPr>
                <w:rFonts w:cs="Arial"/>
              </w:rPr>
              <w:t>µ</w:t>
            </w:r>
            <w:r w:rsidR="003A25E8">
              <w:t>g/ m</w:t>
            </w:r>
            <w:r w:rsidR="003A25E8">
              <w:rPr>
                <w:vertAlign w:val="superscript"/>
              </w:rPr>
              <w:t>3</w:t>
            </w:r>
            <w:r w:rsidR="003A25E8">
              <w:t>*h*mo); statistically significant associations were found for exposure and asthmatic symptoms, COPD-like symptoms, work-related chest tightness and work-related conjunctivitis</w:t>
            </w:r>
          </w:p>
          <w:p w14:paraId="4327712F" w14:textId="00389855" w:rsidR="0069334A" w:rsidRDefault="00872FAB" w:rsidP="00D61783">
            <w:pPr>
              <w:pStyle w:val="ListBullet"/>
              <w:numPr>
                <w:ilvl w:val="0"/>
                <w:numId w:val="3"/>
              </w:numPr>
              <w:spacing w:before="60" w:after="60"/>
              <w:ind w:left="1094" w:hanging="357"/>
              <w:contextualSpacing w:val="0"/>
            </w:pPr>
            <w:r>
              <w:rPr>
                <w:b/>
              </w:rPr>
              <w:t>s</w:t>
            </w:r>
            <w:r w:rsidR="0069334A" w:rsidRPr="0004346E">
              <w:rPr>
                <w:b/>
              </w:rPr>
              <w:t>tudy</w:t>
            </w:r>
            <w:r w:rsidR="0004346E" w:rsidRPr="0004346E">
              <w:rPr>
                <w:b/>
              </w:rPr>
              <w:t xml:space="preserve"> 2</w:t>
            </w:r>
            <w:r w:rsidR="0069334A">
              <w:t xml:space="preserve"> </w:t>
            </w:r>
            <w:r w:rsidR="007E744D">
              <w:t xml:space="preserve">(Pronk, 2009) </w:t>
            </w:r>
            <w:r w:rsidR="0069334A">
              <w:t>in 229 spray painters; cumulative exposure 15.4</w:t>
            </w:r>
            <w:r w:rsidR="006B29DC">
              <w:t>–</w:t>
            </w:r>
            <w:r w:rsidR="0069334A">
              <w:t xml:space="preserve">66,464 </w:t>
            </w:r>
            <w:r w:rsidR="0069334A">
              <w:rPr>
                <w:rFonts w:cs="Arial"/>
              </w:rPr>
              <w:t>µ</w:t>
            </w:r>
            <w:r w:rsidR="0069334A">
              <w:t>g/m</w:t>
            </w:r>
            <w:r w:rsidR="0069334A">
              <w:rPr>
                <w:vertAlign w:val="superscript"/>
              </w:rPr>
              <w:t>3</w:t>
            </w:r>
            <w:r w:rsidR="00F41FF6">
              <w:t>.h.</w:t>
            </w:r>
            <w:r w:rsidR="0069334A">
              <w:t>mo</w:t>
            </w:r>
            <w:r w:rsidR="00F41FF6">
              <w:rPr>
                <w:vertAlign w:val="superscript"/>
              </w:rPr>
              <w:t>-1</w:t>
            </w:r>
            <w:r w:rsidR="0069334A">
              <w:t xml:space="preserve"> (mean 4,530 </w:t>
            </w:r>
            <w:r w:rsidR="0069334A">
              <w:rPr>
                <w:rFonts w:cs="Arial"/>
              </w:rPr>
              <w:t>µ</w:t>
            </w:r>
            <w:r w:rsidR="00F41FF6">
              <w:t>g/</w:t>
            </w:r>
            <w:r w:rsidR="0069334A">
              <w:t>m</w:t>
            </w:r>
            <w:r w:rsidR="0069334A">
              <w:rPr>
                <w:vertAlign w:val="superscript"/>
              </w:rPr>
              <w:t>3</w:t>
            </w:r>
            <w:r w:rsidR="00F41FF6">
              <w:t>.h.</w:t>
            </w:r>
            <w:r w:rsidR="0069334A">
              <w:t>mo</w:t>
            </w:r>
            <w:r w:rsidR="00F41FF6">
              <w:rPr>
                <w:vertAlign w:val="superscript"/>
              </w:rPr>
              <w:t>-1</w:t>
            </w:r>
            <w:r w:rsidR="0069334A">
              <w:t>); statistically significant exposure-related decreased FEV</w:t>
            </w:r>
            <w:r w:rsidR="0069334A">
              <w:rPr>
                <w:vertAlign w:val="subscript"/>
              </w:rPr>
              <w:t>1</w:t>
            </w:r>
            <w:r w:rsidR="0069334A">
              <w:t>, FEV</w:t>
            </w:r>
            <w:r w:rsidR="0069334A">
              <w:rPr>
                <w:vertAlign w:val="subscript"/>
              </w:rPr>
              <w:t>1</w:t>
            </w:r>
            <w:r w:rsidR="0069334A">
              <w:t>/FVC and flow-volume parameters independent of BHR</w:t>
            </w:r>
          </w:p>
          <w:p w14:paraId="7645FB1A" w14:textId="15CA16F2" w:rsidR="003E2F2A" w:rsidRDefault="00872FAB" w:rsidP="00D61783">
            <w:pPr>
              <w:pStyle w:val="ListBullet"/>
              <w:numPr>
                <w:ilvl w:val="0"/>
                <w:numId w:val="9"/>
              </w:numPr>
              <w:spacing w:before="60" w:after="60"/>
              <w:ind w:left="1094" w:hanging="357"/>
              <w:contextualSpacing w:val="0"/>
            </w:pPr>
            <w:r>
              <w:rPr>
                <w:b/>
              </w:rPr>
              <w:t>s</w:t>
            </w:r>
            <w:r w:rsidR="003E2F2A" w:rsidRPr="007E744D">
              <w:rPr>
                <w:b/>
              </w:rPr>
              <w:t xml:space="preserve">tudy </w:t>
            </w:r>
            <w:r w:rsidR="007E744D" w:rsidRPr="007E744D">
              <w:rPr>
                <w:b/>
              </w:rPr>
              <w:t>3</w:t>
            </w:r>
            <w:r w:rsidR="007E744D">
              <w:t xml:space="preserve"> </w:t>
            </w:r>
            <w:r>
              <w:t xml:space="preserve">(support study) </w:t>
            </w:r>
            <w:r w:rsidR="007E744D">
              <w:t>(Collins, 2017) in</w:t>
            </w:r>
            <w:r>
              <w:t xml:space="preserve"> </w:t>
            </w:r>
            <w:r w:rsidR="003E2F2A">
              <w:t xml:space="preserve">197 TDI manufacturing workers; increased risk of TDI asthma for cumulative and peak exposures; 0.14 </w:t>
            </w:r>
            <w:r w:rsidR="003E2F2A" w:rsidRPr="0069334A">
              <w:rPr>
                <w:rFonts w:cs="Arial"/>
              </w:rPr>
              <w:t>µ</w:t>
            </w:r>
            <w:r w:rsidR="003E2F2A">
              <w:t>g/m</w:t>
            </w:r>
            <w:r w:rsidR="003E2F2A" w:rsidRPr="0069334A">
              <w:rPr>
                <w:vertAlign w:val="superscript"/>
              </w:rPr>
              <w:t>3</w:t>
            </w:r>
            <w:r w:rsidR="00390B7B" w:rsidRPr="0069334A">
              <w:rPr>
                <w:vertAlign w:val="superscript"/>
              </w:rPr>
              <w:t xml:space="preserve"> </w:t>
            </w:r>
            <w:r w:rsidR="00390B7B">
              <w:t>NCO</w:t>
            </w:r>
            <w:r w:rsidR="003E2F2A">
              <w:t xml:space="preserve"> for 8-h associated with 1% extra risk of TDI-induced asthma</w:t>
            </w:r>
            <w:r w:rsidR="003432E9">
              <w:t xml:space="preserve"> (complaints consistent with occupational asthma)</w:t>
            </w:r>
          </w:p>
          <w:p w14:paraId="071C8FC2" w14:textId="69A6C331" w:rsidR="0004346E" w:rsidRDefault="0004346E" w:rsidP="00D61783">
            <w:pPr>
              <w:pStyle w:val="ListBullet"/>
              <w:spacing w:before="60" w:after="60"/>
              <w:ind w:left="714" w:hanging="357"/>
              <w:contextualSpacing w:val="0"/>
            </w:pPr>
            <w:r>
              <w:t>Risk calculation</w:t>
            </w:r>
            <w:r w:rsidR="007E744D">
              <w:t xml:space="preserve"> using data from </w:t>
            </w:r>
            <w:r w:rsidR="00872FAB" w:rsidRPr="00872FAB">
              <w:rPr>
                <w:b/>
              </w:rPr>
              <w:t>s</w:t>
            </w:r>
            <w:r w:rsidR="007E744D" w:rsidRPr="007E744D">
              <w:rPr>
                <w:b/>
              </w:rPr>
              <w:t>tudy 1</w:t>
            </w:r>
            <w:r w:rsidR="007E744D">
              <w:t xml:space="preserve"> and </w:t>
            </w:r>
            <w:r w:rsidR="00872FAB" w:rsidRPr="00872FAB">
              <w:rPr>
                <w:b/>
              </w:rPr>
              <w:t>s</w:t>
            </w:r>
            <w:r w:rsidR="007E744D" w:rsidRPr="007E744D">
              <w:rPr>
                <w:b/>
              </w:rPr>
              <w:t>tudy 2</w:t>
            </w:r>
            <w:r>
              <w:t xml:space="preserve">: </w:t>
            </w:r>
          </w:p>
          <w:p w14:paraId="6FC08C44" w14:textId="3D9B124E" w:rsidR="0004346E" w:rsidRDefault="0004346E" w:rsidP="007E744D">
            <w:pPr>
              <w:pStyle w:val="ListBullet"/>
              <w:numPr>
                <w:ilvl w:val="0"/>
                <w:numId w:val="24"/>
              </w:numPr>
              <w:spacing w:before="60" w:after="60"/>
              <w:contextualSpacing w:val="0"/>
            </w:pPr>
            <w:r>
              <w:t>exposure-response analysis using exposure data on the individual level. Analyses using splines showed that the logistic model had best fit. The exposure response relationship had a regression coefficient of 0.0775 for BHR and 0.0467 for asthma (BHR and wheeze) in a logistic regression analysis. These slopes lead to exposure levels at which the extra risk is 1% of respectively 0.10 and 0.20 µg/m</w:t>
            </w:r>
            <w:r w:rsidRPr="0004346E">
              <w:rPr>
                <w:vertAlign w:val="superscript"/>
              </w:rPr>
              <w:t xml:space="preserve">3 </w:t>
            </w:r>
          </w:p>
          <w:p w14:paraId="66AFCA2F" w14:textId="5022F24A" w:rsidR="0004346E" w:rsidRDefault="007E744D" w:rsidP="007E744D">
            <w:pPr>
              <w:pStyle w:val="ListBullet"/>
              <w:numPr>
                <w:ilvl w:val="0"/>
                <w:numId w:val="24"/>
              </w:numPr>
              <w:spacing w:before="60" w:after="60"/>
              <w:contextualSpacing w:val="0"/>
            </w:pPr>
            <w:r>
              <w:t>exposure-response analysis using exposure data after categorisation. The exposure response relationship was also calculated using a simple Poisson regression analysis to model an exposure-response relationship through the origin (no intercept, at zero exposure risk equals risk in controls) relative to the baseline prevalence of BHR</w:t>
            </w:r>
            <w:r w:rsidRPr="007E744D">
              <w:rPr>
                <w:vertAlign w:val="subscript"/>
              </w:rPr>
              <w:t>20</w:t>
            </w:r>
            <w:r>
              <w:t xml:space="preserve"> or asthma in non-exposed using the below given information. Calculations were performed by using SAS software</w:t>
            </w:r>
          </w:p>
          <w:p w14:paraId="67B5F039" w14:textId="7583F278" w:rsidR="007E744D" w:rsidRDefault="00872FAB" w:rsidP="007E744D">
            <w:pPr>
              <w:pStyle w:val="ListBullet"/>
              <w:numPr>
                <w:ilvl w:val="0"/>
                <w:numId w:val="24"/>
              </w:numPr>
              <w:spacing w:before="60" w:after="60"/>
              <w:contextualSpacing w:val="0"/>
            </w:pPr>
            <w:r>
              <w:rPr>
                <w:b/>
              </w:rPr>
              <w:t>s</w:t>
            </w:r>
            <w:r w:rsidR="007E744D">
              <w:rPr>
                <w:b/>
              </w:rPr>
              <w:t xml:space="preserve">tudy 3 </w:t>
            </w:r>
            <w:r w:rsidRPr="00872FAB">
              <w:t>was</w:t>
            </w:r>
            <w:r>
              <w:rPr>
                <w:b/>
              </w:rPr>
              <w:t xml:space="preserve"> </w:t>
            </w:r>
            <w:r w:rsidR="007E744D">
              <w:t>a logistic regression analysis for the association between TDI-induced asthma and cumulative TDI exposure</w:t>
            </w:r>
            <w:r>
              <w:t>;</w:t>
            </w:r>
            <w:r w:rsidR="007E744D">
              <w:t xml:space="preserve"> peak exposures (95th percentile) and other respiratory parameters </w:t>
            </w:r>
            <w:r>
              <w:t xml:space="preserve">were </w:t>
            </w:r>
            <w:r w:rsidR="007E744D">
              <w:t>studied</w:t>
            </w:r>
          </w:p>
          <w:p w14:paraId="6CEE62CF" w14:textId="0A2C4D4B" w:rsidR="00EE0A04" w:rsidRDefault="00EE0A04" w:rsidP="00D61783">
            <w:pPr>
              <w:pStyle w:val="ListBullet"/>
              <w:spacing w:before="60" w:after="60"/>
              <w:ind w:left="714" w:hanging="357"/>
              <w:contextualSpacing w:val="0"/>
            </w:pPr>
            <w:r>
              <w:t>Immunological cross-reactivit</w:t>
            </w:r>
            <w:r w:rsidR="007E744D">
              <w:t xml:space="preserve">y between isocyanates observed and </w:t>
            </w:r>
            <w:r>
              <w:t>suggests a common mechanism of action</w:t>
            </w:r>
          </w:p>
          <w:p w14:paraId="4F42DF78" w14:textId="3C585FA8" w:rsidR="00F9198C" w:rsidRDefault="00F9198C" w:rsidP="00D61783">
            <w:pPr>
              <w:pStyle w:val="ListBullet"/>
              <w:spacing w:before="60" w:after="60"/>
              <w:ind w:left="714" w:hanging="357"/>
              <w:contextualSpacing w:val="0"/>
            </w:pPr>
            <w:r>
              <w:t>Reported skin contact with isocyanates can cause sensitisation leading to allergic asthma</w:t>
            </w:r>
          </w:p>
          <w:p w14:paraId="0086E659" w14:textId="4A77CD36" w:rsidR="00EE0A04" w:rsidRDefault="00EE0A04" w:rsidP="00D61783">
            <w:pPr>
              <w:pStyle w:val="ListBullet"/>
              <w:spacing w:before="60" w:after="60"/>
              <w:ind w:left="714" w:hanging="357"/>
              <w:contextualSpacing w:val="0"/>
            </w:pPr>
            <w:r>
              <w:t>At relatively high concentrations, all isocyanates are irritating to the mucous membranes of the eye and nose</w:t>
            </w:r>
          </w:p>
          <w:p w14:paraId="7CDC29A0" w14:textId="34A1ABB9" w:rsidR="007B3245" w:rsidRDefault="0069334A" w:rsidP="00D61783">
            <w:pPr>
              <w:pStyle w:val="ListBullet"/>
              <w:spacing w:before="60" w:after="60"/>
              <w:ind w:left="714" w:hanging="357"/>
              <w:contextualSpacing w:val="0"/>
            </w:pPr>
            <w:r>
              <w:t>C</w:t>
            </w:r>
            <w:r w:rsidRPr="0069334A">
              <w:t>onsiders animal toxicity data on isocyanates of limited value</w:t>
            </w:r>
            <w:r w:rsidR="00553ECD">
              <w:t xml:space="preserve"> for derivation of TWA value</w:t>
            </w:r>
            <w:r w:rsidR="006B29DC">
              <w:t>.</w:t>
            </w:r>
          </w:p>
          <w:p w14:paraId="16C9A9A6" w14:textId="69F526BE" w:rsidR="006B5FEF" w:rsidRPr="0069334A" w:rsidRDefault="006B5FEF" w:rsidP="00D61783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</w:tbl>
    <w:p w14:paraId="696A5A91" w14:textId="77777777" w:rsidR="00A20751" w:rsidRPr="004C23F4" w:rsidRDefault="00A20751" w:rsidP="003365A5">
      <w:pPr>
        <w:pStyle w:val="Heading3"/>
      </w:pPr>
      <w:bookmarkStart w:id="0" w:name="SecondSource"/>
      <w:r w:rsidRPr="004C23F4">
        <w:lastRenderedPageBreak/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20" w:firstRow="1" w:lastRow="0" w:firstColumn="0" w:lastColumn="0" w:noHBand="1" w:noVBand="1"/>
        <w:tblCaption w:val="Table"/>
        <w:tblDescription w:val="Listing secondary sources with reports"/>
      </w:tblPr>
      <w:tblGrid>
        <w:gridCol w:w="1495"/>
        <w:gridCol w:w="422"/>
        <w:gridCol w:w="661"/>
        <w:gridCol w:w="6448"/>
      </w:tblGrid>
      <w:tr w:rsidR="004966BF" w:rsidRPr="00B45129" w14:paraId="7407DD0B" w14:textId="77777777" w:rsidTr="00B451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93"/>
          <w:tblHeader/>
        </w:trPr>
        <w:tc>
          <w:tcPr>
            <w:tcW w:w="1495" w:type="dxa"/>
            <w:shd w:val="clear" w:color="auto" w:fill="BFBFBF" w:themeFill="background1" w:themeFillShade="BF"/>
            <w:vAlign w:val="center"/>
          </w:tcPr>
          <w:p w14:paraId="30215B59" w14:textId="77777777" w:rsidR="004966BF" w:rsidRPr="00B45129" w:rsidRDefault="004966BF" w:rsidP="00263255">
            <w:pPr>
              <w:pStyle w:val="Tableheader"/>
              <w:rPr>
                <w:b/>
              </w:rPr>
            </w:pPr>
            <w:r w:rsidRPr="00B45129">
              <w:rPr>
                <w:b/>
              </w:rPr>
              <w:t>Source</w:t>
            </w:r>
          </w:p>
        </w:tc>
        <w:tc>
          <w:tcPr>
            <w:tcW w:w="422" w:type="dxa"/>
            <w:shd w:val="clear" w:color="auto" w:fill="BFBFBF" w:themeFill="background1" w:themeFillShade="BF"/>
            <w:vAlign w:val="center"/>
          </w:tcPr>
          <w:p w14:paraId="0ABA23AD" w14:textId="77777777" w:rsidR="004966BF" w:rsidRPr="00B45129" w:rsidRDefault="004966BF" w:rsidP="00263255">
            <w:pPr>
              <w:pStyle w:val="Tableheader"/>
              <w:rPr>
                <w:b/>
              </w:rPr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21F75C1F" w14:textId="77777777" w:rsidR="004966BF" w:rsidRPr="00B45129" w:rsidRDefault="004966BF" w:rsidP="00263255">
            <w:pPr>
              <w:pStyle w:val="Tableheader"/>
              <w:rPr>
                <w:b/>
              </w:rPr>
            </w:pPr>
            <w:r w:rsidRPr="00B45129">
              <w:rPr>
                <w:b/>
              </w:rPr>
              <w:t>Year</w:t>
            </w:r>
          </w:p>
        </w:tc>
        <w:tc>
          <w:tcPr>
            <w:tcW w:w="6448" w:type="dxa"/>
            <w:shd w:val="clear" w:color="auto" w:fill="BFBFBF" w:themeFill="background1" w:themeFillShade="BF"/>
            <w:vAlign w:val="center"/>
          </w:tcPr>
          <w:p w14:paraId="2995D48D" w14:textId="77777777" w:rsidR="004966BF" w:rsidRPr="00B45129" w:rsidRDefault="004966BF" w:rsidP="00263255">
            <w:pPr>
              <w:pStyle w:val="Tableheader"/>
              <w:rPr>
                <w:b/>
              </w:rPr>
            </w:pPr>
            <w:r w:rsidRPr="00B45129">
              <w:rPr>
                <w:b/>
              </w:rPr>
              <w:t>Additional information</w:t>
            </w:r>
          </w:p>
        </w:tc>
      </w:tr>
      <w:tr w:rsidR="004966BF" w:rsidRPr="004C23F4" w14:paraId="13BBF6F1" w14:textId="77777777" w:rsidTr="00B45129">
        <w:trPr>
          <w:cantSplit/>
        </w:trPr>
        <w:tc>
          <w:tcPr>
            <w:tcW w:w="1495" w:type="dxa"/>
          </w:tcPr>
          <w:p w14:paraId="76A2E0EE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422" w:type="dxa"/>
          </w:tcPr>
          <w:p w14:paraId="619C0352" w14:textId="26840960" w:rsidR="004966BF" w:rsidRPr="00CE617F" w:rsidRDefault="009D2718" w:rsidP="009749DD">
            <w:pPr>
              <w:spacing w:before="40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015498594"/>
                <w:placeholder>
                  <w:docPart w:val="568E1D261609484891E8B7C40E677AC5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9749DD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39383A2E" w14:textId="6B45457E" w:rsidR="004966BF" w:rsidRPr="004C23F4" w:rsidRDefault="000A099B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2013</w:t>
            </w:r>
          </w:p>
        </w:tc>
        <w:tc>
          <w:tcPr>
            <w:tcW w:w="6448" w:type="dxa"/>
          </w:tcPr>
          <w:p w14:paraId="5E933B7A" w14:textId="40F2E7FA" w:rsidR="004966BF" w:rsidRDefault="000A099B" w:rsidP="00D61783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>R</w:t>
            </w:r>
            <w:r w:rsidRPr="000A099B">
              <w:rPr>
                <w:rStyle w:val="checkbox"/>
                <w:rFonts w:ascii="Arial" w:hAnsi="Arial" w:cs="Arial"/>
              </w:rPr>
              <w:t>eported a challenge at 1 ppb (0.007 mg/m³)</w:t>
            </w:r>
            <w:r w:rsidR="00B67593">
              <w:rPr>
                <w:rStyle w:val="checkbox"/>
                <w:rFonts w:ascii="Arial" w:hAnsi="Arial" w:cs="Arial"/>
              </w:rPr>
              <w:t xml:space="preserve"> TDI</w:t>
            </w:r>
            <w:r w:rsidRPr="000A099B">
              <w:rPr>
                <w:rStyle w:val="checkbox"/>
                <w:rFonts w:ascii="Arial" w:hAnsi="Arial" w:cs="Arial"/>
              </w:rPr>
              <w:t xml:space="preserve"> induces asthma in previously sensitised subjects</w:t>
            </w:r>
          </w:p>
          <w:p w14:paraId="3D1CC4F0" w14:textId="3F56B551" w:rsidR="00B67593" w:rsidRPr="004C23F4" w:rsidRDefault="00B67593" w:rsidP="00D61783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In </w:t>
            </w:r>
            <w:r w:rsidRPr="00B67593">
              <w:rPr>
                <w:rStyle w:val="checkbox"/>
                <w:rFonts w:ascii="Arial" w:hAnsi="Arial" w:cs="Arial"/>
              </w:rPr>
              <w:t>controlled experiments, sensitisation</w:t>
            </w:r>
            <w:r>
              <w:rPr>
                <w:rStyle w:val="checkbox"/>
                <w:rFonts w:ascii="Arial" w:hAnsi="Arial" w:cs="Arial"/>
              </w:rPr>
              <w:t xml:space="preserve"> of </w:t>
            </w:r>
            <w:r>
              <w:rPr>
                <w:color w:val="262626"/>
              </w:rPr>
              <w:t>subject</w:t>
            </w:r>
            <w:r>
              <w:rPr>
                <w:rFonts w:cs="Arial"/>
                <w:color w:val="262626"/>
              </w:rPr>
              <w:t xml:space="preserve"> not suffering from </w:t>
            </w:r>
            <w:r w:rsidR="009749DD">
              <w:rPr>
                <w:rFonts w:cs="Arial"/>
                <w:color w:val="262626"/>
              </w:rPr>
              <w:t>OA</w:t>
            </w:r>
            <w:r>
              <w:rPr>
                <w:rFonts w:cs="Arial"/>
                <w:color w:val="262626"/>
              </w:rPr>
              <w:t>,</w:t>
            </w:r>
            <w:r w:rsidRPr="00B67593">
              <w:rPr>
                <w:rStyle w:val="checkbox"/>
                <w:rFonts w:ascii="Arial" w:hAnsi="Arial" w:cs="Arial"/>
              </w:rPr>
              <w:t xml:space="preserve"> occurred at levels at </w:t>
            </w:r>
            <w:r>
              <w:rPr>
                <w:rStyle w:val="checkbox"/>
                <w:rFonts w:ascii="Arial" w:hAnsi="Arial" w:cs="Arial"/>
              </w:rPr>
              <w:t>0.01 ppm</w:t>
            </w:r>
            <w:r w:rsidRPr="00B67593">
              <w:rPr>
                <w:rStyle w:val="checkbox"/>
                <w:rFonts w:ascii="Arial" w:hAnsi="Arial" w:cs="Arial"/>
              </w:rPr>
              <w:t xml:space="preserve"> (0.07 mg/m³)</w:t>
            </w:r>
            <w:r w:rsidR="005E0009">
              <w:rPr>
                <w:rStyle w:val="checkbox"/>
                <w:rFonts w:ascii="Arial" w:hAnsi="Arial" w:cs="Arial"/>
              </w:rPr>
              <w:t>.</w:t>
            </w:r>
          </w:p>
        </w:tc>
      </w:tr>
    </w:tbl>
    <w:p w14:paraId="51FDCCEC" w14:textId="77777777" w:rsidR="007E2A4B" w:rsidRDefault="007E2A4B"/>
    <w:bookmarkEnd w:id="0"/>
    <w:p w14:paraId="10AB4FD5" w14:textId="77777777" w:rsidR="007E2A4B" w:rsidRDefault="007E2A4B" w:rsidP="007E2A4B">
      <w:pPr>
        <w:pStyle w:val="Heading3"/>
      </w:pPr>
      <w:r>
        <w:lastRenderedPageBreak/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24120B56" w14:textId="77777777" w:rsidTr="00F41FF6">
        <w:trPr>
          <w:trHeight w:val="454"/>
          <w:tblHeader/>
        </w:trPr>
        <w:tc>
          <w:tcPr>
            <w:tcW w:w="6603" w:type="dxa"/>
            <w:vAlign w:val="center"/>
          </w:tcPr>
          <w:p w14:paraId="1722468B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18F903C3" w14:textId="068DAE16" w:rsidR="002E0D61" w:rsidRDefault="00F41FF6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0B087BB0" w14:textId="77777777" w:rsidTr="00F41FF6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42389F4F" w14:textId="6D069D21" w:rsidR="008A36CF" w:rsidRPr="006901A2" w:rsidRDefault="00F41FF6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114479FC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3FB5E3FC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20" w:firstRow="1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B45129" w14:paraId="577AA343" w14:textId="77777777" w:rsidTr="00B451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3FF818BB" w14:textId="77777777" w:rsidR="00687890" w:rsidRPr="00B45129" w:rsidRDefault="00687890" w:rsidP="00263255">
            <w:pPr>
              <w:pStyle w:val="Tableheader"/>
              <w:rPr>
                <w:b/>
              </w:rPr>
            </w:pPr>
            <w:bookmarkStart w:id="2" w:name="Notations"/>
            <w:r w:rsidRPr="00B45129">
              <w:rPr>
                <w:b/>
              </w:rPr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2BD9A423" w14:textId="77777777" w:rsidR="00687890" w:rsidRPr="00B45129" w:rsidRDefault="00687890" w:rsidP="00F4402E">
            <w:pPr>
              <w:pStyle w:val="Tableheader"/>
              <w:tabs>
                <w:tab w:val="right" w:pos="5272"/>
              </w:tabs>
              <w:rPr>
                <w:b/>
              </w:rPr>
            </w:pPr>
            <w:r w:rsidRPr="00B45129">
              <w:rPr>
                <w:b/>
              </w:rPr>
              <w:t>Notations</w:t>
            </w:r>
            <w:r w:rsidR="003A2B94" w:rsidRPr="00B45129">
              <w:rPr>
                <w:b/>
              </w:rPr>
              <w:tab/>
            </w:r>
          </w:p>
        </w:tc>
      </w:tr>
      <w:tr w:rsidR="00687890" w:rsidRPr="004C23F4" w14:paraId="2A74B13B" w14:textId="77777777" w:rsidTr="00B45129">
        <w:trPr>
          <w:cantSplit/>
        </w:trPr>
        <w:tc>
          <w:tcPr>
            <w:tcW w:w="3227" w:type="dxa"/>
          </w:tcPr>
          <w:p w14:paraId="16D6254C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306193ED" w14:textId="77777777" w:rsidR="00687890" w:rsidRPr="009F65B1" w:rsidRDefault="00EA39A7" w:rsidP="00DD2F9B">
            <w:pPr>
              <w:pStyle w:val="Tablefont"/>
              <w:rPr>
                <w:rFonts w:cs="Arial"/>
                <w:szCs w:val="20"/>
              </w:rPr>
            </w:pPr>
            <w:r w:rsidRPr="009F65B1">
              <w:rPr>
                <w:rFonts w:cs="Arial"/>
                <w:szCs w:val="20"/>
              </w:rPr>
              <w:t>Sen</w:t>
            </w:r>
          </w:p>
        </w:tc>
      </w:tr>
      <w:tr w:rsidR="007925F0" w:rsidRPr="004C23F4" w14:paraId="12BA2EF7" w14:textId="77777777" w:rsidTr="00B45129">
        <w:trPr>
          <w:cantSplit/>
        </w:trPr>
        <w:tc>
          <w:tcPr>
            <w:tcW w:w="3227" w:type="dxa"/>
          </w:tcPr>
          <w:p w14:paraId="59BFFEDF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35A19411" w14:textId="7A13EFE7" w:rsidR="00E36FF0" w:rsidRPr="009F65B1" w:rsidRDefault="006A0F5D" w:rsidP="00DD2F9B">
            <w:pPr>
              <w:pStyle w:val="Tablefont"/>
              <w:rPr>
                <w:rFonts w:cs="Arial"/>
                <w:szCs w:val="20"/>
              </w:rPr>
            </w:pPr>
            <w:r w:rsidRPr="009F65B1">
              <w:rPr>
                <w:rFonts w:cs="Arial"/>
                <w:szCs w:val="20"/>
              </w:rPr>
              <w:t>—</w:t>
            </w:r>
          </w:p>
        </w:tc>
      </w:tr>
      <w:tr w:rsidR="00AF483F" w:rsidRPr="004C23F4" w14:paraId="4F9BDB0F" w14:textId="77777777" w:rsidTr="00B45129">
        <w:trPr>
          <w:cantSplit/>
        </w:trPr>
        <w:tc>
          <w:tcPr>
            <w:tcW w:w="3227" w:type="dxa"/>
          </w:tcPr>
          <w:p w14:paraId="0BA86498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5627CACC" w14:textId="7FC519DD" w:rsidR="00AF483F" w:rsidRPr="009F65B1" w:rsidRDefault="006A0F5D" w:rsidP="00DD2F9B">
            <w:pPr>
              <w:pStyle w:val="Tablefont"/>
              <w:rPr>
                <w:rFonts w:cs="Arial"/>
                <w:szCs w:val="20"/>
              </w:rPr>
            </w:pPr>
            <w:r w:rsidRPr="009F65B1">
              <w:rPr>
                <w:rFonts w:cs="Arial"/>
                <w:szCs w:val="20"/>
              </w:rPr>
              <w:t>Respirat</w:t>
            </w:r>
            <w:r w:rsidR="00392F20">
              <w:rPr>
                <w:rFonts w:cs="Arial"/>
                <w:szCs w:val="20"/>
              </w:rPr>
              <w:t>ory sensitisation – category 1</w:t>
            </w:r>
            <w:r>
              <w:rPr>
                <w:rFonts w:cs="Arial"/>
                <w:szCs w:val="20"/>
              </w:rPr>
              <w:t xml:space="preserve">, </w:t>
            </w:r>
            <w:r w:rsidRPr="009F65B1">
              <w:rPr>
                <w:rFonts w:cs="Arial"/>
                <w:szCs w:val="20"/>
                <w:shd w:val="clear" w:color="auto" w:fill="F9F9F9"/>
              </w:rPr>
              <w:t>S</w:t>
            </w:r>
            <w:r w:rsidR="00392F20">
              <w:rPr>
                <w:rFonts w:cs="Arial"/>
                <w:szCs w:val="20"/>
                <w:shd w:val="clear" w:color="auto" w:fill="F9F9F9"/>
              </w:rPr>
              <w:t>kin sensitisation – category 1</w:t>
            </w:r>
            <w:r w:rsidR="00193F1F">
              <w:rPr>
                <w:rFonts w:cs="Arial"/>
                <w:szCs w:val="20"/>
                <w:shd w:val="clear" w:color="auto" w:fill="F9F9F9"/>
              </w:rPr>
              <w:t xml:space="preserve"> (TDI)</w:t>
            </w:r>
          </w:p>
        </w:tc>
      </w:tr>
      <w:tr w:rsidR="00687890" w:rsidRPr="004C23F4" w14:paraId="0191ECD6" w14:textId="77777777" w:rsidTr="00B45129">
        <w:trPr>
          <w:cantSplit/>
        </w:trPr>
        <w:tc>
          <w:tcPr>
            <w:tcW w:w="3227" w:type="dxa"/>
          </w:tcPr>
          <w:p w14:paraId="292FBE52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27A50A89" w14:textId="0A802D51" w:rsidR="004630E0" w:rsidRPr="009F65B1" w:rsidRDefault="00392F20" w:rsidP="00DD2F9B">
            <w:pPr>
              <w:pStyle w:val="Tablefon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Skin sensitisation – category 1, </w:t>
            </w:r>
            <w:r w:rsidR="004630E0" w:rsidRPr="009F65B1">
              <w:rPr>
                <w:rFonts w:cs="Arial"/>
                <w:szCs w:val="20"/>
              </w:rPr>
              <w:t>Respiratory sensitisation – category 1</w:t>
            </w:r>
            <w:r w:rsidR="009F65B1">
              <w:rPr>
                <w:rFonts w:cs="Arial"/>
                <w:szCs w:val="20"/>
              </w:rPr>
              <w:t xml:space="preserve"> </w:t>
            </w:r>
          </w:p>
        </w:tc>
      </w:tr>
      <w:tr w:rsidR="00E41A26" w:rsidRPr="004C23F4" w14:paraId="4FCDFB78" w14:textId="77777777" w:rsidTr="00B45129">
        <w:trPr>
          <w:cantSplit/>
        </w:trPr>
        <w:tc>
          <w:tcPr>
            <w:tcW w:w="3227" w:type="dxa"/>
          </w:tcPr>
          <w:p w14:paraId="563770A8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27E9CF99" w14:textId="4E2A2709" w:rsidR="00E41A26" w:rsidRPr="009F65B1" w:rsidRDefault="00E36FF0" w:rsidP="00DD2F9B">
            <w:pPr>
              <w:pStyle w:val="Tablefont"/>
              <w:rPr>
                <w:rFonts w:cs="Arial"/>
                <w:szCs w:val="20"/>
              </w:rPr>
            </w:pPr>
            <w:r w:rsidRPr="009F65B1">
              <w:rPr>
                <w:rFonts w:cs="Arial"/>
                <w:szCs w:val="20"/>
              </w:rPr>
              <w:t>Resp. Sens. 1</w:t>
            </w:r>
            <w:r w:rsidR="009F65B1">
              <w:rPr>
                <w:rFonts w:cs="Arial"/>
                <w:szCs w:val="20"/>
              </w:rPr>
              <w:t xml:space="preserve">, </w:t>
            </w:r>
            <w:r w:rsidRPr="009F65B1">
              <w:rPr>
                <w:rFonts w:cs="Arial"/>
                <w:szCs w:val="20"/>
              </w:rPr>
              <w:t>Skin Sens. 1</w:t>
            </w:r>
          </w:p>
        </w:tc>
      </w:tr>
      <w:tr w:rsidR="002E0D61" w:rsidRPr="004C23F4" w14:paraId="7607E28C" w14:textId="77777777" w:rsidTr="00B45129">
        <w:trPr>
          <w:cantSplit/>
        </w:trPr>
        <w:tc>
          <w:tcPr>
            <w:tcW w:w="3227" w:type="dxa"/>
          </w:tcPr>
          <w:p w14:paraId="2C351119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0ADDB225" w14:textId="69E66C8F" w:rsidR="002E0D61" w:rsidRPr="009F65B1" w:rsidRDefault="00392F20" w:rsidP="00DD2F9B">
            <w:pPr>
              <w:pStyle w:val="Tablefon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Skin, DSEN, RSEN</w:t>
            </w:r>
            <w:r w:rsidR="00193F1F">
              <w:rPr>
                <w:rFonts w:cs="Arial"/>
                <w:szCs w:val="20"/>
              </w:rPr>
              <w:t xml:space="preserve"> (TDI)</w:t>
            </w:r>
          </w:p>
        </w:tc>
      </w:tr>
      <w:tr w:rsidR="002E0D61" w:rsidRPr="004C23F4" w14:paraId="37A99ED4" w14:textId="77777777" w:rsidTr="00B45129">
        <w:trPr>
          <w:cantSplit/>
        </w:trPr>
        <w:tc>
          <w:tcPr>
            <w:tcW w:w="3227" w:type="dxa"/>
          </w:tcPr>
          <w:p w14:paraId="278AFC0A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19F3C3C2" w14:textId="5FAF1080" w:rsidR="002E0D61" w:rsidRPr="009F65B1" w:rsidRDefault="004630E0" w:rsidP="00DD2F9B">
            <w:pPr>
              <w:pStyle w:val="Tablefont"/>
              <w:rPr>
                <w:rFonts w:cs="Arial"/>
                <w:szCs w:val="20"/>
              </w:rPr>
            </w:pPr>
            <w:r w:rsidRPr="009F65B1">
              <w:rPr>
                <w:rFonts w:cs="Arial"/>
                <w:szCs w:val="20"/>
              </w:rPr>
              <w:t>Sh (dermal sensitiser)</w:t>
            </w:r>
            <w:r w:rsidR="006A0F5D">
              <w:rPr>
                <w:rFonts w:cs="Arial"/>
                <w:szCs w:val="20"/>
              </w:rPr>
              <w:t xml:space="preserve">, </w:t>
            </w:r>
            <w:r w:rsidRPr="009F65B1">
              <w:rPr>
                <w:rFonts w:cs="Arial"/>
                <w:szCs w:val="20"/>
              </w:rPr>
              <w:t>Sa (respiratory sensitiser</w:t>
            </w:r>
            <w:r w:rsidR="006A0F5D">
              <w:rPr>
                <w:rFonts w:cs="Arial"/>
                <w:szCs w:val="20"/>
              </w:rPr>
              <w:t>)</w:t>
            </w:r>
          </w:p>
        </w:tc>
      </w:tr>
      <w:tr w:rsidR="002E0D61" w:rsidRPr="004C23F4" w14:paraId="0EABC170" w14:textId="77777777" w:rsidTr="00B45129">
        <w:trPr>
          <w:cantSplit/>
        </w:trPr>
        <w:tc>
          <w:tcPr>
            <w:tcW w:w="3227" w:type="dxa"/>
          </w:tcPr>
          <w:p w14:paraId="013EEB15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65CD43B7" w14:textId="294ECDCE" w:rsidR="002E0D61" w:rsidRPr="009F65B1" w:rsidRDefault="006C099F" w:rsidP="00DD2F9B">
            <w:pPr>
              <w:pStyle w:val="Tablefont"/>
              <w:rPr>
                <w:rFonts w:cs="Arial"/>
                <w:szCs w:val="20"/>
              </w:rPr>
            </w:pPr>
            <w:r w:rsidRPr="009F65B1">
              <w:rPr>
                <w:rFonts w:cs="Arial"/>
                <w:szCs w:val="20"/>
              </w:rPr>
              <w:t>NA</w:t>
            </w:r>
          </w:p>
        </w:tc>
      </w:tr>
      <w:tr w:rsidR="002E0D61" w:rsidRPr="004C23F4" w14:paraId="52C9A935" w14:textId="77777777" w:rsidTr="00B45129">
        <w:trPr>
          <w:cantSplit/>
        </w:trPr>
        <w:tc>
          <w:tcPr>
            <w:tcW w:w="3227" w:type="dxa"/>
          </w:tcPr>
          <w:p w14:paraId="6E28B196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2A31C7C5" w14:textId="103521BF" w:rsidR="002E0D61" w:rsidRPr="002945F9" w:rsidRDefault="008859A7" w:rsidP="002945F9">
            <w:r w:rsidRPr="009749DD">
              <w:rPr>
                <w:rFonts w:cs="Arial"/>
                <w:szCs w:val="20"/>
              </w:rPr>
              <w:t>Skin</w:t>
            </w:r>
            <w:r w:rsidR="00392F20" w:rsidRPr="009749DD">
              <w:rPr>
                <w:rFonts w:cs="Arial"/>
                <w:szCs w:val="20"/>
              </w:rPr>
              <w:t xml:space="preserve">, </w:t>
            </w:r>
            <w:r w:rsidR="00193F1F" w:rsidRPr="009749DD">
              <w:t>Skin sensitiser; Respiratory sensitiser</w:t>
            </w:r>
          </w:p>
        </w:tc>
      </w:tr>
      <w:tr w:rsidR="00386093" w:rsidRPr="004C23F4" w14:paraId="2031CC64" w14:textId="77777777" w:rsidTr="00B45129">
        <w:trPr>
          <w:cantSplit/>
        </w:trPr>
        <w:tc>
          <w:tcPr>
            <w:tcW w:w="3227" w:type="dxa"/>
          </w:tcPr>
          <w:p w14:paraId="1D6D2B86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002B8249" w14:textId="71B5E9AB" w:rsidR="00386093" w:rsidRPr="00193F1F" w:rsidRDefault="008859A7" w:rsidP="006A0F5D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Carcinogenicity – Group 2B </w:t>
            </w:r>
            <w:r w:rsidR="00193F1F">
              <w:rPr>
                <w:rFonts w:cs="Arial"/>
                <w:szCs w:val="20"/>
              </w:rPr>
              <w:t xml:space="preserve">(TDI); </w:t>
            </w:r>
            <w:r w:rsidR="00392F20">
              <w:t>Group 3</w:t>
            </w:r>
            <w:r w:rsidR="00193F1F">
              <w:rPr>
                <w:rFonts w:cs="Arial"/>
                <w:szCs w:val="20"/>
              </w:rPr>
              <w:t xml:space="preserve"> (MDI)</w:t>
            </w:r>
          </w:p>
        </w:tc>
      </w:tr>
      <w:tr w:rsidR="00386093" w:rsidRPr="004C23F4" w14:paraId="54DD1119" w14:textId="77777777" w:rsidTr="00B45129">
        <w:trPr>
          <w:cantSplit/>
        </w:trPr>
        <w:tc>
          <w:tcPr>
            <w:tcW w:w="3227" w:type="dxa"/>
          </w:tcPr>
          <w:p w14:paraId="317ACFB4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4F7EF72B" w14:textId="61F9DED3" w:rsidR="00386093" w:rsidRPr="009F65B1" w:rsidRDefault="00E36FF0" w:rsidP="00D87570">
            <w:pPr>
              <w:pStyle w:val="Tablefont"/>
              <w:keepNext/>
              <w:rPr>
                <w:rFonts w:cs="Arial"/>
                <w:szCs w:val="20"/>
              </w:rPr>
            </w:pPr>
            <w:r w:rsidRPr="009F65B1">
              <w:rPr>
                <w:rFonts w:cs="Arial"/>
                <w:szCs w:val="20"/>
              </w:rPr>
              <w:t>SK:</w:t>
            </w:r>
            <w:r w:rsidR="00C52972">
              <w:rPr>
                <w:rFonts w:cs="Arial"/>
                <w:szCs w:val="20"/>
              </w:rPr>
              <w:t xml:space="preserve"> </w:t>
            </w:r>
            <w:r w:rsidRPr="009F65B1">
              <w:rPr>
                <w:rFonts w:cs="Arial"/>
                <w:szCs w:val="20"/>
              </w:rPr>
              <w:t>SEN</w:t>
            </w:r>
            <w:r w:rsidR="00193F1F">
              <w:rPr>
                <w:rFonts w:cs="Arial"/>
                <w:szCs w:val="20"/>
              </w:rPr>
              <w:t xml:space="preserve"> (IPDI)</w:t>
            </w:r>
          </w:p>
        </w:tc>
      </w:tr>
    </w:tbl>
    <w:bookmarkEnd w:id="2"/>
    <w:p w14:paraId="3FE5DC2D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703C79FE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1D578595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5B2108B2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1005F37D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9154" w:type="dxa"/>
              <w:tblLook w:val="04A0" w:firstRow="1" w:lastRow="0" w:firstColumn="1" w:lastColumn="0" w:noHBand="0" w:noVBand="1"/>
            </w:tblPr>
            <w:tblGrid>
              <w:gridCol w:w="3824"/>
              <w:gridCol w:w="1131"/>
              <w:gridCol w:w="1131"/>
              <w:gridCol w:w="2724"/>
            </w:tblGrid>
            <w:tr w:rsidR="00B542E3" w:rsidRPr="00B542E3" w14:paraId="6C730113" w14:textId="77777777" w:rsidTr="00B542E3">
              <w:trPr>
                <w:trHeight w:val="325"/>
              </w:trPr>
              <w:tc>
                <w:tcPr>
                  <w:tcW w:w="39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2958D2A" w14:textId="77777777" w:rsidR="00B542E3" w:rsidRPr="00B542E3" w:rsidRDefault="00B542E3" w:rsidP="00B542E3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542E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1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0E554EE4" w14:textId="77777777" w:rsidR="00B542E3" w:rsidRPr="00B542E3" w:rsidRDefault="00B542E3" w:rsidP="00B542E3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B542E3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11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9C03101" w14:textId="77777777" w:rsidR="00B542E3" w:rsidRPr="00B542E3" w:rsidRDefault="00B542E3" w:rsidP="00B542E3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B542E3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4.00</w:t>
                  </w:r>
                </w:p>
              </w:tc>
              <w:tc>
                <w:tcPr>
                  <w:tcW w:w="28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D24EBB2" w14:textId="77777777" w:rsidR="00B542E3" w:rsidRPr="00B542E3" w:rsidRDefault="00B542E3" w:rsidP="00B542E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542E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B542E3" w:rsidRPr="00B542E3" w14:paraId="7C8BF767" w14:textId="77777777" w:rsidTr="00B542E3">
              <w:trPr>
                <w:trHeight w:val="325"/>
              </w:trPr>
              <w:tc>
                <w:tcPr>
                  <w:tcW w:w="39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2FD27F2" w14:textId="77777777" w:rsidR="00B542E3" w:rsidRPr="00B542E3" w:rsidRDefault="00B542E3" w:rsidP="00B542E3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542E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B542E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B542E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1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4F23413" w14:textId="77777777" w:rsidR="00B542E3" w:rsidRPr="00B542E3" w:rsidRDefault="00B542E3" w:rsidP="00B542E3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542E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AC4897B" w14:textId="77777777" w:rsidR="00B542E3" w:rsidRPr="00B542E3" w:rsidRDefault="00B542E3" w:rsidP="00B542E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B542E3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8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0DAFF96" w14:textId="77777777" w:rsidR="00B542E3" w:rsidRPr="00B542E3" w:rsidRDefault="00B542E3" w:rsidP="00B542E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542E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B542E3" w:rsidRPr="00B542E3" w14:paraId="710AEDE1" w14:textId="77777777" w:rsidTr="00B542E3">
              <w:trPr>
                <w:trHeight w:val="325"/>
              </w:trPr>
              <w:tc>
                <w:tcPr>
                  <w:tcW w:w="39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09F296C" w14:textId="77777777" w:rsidR="00B542E3" w:rsidRPr="00B542E3" w:rsidRDefault="00B542E3" w:rsidP="00B542E3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542E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11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504E995" w14:textId="77777777" w:rsidR="00B542E3" w:rsidRPr="00B542E3" w:rsidRDefault="00B542E3" w:rsidP="00B542E3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542E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881A855" w14:textId="77777777" w:rsidR="00B542E3" w:rsidRPr="00B542E3" w:rsidRDefault="00B542E3" w:rsidP="00B542E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B542E3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8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123AF5B" w14:textId="77777777" w:rsidR="00B542E3" w:rsidRPr="00B542E3" w:rsidRDefault="00B542E3" w:rsidP="00B542E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542E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B542E3" w:rsidRPr="00B542E3" w14:paraId="733FED68" w14:textId="77777777" w:rsidTr="00B542E3">
              <w:trPr>
                <w:trHeight w:val="325"/>
              </w:trPr>
              <w:tc>
                <w:tcPr>
                  <w:tcW w:w="39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B54B6F1" w14:textId="77777777" w:rsidR="00B542E3" w:rsidRPr="00B542E3" w:rsidRDefault="00B542E3" w:rsidP="00B542E3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542E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B542E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B542E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B542E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B542E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11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BFB0C1A" w14:textId="77777777" w:rsidR="00B542E3" w:rsidRPr="00B542E3" w:rsidRDefault="00B542E3" w:rsidP="00B542E3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542E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90BFF0A" w14:textId="77777777" w:rsidR="00B542E3" w:rsidRPr="00B542E3" w:rsidRDefault="00B542E3" w:rsidP="00B542E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B542E3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8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C43E1F3" w14:textId="77777777" w:rsidR="00B542E3" w:rsidRPr="00B542E3" w:rsidRDefault="00B542E3" w:rsidP="00B542E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542E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B542E3" w:rsidRPr="00B542E3" w14:paraId="0157037B" w14:textId="77777777" w:rsidTr="00B542E3">
              <w:trPr>
                <w:trHeight w:val="325"/>
              </w:trPr>
              <w:tc>
                <w:tcPr>
                  <w:tcW w:w="39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683AF94" w14:textId="77777777" w:rsidR="00B542E3" w:rsidRPr="00B542E3" w:rsidRDefault="00B542E3" w:rsidP="00B542E3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B542E3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B542E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1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4F3CA43" w14:textId="77777777" w:rsidR="00B542E3" w:rsidRPr="00B542E3" w:rsidRDefault="00B542E3" w:rsidP="00B542E3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542E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7A32BCF" w14:textId="77777777" w:rsidR="00B542E3" w:rsidRPr="00B542E3" w:rsidRDefault="00B542E3" w:rsidP="00B542E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B542E3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8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9D451E8" w14:textId="77777777" w:rsidR="00B542E3" w:rsidRPr="00B542E3" w:rsidRDefault="00B542E3" w:rsidP="00B542E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542E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B542E3" w:rsidRPr="00B542E3" w14:paraId="3835622B" w14:textId="77777777" w:rsidTr="00B542E3">
              <w:trPr>
                <w:trHeight w:val="325"/>
              </w:trPr>
              <w:tc>
                <w:tcPr>
                  <w:tcW w:w="39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22D4321" w14:textId="77777777" w:rsidR="00B542E3" w:rsidRPr="00B542E3" w:rsidRDefault="00B542E3" w:rsidP="00B542E3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542E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1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D74FA5F" w14:textId="77777777" w:rsidR="00B542E3" w:rsidRPr="00B542E3" w:rsidRDefault="00B542E3" w:rsidP="00B542E3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542E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BB5C206" w14:textId="77777777" w:rsidR="00B542E3" w:rsidRPr="00B542E3" w:rsidRDefault="00B542E3" w:rsidP="00B542E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B542E3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8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6E13183" w14:textId="77777777" w:rsidR="00B542E3" w:rsidRPr="00B542E3" w:rsidRDefault="00B542E3" w:rsidP="00B542E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542E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B542E3" w:rsidRPr="00B542E3" w14:paraId="5FCFB420" w14:textId="77777777" w:rsidTr="00B542E3">
              <w:trPr>
                <w:trHeight w:val="325"/>
              </w:trPr>
              <w:tc>
                <w:tcPr>
                  <w:tcW w:w="39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303D952" w14:textId="77777777" w:rsidR="00B542E3" w:rsidRPr="00B542E3" w:rsidRDefault="00B542E3" w:rsidP="00B542E3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542E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5B5067D" w14:textId="77777777" w:rsidR="00B542E3" w:rsidRPr="00B542E3" w:rsidRDefault="00B542E3" w:rsidP="00B542E3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542E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CC6D23C" w14:textId="77777777" w:rsidR="00B542E3" w:rsidRPr="00B542E3" w:rsidRDefault="00B542E3" w:rsidP="00B542E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B542E3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8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27C2622" w14:textId="77777777" w:rsidR="00B542E3" w:rsidRPr="00B542E3" w:rsidRDefault="00B542E3" w:rsidP="00B542E3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B542E3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warranted</w:t>
                  </w:r>
                </w:p>
              </w:tc>
            </w:tr>
          </w:tbl>
          <w:p w14:paraId="41AC74B4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4F5AAA92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5D21D26A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644E8AAA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342A7D9D" w14:textId="75834C24" w:rsidR="00EB3D1B" w:rsidRDefault="009749DD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7592194D" w14:textId="77777777" w:rsidR="00687890" w:rsidRPr="004C23F4" w:rsidRDefault="00B479A9" w:rsidP="00474E33">
      <w:pPr>
        <w:pStyle w:val="Heading2"/>
      </w:pPr>
      <w:r w:rsidRPr="004C23F4">
        <w:lastRenderedPageBreak/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60C60682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0E1954A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6928E42A" w14:textId="26347986" w:rsidR="001B79E5" w:rsidRDefault="00141BF9" w:rsidP="001B79E5">
                <w:pPr>
                  <w:pStyle w:val="Tablefont"/>
                </w:pPr>
                <w:r>
                  <w:t>Varies</w:t>
                </w:r>
              </w:p>
            </w:tc>
          </w:sdtContent>
        </w:sdt>
      </w:tr>
      <w:tr w:rsidR="00A31D99" w:rsidRPr="004C23F4" w14:paraId="16B2FEA8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7F49A12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6DC76D24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242A042C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BE0412E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5316CDD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3B50BE88" w14:textId="77777777" w:rsidTr="00EA6243">
        <w:trPr>
          <w:cantSplit/>
        </w:trPr>
        <w:tc>
          <w:tcPr>
            <w:tcW w:w="4077" w:type="dxa"/>
            <w:vAlign w:val="center"/>
          </w:tcPr>
          <w:p w14:paraId="7AEED410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74A5FFA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62580CB8" w14:textId="77777777" w:rsidTr="00EA6243">
        <w:trPr>
          <w:cantSplit/>
        </w:trPr>
        <w:tc>
          <w:tcPr>
            <w:tcW w:w="4077" w:type="dxa"/>
            <w:vAlign w:val="center"/>
          </w:tcPr>
          <w:p w14:paraId="23AA308A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314DC66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30A25832" w14:textId="77777777" w:rsidTr="00EA6243">
        <w:trPr>
          <w:cantSplit/>
        </w:trPr>
        <w:tc>
          <w:tcPr>
            <w:tcW w:w="4077" w:type="dxa"/>
            <w:vAlign w:val="center"/>
          </w:tcPr>
          <w:p w14:paraId="66ECDC9D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27D850D9" w14:textId="0F91DDEB" w:rsidR="00E06F40" w:rsidRPr="00A006A0" w:rsidRDefault="009D2718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1F5D38">
                  <w:sym w:font="Wingdings" w:char="F0FC"/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1F5D38">
                  <w:sym w:font="Wingdings" w:char="F0FC"/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5F1E34F4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367B7A6C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24E256B9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1A25C822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630BB095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3A14524F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38A668B5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5282333F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67F4E009" w14:textId="6A250726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1406462C" w14:textId="0AB02CDE" w:rsidR="003D08DB" w:rsidRPr="00813A3D" w:rsidRDefault="003D08DB" w:rsidP="003D08DB">
      <w:r w:rsidRPr="00813A3D">
        <w:t>Deutsche Forschungsgemeinschaft (DFG) (2000) 4,4′-Methylene diphenyl diisocyanate (MDI) and “polymeric” MDI (PMDI) – MAK value documentation.</w:t>
      </w:r>
    </w:p>
    <w:p w14:paraId="23B5F506" w14:textId="64850AA1" w:rsidR="00813A3D" w:rsidRDefault="00813A3D" w:rsidP="003D08DB">
      <w:r w:rsidRPr="00813A3D">
        <w:t>Deutsche Forschungsgemeinschaft (DFG) (2013 (a,b,c,d)) Diisocyanates – MAK value documentation.</w:t>
      </w:r>
    </w:p>
    <w:p w14:paraId="3550ED50" w14:textId="4344B987" w:rsidR="00F41FF6" w:rsidRDefault="00813A3D" w:rsidP="00F41FF6">
      <w:pPr>
        <w:tabs>
          <w:tab w:val="left" w:pos="988"/>
        </w:tabs>
      </w:pPr>
      <w:r>
        <w:t>Europea</w:t>
      </w:r>
      <w:r w:rsidR="00F41FF6">
        <w:t xml:space="preserve">n Chemicals Agency (ECHA) (2019) </w:t>
      </w:r>
      <w:r w:rsidR="00F41FF6" w:rsidRPr="003D08DB">
        <w:t>Isophorone diisocyanate</w:t>
      </w:r>
      <w:r w:rsidR="00F41FF6">
        <w:t xml:space="preserve"> – REACH assessment.</w:t>
      </w:r>
    </w:p>
    <w:p w14:paraId="2D0F6BB8" w14:textId="21CA60FA" w:rsidR="009749DD" w:rsidRPr="00DB0A36" w:rsidRDefault="009749DD" w:rsidP="009749DD">
      <w:r w:rsidRPr="009749DD">
        <w:t>Health Council of the Netherlands (HCOTN) (2018) Di and Triisocyanates. Health-based recommendation on occupational exposure limits. The Hague: Health Council of the Netherlands; publication no. 2018/20.</w:t>
      </w:r>
    </w:p>
    <w:p w14:paraId="7B15626A" w14:textId="43B62179" w:rsidR="009749DD" w:rsidRDefault="009749DD" w:rsidP="009749DD">
      <w:r w:rsidRPr="00813A3D">
        <w:t xml:space="preserve">International Agency for Research on Cancer (IARC) </w:t>
      </w:r>
      <w:r w:rsidR="00813A3D" w:rsidRPr="00813A3D">
        <w:t>Re-evaluation of Some Organic Chemicals, Hydrazine and Hydrogen Peroxide (Part 1, Part 2, Part 3)</w:t>
      </w:r>
      <w:r w:rsidRPr="00813A3D">
        <w:t xml:space="preserve">. IARC Monographs – </w:t>
      </w:r>
      <w:r w:rsidR="00813A3D" w:rsidRPr="00813A3D">
        <w:t>71</w:t>
      </w:r>
      <w:r w:rsidRPr="00813A3D">
        <w:t>.</w:t>
      </w:r>
      <w:r w:rsidR="007D421A">
        <w:t xml:space="preserve"> (TDI, MDI, IPDI).</w:t>
      </w:r>
    </w:p>
    <w:p w14:paraId="44E9C0CD" w14:textId="66E85BC4" w:rsidR="00F41FF6" w:rsidRDefault="00F41FF6" w:rsidP="00F41FF6">
      <w:pPr>
        <w:tabs>
          <w:tab w:val="left" w:pos="988"/>
        </w:tabs>
      </w:pPr>
      <w:r w:rsidRPr="002022B6">
        <w:t>National Industrial Chemicals Notification and Assessment Scheme (NICNAS)</w:t>
      </w:r>
      <w:r>
        <w:t xml:space="preserve"> (2014) </w:t>
      </w:r>
      <w:r w:rsidRPr="00F41FF6">
        <w:t>Toluene diisocyanates</w:t>
      </w:r>
      <w:r>
        <w:t xml:space="preserve">: </w:t>
      </w:r>
      <w:r w:rsidRPr="0071660C">
        <w:t xml:space="preserve">Human health </w:t>
      </w:r>
      <w:r>
        <w:t xml:space="preserve">tier II </w:t>
      </w:r>
      <w:r w:rsidRPr="0071660C">
        <w:t>assessment</w:t>
      </w:r>
      <w:r>
        <w:t xml:space="preserve"> – IMAP report</w:t>
      </w:r>
    </w:p>
    <w:p w14:paraId="6BBBB7FB" w14:textId="70E46E26" w:rsidR="003D08DB" w:rsidRDefault="003D08DB" w:rsidP="003D08DB">
      <w:r w:rsidRPr="0035432C">
        <w:t>Tenth Adaptation to Technical Progress Commission Regulation (EU) No 2017/776 amending, for the purposes of its adaptation to technical and scientific progress, Regulation (EC) No 1272/2008 of the European Parliament and of the Council on classification, labelling and packaging of substances and mixtures (the CLP Regulation).</w:t>
      </w:r>
    </w:p>
    <w:p w14:paraId="0309F960" w14:textId="18C36480" w:rsidR="009749DD" w:rsidRDefault="009749DD" w:rsidP="009749DD">
      <w:r>
        <w:t xml:space="preserve">US National Institute for Occupational Safety and Health (NIOSH) (1994) Immediately dangerous to life or health concentrations – </w:t>
      </w:r>
      <w:r w:rsidRPr="005A2547">
        <w:t>Isophorone Diisocyanate</w:t>
      </w:r>
      <w:r>
        <w:t xml:space="preserve">. </w:t>
      </w:r>
    </w:p>
    <w:p w14:paraId="6D72527A" w14:textId="627B5B21" w:rsidR="009749DD" w:rsidRDefault="009749DD" w:rsidP="009749DD">
      <w:r>
        <w:t xml:space="preserve">US National Institute for Occupational Safety and Health (NIOSH) (1994) Immediately dangerous to life or health concentrations – </w:t>
      </w:r>
      <w:r w:rsidRPr="00F41FF6">
        <w:t>Toluene</w:t>
      </w:r>
      <w:r>
        <w:t>-2,4-</w:t>
      </w:r>
      <w:r w:rsidRPr="00F41FF6">
        <w:t>diisocyanate</w:t>
      </w:r>
      <w:r>
        <w:t xml:space="preserve">. </w:t>
      </w:r>
    </w:p>
    <w:p w14:paraId="3F55193B" w14:textId="1EA87820" w:rsidR="009749DD" w:rsidRPr="00351FE0" w:rsidRDefault="009749DD" w:rsidP="003D08DB">
      <w:pPr>
        <w:tabs>
          <w:tab w:val="left" w:pos="988"/>
        </w:tabs>
      </w:pPr>
      <w:r w:rsidRPr="00D86E03">
        <w:t>US National Institute for Occupational Safety and Health (NIOSH)</w:t>
      </w:r>
      <w:r>
        <w:t xml:space="preserve"> (</w:t>
      </w:r>
      <w:r w:rsidRPr="005A2547">
        <w:t>2014</w:t>
      </w:r>
      <w:r>
        <w:t xml:space="preserve">) </w:t>
      </w:r>
      <w:r w:rsidRPr="006B0272">
        <w:t xml:space="preserve">NIOSH Skin Notation Profiles: </w:t>
      </w:r>
      <w:r w:rsidRPr="005A2547">
        <w:t>Isophorone Diisocyanate</w:t>
      </w:r>
      <w:r>
        <w:t>.</w:t>
      </w:r>
    </w:p>
    <w:sectPr w:rsidR="009749DD" w:rsidRPr="00351FE0" w:rsidSect="00B87D4C">
      <w:headerReference w:type="even" r:id="rId18"/>
      <w:headerReference w:type="default" r:id="rId19"/>
      <w:headerReference w:type="first" r:id="rId20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5E8476" w14:textId="77777777" w:rsidR="007C23F9" w:rsidRDefault="007C23F9" w:rsidP="00F43AD5">
      <w:pPr>
        <w:spacing w:after="0" w:line="240" w:lineRule="auto"/>
      </w:pPr>
      <w:r>
        <w:separator/>
      </w:r>
    </w:p>
  </w:endnote>
  <w:endnote w:type="continuationSeparator" w:id="0">
    <w:p w14:paraId="4BC3F1E0" w14:textId="77777777" w:rsidR="007C23F9" w:rsidRDefault="007C23F9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FD1C8A" w14:textId="77777777" w:rsidR="00B45129" w:rsidRDefault="00B4512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4495F8C1" w14:textId="1913FD57" w:rsidR="00CE0A64" w:rsidRDefault="00CE0A64" w:rsidP="0034744C">
        <w:pPr>
          <w:pStyle w:val="Footer"/>
          <w:rPr>
            <w:sz w:val="18"/>
            <w:szCs w:val="18"/>
          </w:rPr>
        </w:pPr>
        <w:r w:rsidRPr="007C6FAA">
          <w:rPr>
            <w:b/>
            <w:sz w:val="18"/>
            <w:szCs w:val="18"/>
          </w:rPr>
          <w:t xml:space="preserve">Isocyanates, </w:t>
        </w:r>
        <w:r>
          <w:rPr>
            <w:b/>
            <w:sz w:val="18"/>
            <w:szCs w:val="18"/>
          </w:rPr>
          <w:t xml:space="preserve">(Poly-) </w:t>
        </w:r>
        <w:r w:rsidRPr="007C6FAA">
          <w:rPr>
            <w:b/>
            <w:sz w:val="18"/>
            <w:szCs w:val="18"/>
          </w:rPr>
          <w:t xml:space="preserve">(as-NCO) </w:t>
        </w:r>
        <w:r>
          <w:rPr>
            <w:b/>
            <w:sz w:val="18"/>
            <w:szCs w:val="18"/>
          </w:rPr>
          <w:t>(—)</w:t>
        </w:r>
        <w:r w:rsidRPr="00F43AD5">
          <w:rPr>
            <w:sz w:val="18"/>
            <w:szCs w:val="18"/>
          </w:rPr>
          <w:br/>
          <w:t xml:space="preserve">Safe Work Australia </w:t>
        </w:r>
        <w:r w:rsidRPr="00F43AD5">
          <w:rPr>
            <w:rFonts w:ascii="Courier New" w:hAnsi="Courier New" w:cs="Courier New"/>
            <w:sz w:val="18"/>
            <w:szCs w:val="18"/>
          </w:rPr>
          <w:t>—</w:t>
        </w:r>
        <w:r w:rsidRPr="00F43AD5">
          <w:rPr>
            <w:sz w:val="18"/>
            <w:szCs w:val="18"/>
          </w:rPr>
          <w:t xml:space="preserve"> 201</w:t>
        </w:r>
        <w:r>
          <w:rPr>
            <w:sz w:val="18"/>
            <w:szCs w:val="18"/>
          </w:rPr>
          <w:t>9</w:t>
        </w:r>
      </w:p>
      <w:p w14:paraId="4874DF00" w14:textId="1F52BBE5" w:rsidR="00CE0A64" w:rsidRPr="00F43AD5" w:rsidRDefault="00CE0A64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7F5372">
          <w:rPr>
            <w:noProof/>
            <w:sz w:val="18"/>
            <w:szCs w:val="18"/>
          </w:rPr>
          <w:t>2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68FB56" w14:textId="77777777" w:rsidR="00B45129" w:rsidRDefault="00B4512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52F51C" w14:textId="77777777" w:rsidR="007C23F9" w:rsidRDefault="007C23F9" w:rsidP="00F43AD5">
      <w:pPr>
        <w:spacing w:after="0" w:line="240" w:lineRule="auto"/>
      </w:pPr>
      <w:r>
        <w:separator/>
      </w:r>
    </w:p>
  </w:footnote>
  <w:footnote w:type="continuationSeparator" w:id="0">
    <w:p w14:paraId="61071DE4" w14:textId="77777777" w:rsidR="007C23F9" w:rsidRDefault="007C23F9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436D34" w14:textId="418B27FE" w:rsidR="00B45129" w:rsidRDefault="00B4512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0E3EF1" w14:textId="128A0023" w:rsidR="00CE0A64" w:rsidRDefault="00CE0A64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09FC4897" wp14:editId="2E79773D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EADC75" w14:textId="7247A4D3" w:rsidR="00B45129" w:rsidRDefault="00B45129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CE1F9" w14:textId="0A74B843" w:rsidR="00B45129" w:rsidRDefault="00B45129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59BFEB" w14:textId="3ACD9465" w:rsidR="00CE0A64" w:rsidRDefault="00B45129" w:rsidP="00F43AD5">
    <w:pPr>
      <w:pStyle w:val="Header"/>
      <w:jc w:val="right"/>
    </w:pPr>
    <w:r>
      <w:rPr>
        <w:noProof/>
      </w:rPr>
      <w:drawing>
        <wp:inline distT="0" distB="0" distL="0" distR="0" wp14:anchorId="6453D324" wp14:editId="7ED7FE1E">
          <wp:extent cx="2938145" cy="594360"/>
          <wp:effectExtent l="0" t="0" r="0" b="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809519" w14:textId="5333EF6B" w:rsidR="00B45129" w:rsidRDefault="00B4512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14E02C8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01D2B"/>
    <w:multiLevelType w:val="hybridMultilevel"/>
    <w:tmpl w:val="88849E64"/>
    <w:lvl w:ilvl="0" w:tplc="04090003">
      <w:start w:val="1"/>
      <w:numFmt w:val="bullet"/>
      <w:lvlText w:val="o"/>
      <w:lvlJc w:val="left"/>
      <w:pPr>
        <w:ind w:left="2487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2" w15:restartNumberingAfterBreak="0">
    <w:nsid w:val="05983B12"/>
    <w:multiLevelType w:val="hybridMultilevel"/>
    <w:tmpl w:val="C6C8976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5518EC"/>
    <w:multiLevelType w:val="hybridMultilevel"/>
    <w:tmpl w:val="121E558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504CC4"/>
    <w:multiLevelType w:val="hybridMultilevel"/>
    <w:tmpl w:val="2870A836"/>
    <w:lvl w:ilvl="0" w:tplc="F1F01AB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2A06CD"/>
    <w:multiLevelType w:val="hybridMultilevel"/>
    <w:tmpl w:val="28885A4C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38F5143"/>
    <w:multiLevelType w:val="hybridMultilevel"/>
    <w:tmpl w:val="864C9DB2"/>
    <w:lvl w:ilvl="0" w:tplc="04090003">
      <w:start w:val="1"/>
      <w:numFmt w:val="bullet"/>
      <w:lvlText w:val="o"/>
      <w:lvlJc w:val="left"/>
      <w:pPr>
        <w:ind w:left="1074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7" w15:restartNumberingAfterBreak="0">
    <w:nsid w:val="25237140"/>
    <w:multiLevelType w:val="hybridMultilevel"/>
    <w:tmpl w:val="C5CEFCA2"/>
    <w:lvl w:ilvl="0" w:tplc="04090003">
      <w:start w:val="1"/>
      <w:numFmt w:val="bullet"/>
      <w:lvlText w:val="o"/>
      <w:lvlJc w:val="left"/>
      <w:pPr>
        <w:ind w:left="1074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8" w15:restartNumberingAfterBreak="0">
    <w:nsid w:val="31A13542"/>
    <w:multiLevelType w:val="hybridMultilevel"/>
    <w:tmpl w:val="E2CEB11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4FF264E"/>
    <w:multiLevelType w:val="hybridMultilevel"/>
    <w:tmpl w:val="52969DFA"/>
    <w:lvl w:ilvl="0" w:tplc="04090003">
      <w:start w:val="1"/>
      <w:numFmt w:val="bullet"/>
      <w:lvlText w:val="o"/>
      <w:lvlJc w:val="left"/>
      <w:pPr>
        <w:ind w:left="1074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10" w15:restartNumberingAfterBreak="0">
    <w:nsid w:val="4FEF436C"/>
    <w:multiLevelType w:val="hybridMultilevel"/>
    <w:tmpl w:val="A9189EC8"/>
    <w:lvl w:ilvl="0" w:tplc="CD56D8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8E67E6"/>
    <w:multiLevelType w:val="hybridMultilevel"/>
    <w:tmpl w:val="626ADFF6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4F872D2"/>
    <w:multiLevelType w:val="hybridMultilevel"/>
    <w:tmpl w:val="5FF2320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26F180F"/>
    <w:multiLevelType w:val="hybridMultilevel"/>
    <w:tmpl w:val="F7F8AED2"/>
    <w:lvl w:ilvl="0" w:tplc="0A56F3EA">
      <w:start w:val="1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15623B"/>
    <w:multiLevelType w:val="hybridMultilevel"/>
    <w:tmpl w:val="8398F1C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31F49BE"/>
    <w:multiLevelType w:val="hybridMultilevel"/>
    <w:tmpl w:val="80A23BF4"/>
    <w:lvl w:ilvl="0" w:tplc="040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num w:numId="1" w16cid:durableId="1539314101">
    <w:abstractNumId w:val="0"/>
  </w:num>
  <w:num w:numId="2" w16cid:durableId="796487061">
    <w:abstractNumId w:val="15"/>
  </w:num>
  <w:num w:numId="3" w16cid:durableId="274751030">
    <w:abstractNumId w:val="14"/>
  </w:num>
  <w:num w:numId="4" w16cid:durableId="809907104">
    <w:abstractNumId w:val="1"/>
  </w:num>
  <w:num w:numId="5" w16cid:durableId="1158038196">
    <w:abstractNumId w:val="5"/>
  </w:num>
  <w:num w:numId="6" w16cid:durableId="1868637113">
    <w:abstractNumId w:val="0"/>
  </w:num>
  <w:num w:numId="7" w16cid:durableId="250509539">
    <w:abstractNumId w:val="11"/>
  </w:num>
  <w:num w:numId="8" w16cid:durableId="1595943205">
    <w:abstractNumId w:val="8"/>
  </w:num>
  <w:num w:numId="9" w16cid:durableId="572010862">
    <w:abstractNumId w:val="12"/>
  </w:num>
  <w:num w:numId="10" w16cid:durableId="2021279053">
    <w:abstractNumId w:val="2"/>
  </w:num>
  <w:num w:numId="11" w16cid:durableId="1601831764">
    <w:abstractNumId w:val="10"/>
  </w:num>
  <w:num w:numId="12" w16cid:durableId="1560749687">
    <w:abstractNumId w:val="4"/>
  </w:num>
  <w:num w:numId="13" w16cid:durableId="471026613">
    <w:abstractNumId w:val="13"/>
  </w:num>
  <w:num w:numId="14" w16cid:durableId="1081441453">
    <w:abstractNumId w:val="0"/>
  </w:num>
  <w:num w:numId="15" w16cid:durableId="515658571">
    <w:abstractNumId w:val="0"/>
  </w:num>
  <w:num w:numId="16" w16cid:durableId="1616985677">
    <w:abstractNumId w:val="0"/>
  </w:num>
  <w:num w:numId="17" w16cid:durableId="946932556">
    <w:abstractNumId w:val="0"/>
  </w:num>
  <w:num w:numId="18" w16cid:durableId="1714577692">
    <w:abstractNumId w:val="0"/>
  </w:num>
  <w:num w:numId="19" w16cid:durableId="1133257237">
    <w:abstractNumId w:val="0"/>
  </w:num>
  <w:num w:numId="20" w16cid:durableId="125439500">
    <w:abstractNumId w:val="0"/>
  </w:num>
  <w:num w:numId="21" w16cid:durableId="800656284">
    <w:abstractNumId w:val="3"/>
  </w:num>
  <w:num w:numId="22" w16cid:durableId="940840548">
    <w:abstractNumId w:val="7"/>
  </w:num>
  <w:num w:numId="23" w16cid:durableId="1776246817">
    <w:abstractNumId w:val="6"/>
  </w:num>
  <w:num w:numId="24" w16cid:durableId="213505804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characterSpacingControl w:val="doNotCompress"/>
  <w:hdrShapeDefaults>
    <o:shapedefaults v:ext="edit" spidmax="1024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2441"/>
    <w:rsid w:val="00007B80"/>
    <w:rsid w:val="00007EC5"/>
    <w:rsid w:val="000103D1"/>
    <w:rsid w:val="00013A22"/>
    <w:rsid w:val="00014C3F"/>
    <w:rsid w:val="00017C82"/>
    <w:rsid w:val="00032B88"/>
    <w:rsid w:val="00037E52"/>
    <w:rsid w:val="0004346E"/>
    <w:rsid w:val="00044196"/>
    <w:rsid w:val="00046DF5"/>
    <w:rsid w:val="00051815"/>
    <w:rsid w:val="00051FBF"/>
    <w:rsid w:val="00052060"/>
    <w:rsid w:val="0005440E"/>
    <w:rsid w:val="00054C17"/>
    <w:rsid w:val="00054E1E"/>
    <w:rsid w:val="0005574A"/>
    <w:rsid w:val="00055FE1"/>
    <w:rsid w:val="00056EC2"/>
    <w:rsid w:val="0006070F"/>
    <w:rsid w:val="00060B48"/>
    <w:rsid w:val="0006359F"/>
    <w:rsid w:val="00067F32"/>
    <w:rsid w:val="00071807"/>
    <w:rsid w:val="00073A2A"/>
    <w:rsid w:val="0007406C"/>
    <w:rsid w:val="0008030A"/>
    <w:rsid w:val="000803E1"/>
    <w:rsid w:val="00084513"/>
    <w:rsid w:val="00084859"/>
    <w:rsid w:val="00092D94"/>
    <w:rsid w:val="000A086B"/>
    <w:rsid w:val="000A099B"/>
    <w:rsid w:val="000A660A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D449E"/>
    <w:rsid w:val="000E5A54"/>
    <w:rsid w:val="000E63D3"/>
    <w:rsid w:val="000E67CF"/>
    <w:rsid w:val="00101925"/>
    <w:rsid w:val="0010461E"/>
    <w:rsid w:val="00106FAA"/>
    <w:rsid w:val="00113443"/>
    <w:rsid w:val="001137A6"/>
    <w:rsid w:val="00122B62"/>
    <w:rsid w:val="001269A7"/>
    <w:rsid w:val="00131092"/>
    <w:rsid w:val="00140E6A"/>
    <w:rsid w:val="00141BCB"/>
    <w:rsid w:val="00141BF9"/>
    <w:rsid w:val="00146545"/>
    <w:rsid w:val="00146B75"/>
    <w:rsid w:val="0015266D"/>
    <w:rsid w:val="0015288A"/>
    <w:rsid w:val="00155999"/>
    <w:rsid w:val="0015798E"/>
    <w:rsid w:val="00160F47"/>
    <w:rsid w:val="00166F23"/>
    <w:rsid w:val="00171D08"/>
    <w:rsid w:val="00174E96"/>
    <w:rsid w:val="00177CA1"/>
    <w:rsid w:val="00183823"/>
    <w:rsid w:val="00183942"/>
    <w:rsid w:val="001915F6"/>
    <w:rsid w:val="00193F1F"/>
    <w:rsid w:val="001A009E"/>
    <w:rsid w:val="001A1287"/>
    <w:rsid w:val="001A3859"/>
    <w:rsid w:val="001A3C9D"/>
    <w:rsid w:val="001A43F8"/>
    <w:rsid w:val="001A71BC"/>
    <w:rsid w:val="001B79E5"/>
    <w:rsid w:val="001D4471"/>
    <w:rsid w:val="001D56F0"/>
    <w:rsid w:val="001D663B"/>
    <w:rsid w:val="001D7B41"/>
    <w:rsid w:val="001E1F8E"/>
    <w:rsid w:val="001E46DA"/>
    <w:rsid w:val="001E7D80"/>
    <w:rsid w:val="001F1E53"/>
    <w:rsid w:val="001F438E"/>
    <w:rsid w:val="001F474F"/>
    <w:rsid w:val="001F4B6C"/>
    <w:rsid w:val="001F5D38"/>
    <w:rsid w:val="001F62CB"/>
    <w:rsid w:val="001F6ED0"/>
    <w:rsid w:val="001F72E6"/>
    <w:rsid w:val="001F73C5"/>
    <w:rsid w:val="002013A7"/>
    <w:rsid w:val="0020262B"/>
    <w:rsid w:val="00202A52"/>
    <w:rsid w:val="002045AA"/>
    <w:rsid w:val="002045F2"/>
    <w:rsid w:val="002046A6"/>
    <w:rsid w:val="00204956"/>
    <w:rsid w:val="00206FA6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46D30"/>
    <w:rsid w:val="00253297"/>
    <w:rsid w:val="00253B1D"/>
    <w:rsid w:val="0025734A"/>
    <w:rsid w:val="0026234B"/>
    <w:rsid w:val="00263255"/>
    <w:rsid w:val="00266381"/>
    <w:rsid w:val="00276494"/>
    <w:rsid w:val="002770BD"/>
    <w:rsid w:val="00277B0C"/>
    <w:rsid w:val="00282BD9"/>
    <w:rsid w:val="002945F9"/>
    <w:rsid w:val="0029797C"/>
    <w:rsid w:val="002A7258"/>
    <w:rsid w:val="002B1A2C"/>
    <w:rsid w:val="002B7F11"/>
    <w:rsid w:val="002C34F2"/>
    <w:rsid w:val="002C5148"/>
    <w:rsid w:val="002C58FF"/>
    <w:rsid w:val="002C6ECD"/>
    <w:rsid w:val="002C7AFE"/>
    <w:rsid w:val="002D05D2"/>
    <w:rsid w:val="002D67BA"/>
    <w:rsid w:val="002E06D6"/>
    <w:rsid w:val="002E0D61"/>
    <w:rsid w:val="002E336F"/>
    <w:rsid w:val="002E4BE4"/>
    <w:rsid w:val="002E4C7B"/>
    <w:rsid w:val="002F25C1"/>
    <w:rsid w:val="002F3E3E"/>
    <w:rsid w:val="00302D75"/>
    <w:rsid w:val="00306EB2"/>
    <w:rsid w:val="0030740C"/>
    <w:rsid w:val="0031259A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32E9"/>
    <w:rsid w:val="00345C31"/>
    <w:rsid w:val="00347192"/>
    <w:rsid w:val="0034744C"/>
    <w:rsid w:val="00351FE0"/>
    <w:rsid w:val="00352615"/>
    <w:rsid w:val="0035412B"/>
    <w:rsid w:val="0035483C"/>
    <w:rsid w:val="003567A8"/>
    <w:rsid w:val="00362895"/>
    <w:rsid w:val="00362F6C"/>
    <w:rsid w:val="00370DBF"/>
    <w:rsid w:val="003710D0"/>
    <w:rsid w:val="00383B05"/>
    <w:rsid w:val="00386093"/>
    <w:rsid w:val="003904A4"/>
    <w:rsid w:val="00390B7B"/>
    <w:rsid w:val="00391841"/>
    <w:rsid w:val="00391B6D"/>
    <w:rsid w:val="00392F20"/>
    <w:rsid w:val="00393122"/>
    <w:rsid w:val="00394922"/>
    <w:rsid w:val="003A0E32"/>
    <w:rsid w:val="003A25E8"/>
    <w:rsid w:val="003A2B94"/>
    <w:rsid w:val="003A4E4C"/>
    <w:rsid w:val="003A5C21"/>
    <w:rsid w:val="003A70C3"/>
    <w:rsid w:val="003B23A4"/>
    <w:rsid w:val="003B387D"/>
    <w:rsid w:val="003C0D58"/>
    <w:rsid w:val="003C19B1"/>
    <w:rsid w:val="003C3414"/>
    <w:rsid w:val="003D08DB"/>
    <w:rsid w:val="003D2CB2"/>
    <w:rsid w:val="003D4FA3"/>
    <w:rsid w:val="003E0807"/>
    <w:rsid w:val="003E2F2A"/>
    <w:rsid w:val="003E51FB"/>
    <w:rsid w:val="003E6B39"/>
    <w:rsid w:val="003F07E1"/>
    <w:rsid w:val="004030BC"/>
    <w:rsid w:val="00403F7D"/>
    <w:rsid w:val="00405C07"/>
    <w:rsid w:val="00406785"/>
    <w:rsid w:val="004079B4"/>
    <w:rsid w:val="0041537A"/>
    <w:rsid w:val="004170E7"/>
    <w:rsid w:val="00417A56"/>
    <w:rsid w:val="00420957"/>
    <w:rsid w:val="00420D95"/>
    <w:rsid w:val="00422A10"/>
    <w:rsid w:val="00423D2B"/>
    <w:rsid w:val="00425E68"/>
    <w:rsid w:val="00425EAE"/>
    <w:rsid w:val="00426BA8"/>
    <w:rsid w:val="00430179"/>
    <w:rsid w:val="004414B5"/>
    <w:rsid w:val="00444482"/>
    <w:rsid w:val="00444B42"/>
    <w:rsid w:val="00445E44"/>
    <w:rsid w:val="0044792B"/>
    <w:rsid w:val="004509E2"/>
    <w:rsid w:val="004514C7"/>
    <w:rsid w:val="004515EE"/>
    <w:rsid w:val="004529F0"/>
    <w:rsid w:val="00460A03"/>
    <w:rsid w:val="004630E0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6927"/>
    <w:rsid w:val="00497984"/>
    <w:rsid w:val="004A5088"/>
    <w:rsid w:val="004C1E3F"/>
    <w:rsid w:val="004C23F4"/>
    <w:rsid w:val="004C3475"/>
    <w:rsid w:val="004C58B6"/>
    <w:rsid w:val="004D16A3"/>
    <w:rsid w:val="004D24D0"/>
    <w:rsid w:val="004D4AA1"/>
    <w:rsid w:val="004D6D68"/>
    <w:rsid w:val="004E4B15"/>
    <w:rsid w:val="004E5EDD"/>
    <w:rsid w:val="004F3513"/>
    <w:rsid w:val="004F448A"/>
    <w:rsid w:val="004F493D"/>
    <w:rsid w:val="004F65E8"/>
    <w:rsid w:val="0050005E"/>
    <w:rsid w:val="00502574"/>
    <w:rsid w:val="00502B88"/>
    <w:rsid w:val="0051403B"/>
    <w:rsid w:val="005142C4"/>
    <w:rsid w:val="0051509C"/>
    <w:rsid w:val="005272E2"/>
    <w:rsid w:val="0053108F"/>
    <w:rsid w:val="00532B56"/>
    <w:rsid w:val="00534B10"/>
    <w:rsid w:val="0053764E"/>
    <w:rsid w:val="005446A2"/>
    <w:rsid w:val="00544D2F"/>
    <w:rsid w:val="00546917"/>
    <w:rsid w:val="00551BD8"/>
    <w:rsid w:val="00553ECD"/>
    <w:rsid w:val="00563B8D"/>
    <w:rsid w:val="00565AEB"/>
    <w:rsid w:val="00581055"/>
    <w:rsid w:val="0058439A"/>
    <w:rsid w:val="00590AEA"/>
    <w:rsid w:val="00591E38"/>
    <w:rsid w:val="00597E44"/>
    <w:rsid w:val="005A19C5"/>
    <w:rsid w:val="005A1FFC"/>
    <w:rsid w:val="005A2547"/>
    <w:rsid w:val="005A3034"/>
    <w:rsid w:val="005A462D"/>
    <w:rsid w:val="005B253B"/>
    <w:rsid w:val="005B771D"/>
    <w:rsid w:val="005C5D16"/>
    <w:rsid w:val="005C66D3"/>
    <w:rsid w:val="005D05E0"/>
    <w:rsid w:val="005D1D97"/>
    <w:rsid w:val="005D1FFB"/>
    <w:rsid w:val="005D3193"/>
    <w:rsid w:val="005D4A6E"/>
    <w:rsid w:val="005E0009"/>
    <w:rsid w:val="005E68D8"/>
    <w:rsid w:val="005E6979"/>
    <w:rsid w:val="005E75CB"/>
    <w:rsid w:val="005E7858"/>
    <w:rsid w:val="005F2C13"/>
    <w:rsid w:val="00600CBE"/>
    <w:rsid w:val="006011C0"/>
    <w:rsid w:val="006013C1"/>
    <w:rsid w:val="0060669E"/>
    <w:rsid w:val="00610F2E"/>
    <w:rsid w:val="00611399"/>
    <w:rsid w:val="0062107D"/>
    <w:rsid w:val="00623650"/>
    <w:rsid w:val="00624C4E"/>
    <w:rsid w:val="00625200"/>
    <w:rsid w:val="0062582D"/>
    <w:rsid w:val="00635E84"/>
    <w:rsid w:val="006363A8"/>
    <w:rsid w:val="00636DB7"/>
    <w:rsid w:val="0064373B"/>
    <w:rsid w:val="00650905"/>
    <w:rsid w:val="00652696"/>
    <w:rsid w:val="006532ED"/>
    <w:rsid w:val="006549F2"/>
    <w:rsid w:val="006567B7"/>
    <w:rsid w:val="006571B5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334A"/>
    <w:rsid w:val="00695B72"/>
    <w:rsid w:val="006A0F5D"/>
    <w:rsid w:val="006A63FD"/>
    <w:rsid w:val="006A7406"/>
    <w:rsid w:val="006B160A"/>
    <w:rsid w:val="006B29DC"/>
    <w:rsid w:val="006B4E6C"/>
    <w:rsid w:val="006B50B6"/>
    <w:rsid w:val="006B5FEF"/>
    <w:rsid w:val="006B652F"/>
    <w:rsid w:val="006C099F"/>
    <w:rsid w:val="006C406D"/>
    <w:rsid w:val="006D79EA"/>
    <w:rsid w:val="006E5D05"/>
    <w:rsid w:val="006F1B04"/>
    <w:rsid w:val="00701053"/>
    <w:rsid w:val="00701507"/>
    <w:rsid w:val="0070746A"/>
    <w:rsid w:val="00710735"/>
    <w:rsid w:val="00714021"/>
    <w:rsid w:val="007145FC"/>
    <w:rsid w:val="00716A0F"/>
    <w:rsid w:val="00717D45"/>
    <w:rsid w:val="007208F7"/>
    <w:rsid w:val="007218AF"/>
    <w:rsid w:val="007365D1"/>
    <w:rsid w:val="00740E0E"/>
    <w:rsid w:val="00750212"/>
    <w:rsid w:val="00754779"/>
    <w:rsid w:val="007564C5"/>
    <w:rsid w:val="0075716D"/>
    <w:rsid w:val="00757E47"/>
    <w:rsid w:val="00765F14"/>
    <w:rsid w:val="00770E31"/>
    <w:rsid w:val="007745FA"/>
    <w:rsid w:val="007770F1"/>
    <w:rsid w:val="00783FB1"/>
    <w:rsid w:val="00784A01"/>
    <w:rsid w:val="00785CDD"/>
    <w:rsid w:val="007870F1"/>
    <w:rsid w:val="0078772D"/>
    <w:rsid w:val="00791847"/>
    <w:rsid w:val="007925F0"/>
    <w:rsid w:val="007939B3"/>
    <w:rsid w:val="0079509C"/>
    <w:rsid w:val="00796708"/>
    <w:rsid w:val="007A0054"/>
    <w:rsid w:val="007A1422"/>
    <w:rsid w:val="007B1B42"/>
    <w:rsid w:val="007B3245"/>
    <w:rsid w:val="007C23F9"/>
    <w:rsid w:val="007C30EB"/>
    <w:rsid w:val="007C544C"/>
    <w:rsid w:val="007C6FAA"/>
    <w:rsid w:val="007D421A"/>
    <w:rsid w:val="007E05ED"/>
    <w:rsid w:val="007E063C"/>
    <w:rsid w:val="007E2A4B"/>
    <w:rsid w:val="007E307D"/>
    <w:rsid w:val="007E6A4E"/>
    <w:rsid w:val="007E6C94"/>
    <w:rsid w:val="007E744D"/>
    <w:rsid w:val="007F1005"/>
    <w:rsid w:val="007F16AE"/>
    <w:rsid w:val="007F25E0"/>
    <w:rsid w:val="007F5328"/>
    <w:rsid w:val="007F5372"/>
    <w:rsid w:val="007F548B"/>
    <w:rsid w:val="00803861"/>
    <w:rsid w:val="00804F5A"/>
    <w:rsid w:val="00810C6D"/>
    <w:rsid w:val="00812887"/>
    <w:rsid w:val="00813A3D"/>
    <w:rsid w:val="0082040B"/>
    <w:rsid w:val="00826F21"/>
    <w:rsid w:val="00834CC8"/>
    <w:rsid w:val="00835E00"/>
    <w:rsid w:val="00837113"/>
    <w:rsid w:val="00837D0F"/>
    <w:rsid w:val="008414E4"/>
    <w:rsid w:val="00843E21"/>
    <w:rsid w:val="0084508E"/>
    <w:rsid w:val="00857A8A"/>
    <w:rsid w:val="008630EE"/>
    <w:rsid w:val="00864D13"/>
    <w:rsid w:val="00864FCB"/>
    <w:rsid w:val="00871CD5"/>
    <w:rsid w:val="00872FAB"/>
    <w:rsid w:val="008745A2"/>
    <w:rsid w:val="008768A8"/>
    <w:rsid w:val="008859A7"/>
    <w:rsid w:val="0088798F"/>
    <w:rsid w:val="00887E4B"/>
    <w:rsid w:val="008905A3"/>
    <w:rsid w:val="008915C8"/>
    <w:rsid w:val="008A0885"/>
    <w:rsid w:val="008A36CF"/>
    <w:rsid w:val="008A3BC4"/>
    <w:rsid w:val="008B403C"/>
    <w:rsid w:val="008B7983"/>
    <w:rsid w:val="008C2511"/>
    <w:rsid w:val="008C2CF0"/>
    <w:rsid w:val="008D026D"/>
    <w:rsid w:val="008D23AB"/>
    <w:rsid w:val="008D4B8B"/>
    <w:rsid w:val="008D5A78"/>
    <w:rsid w:val="008E4F1F"/>
    <w:rsid w:val="008E7B64"/>
    <w:rsid w:val="008F052C"/>
    <w:rsid w:val="008F52B8"/>
    <w:rsid w:val="008F5DCD"/>
    <w:rsid w:val="00900951"/>
    <w:rsid w:val="00901667"/>
    <w:rsid w:val="00901C85"/>
    <w:rsid w:val="009028DB"/>
    <w:rsid w:val="00904A0F"/>
    <w:rsid w:val="009118A6"/>
    <w:rsid w:val="00916909"/>
    <w:rsid w:val="00916EC0"/>
    <w:rsid w:val="00920467"/>
    <w:rsid w:val="00920EAA"/>
    <w:rsid w:val="00921DE7"/>
    <w:rsid w:val="00925B23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4AAD"/>
    <w:rsid w:val="00955129"/>
    <w:rsid w:val="009578DD"/>
    <w:rsid w:val="00961124"/>
    <w:rsid w:val="009621B6"/>
    <w:rsid w:val="00963BEA"/>
    <w:rsid w:val="00964F9F"/>
    <w:rsid w:val="00967E74"/>
    <w:rsid w:val="009749DD"/>
    <w:rsid w:val="00974F2D"/>
    <w:rsid w:val="00977524"/>
    <w:rsid w:val="00977E88"/>
    <w:rsid w:val="00980AF9"/>
    <w:rsid w:val="00984920"/>
    <w:rsid w:val="0099303A"/>
    <w:rsid w:val="00995A09"/>
    <w:rsid w:val="009971C2"/>
    <w:rsid w:val="009A1254"/>
    <w:rsid w:val="009A353C"/>
    <w:rsid w:val="009B03F7"/>
    <w:rsid w:val="009B2FF2"/>
    <w:rsid w:val="009B380C"/>
    <w:rsid w:val="009B4843"/>
    <w:rsid w:val="009B6543"/>
    <w:rsid w:val="009C199D"/>
    <w:rsid w:val="009C1C30"/>
    <w:rsid w:val="009C278F"/>
    <w:rsid w:val="009C2B94"/>
    <w:rsid w:val="009C5874"/>
    <w:rsid w:val="009D2718"/>
    <w:rsid w:val="009D2D0F"/>
    <w:rsid w:val="009D3B5A"/>
    <w:rsid w:val="009E0C05"/>
    <w:rsid w:val="009E0D1C"/>
    <w:rsid w:val="009E1831"/>
    <w:rsid w:val="009E20BD"/>
    <w:rsid w:val="009E2214"/>
    <w:rsid w:val="009E355A"/>
    <w:rsid w:val="009E63E2"/>
    <w:rsid w:val="009F04D2"/>
    <w:rsid w:val="009F05CF"/>
    <w:rsid w:val="009F0F3A"/>
    <w:rsid w:val="009F65B1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0C58"/>
    <w:rsid w:val="00A31D99"/>
    <w:rsid w:val="00A335B5"/>
    <w:rsid w:val="00A357BA"/>
    <w:rsid w:val="00A35ADC"/>
    <w:rsid w:val="00A376A8"/>
    <w:rsid w:val="00A402A3"/>
    <w:rsid w:val="00A512FE"/>
    <w:rsid w:val="00A53681"/>
    <w:rsid w:val="00A56092"/>
    <w:rsid w:val="00A633D4"/>
    <w:rsid w:val="00A64169"/>
    <w:rsid w:val="00A6461A"/>
    <w:rsid w:val="00A71410"/>
    <w:rsid w:val="00A718B5"/>
    <w:rsid w:val="00A7307A"/>
    <w:rsid w:val="00A84504"/>
    <w:rsid w:val="00A8672F"/>
    <w:rsid w:val="00A93057"/>
    <w:rsid w:val="00A968B0"/>
    <w:rsid w:val="00AA3D0B"/>
    <w:rsid w:val="00AB2672"/>
    <w:rsid w:val="00AB2817"/>
    <w:rsid w:val="00AB43C4"/>
    <w:rsid w:val="00AC32E7"/>
    <w:rsid w:val="00AC3A9F"/>
    <w:rsid w:val="00AC6D2F"/>
    <w:rsid w:val="00AD2462"/>
    <w:rsid w:val="00AD5AA3"/>
    <w:rsid w:val="00AE11C7"/>
    <w:rsid w:val="00AE2745"/>
    <w:rsid w:val="00AE2F64"/>
    <w:rsid w:val="00AE5274"/>
    <w:rsid w:val="00AF1334"/>
    <w:rsid w:val="00AF42CB"/>
    <w:rsid w:val="00AF483F"/>
    <w:rsid w:val="00AF5E07"/>
    <w:rsid w:val="00AF5F06"/>
    <w:rsid w:val="00B00A25"/>
    <w:rsid w:val="00B112BE"/>
    <w:rsid w:val="00B11494"/>
    <w:rsid w:val="00B1422A"/>
    <w:rsid w:val="00B1765C"/>
    <w:rsid w:val="00B213C4"/>
    <w:rsid w:val="00B376DB"/>
    <w:rsid w:val="00B40C60"/>
    <w:rsid w:val="00B45129"/>
    <w:rsid w:val="00B479A9"/>
    <w:rsid w:val="00B52D80"/>
    <w:rsid w:val="00B52EDF"/>
    <w:rsid w:val="00B542E3"/>
    <w:rsid w:val="00B60C0D"/>
    <w:rsid w:val="00B63037"/>
    <w:rsid w:val="00B6342B"/>
    <w:rsid w:val="00B64B35"/>
    <w:rsid w:val="00B67593"/>
    <w:rsid w:val="00B7026F"/>
    <w:rsid w:val="00B71188"/>
    <w:rsid w:val="00B76A41"/>
    <w:rsid w:val="00B83427"/>
    <w:rsid w:val="00B87D4C"/>
    <w:rsid w:val="00B90F1A"/>
    <w:rsid w:val="00B916E8"/>
    <w:rsid w:val="00B93646"/>
    <w:rsid w:val="00BA0B38"/>
    <w:rsid w:val="00BA1DBB"/>
    <w:rsid w:val="00BA4300"/>
    <w:rsid w:val="00BA4510"/>
    <w:rsid w:val="00BA4EC0"/>
    <w:rsid w:val="00BA5141"/>
    <w:rsid w:val="00BA529A"/>
    <w:rsid w:val="00BA72CD"/>
    <w:rsid w:val="00BB612A"/>
    <w:rsid w:val="00BD2225"/>
    <w:rsid w:val="00BD499F"/>
    <w:rsid w:val="00BD56DE"/>
    <w:rsid w:val="00BE401C"/>
    <w:rsid w:val="00BF2406"/>
    <w:rsid w:val="00BF6FF5"/>
    <w:rsid w:val="00C0487D"/>
    <w:rsid w:val="00C06E43"/>
    <w:rsid w:val="00C159D8"/>
    <w:rsid w:val="00C16315"/>
    <w:rsid w:val="00C169C0"/>
    <w:rsid w:val="00C3091E"/>
    <w:rsid w:val="00C37611"/>
    <w:rsid w:val="00C40FF1"/>
    <w:rsid w:val="00C419E2"/>
    <w:rsid w:val="00C43EA1"/>
    <w:rsid w:val="00C45D00"/>
    <w:rsid w:val="00C5020E"/>
    <w:rsid w:val="00C52972"/>
    <w:rsid w:val="00C57452"/>
    <w:rsid w:val="00C60EFB"/>
    <w:rsid w:val="00C61EDF"/>
    <w:rsid w:val="00C6239D"/>
    <w:rsid w:val="00C64F29"/>
    <w:rsid w:val="00C65475"/>
    <w:rsid w:val="00C6594B"/>
    <w:rsid w:val="00C6644C"/>
    <w:rsid w:val="00C67FFB"/>
    <w:rsid w:val="00C7155E"/>
    <w:rsid w:val="00C71D1E"/>
    <w:rsid w:val="00C71D7D"/>
    <w:rsid w:val="00C74833"/>
    <w:rsid w:val="00C850A0"/>
    <w:rsid w:val="00C85A86"/>
    <w:rsid w:val="00C915C5"/>
    <w:rsid w:val="00C95708"/>
    <w:rsid w:val="00C9641C"/>
    <w:rsid w:val="00C978F0"/>
    <w:rsid w:val="00CA0362"/>
    <w:rsid w:val="00CA25A5"/>
    <w:rsid w:val="00CA5810"/>
    <w:rsid w:val="00CA58FE"/>
    <w:rsid w:val="00CB1CB1"/>
    <w:rsid w:val="00CB6BC1"/>
    <w:rsid w:val="00CB6CB8"/>
    <w:rsid w:val="00CC1A68"/>
    <w:rsid w:val="00CC2123"/>
    <w:rsid w:val="00CD187E"/>
    <w:rsid w:val="00CD2411"/>
    <w:rsid w:val="00CD2BFD"/>
    <w:rsid w:val="00CD4E72"/>
    <w:rsid w:val="00CD65AA"/>
    <w:rsid w:val="00CE0A64"/>
    <w:rsid w:val="00CE1DE1"/>
    <w:rsid w:val="00CE5AD6"/>
    <w:rsid w:val="00CE617F"/>
    <w:rsid w:val="00CE78EF"/>
    <w:rsid w:val="00D048F7"/>
    <w:rsid w:val="00D0517E"/>
    <w:rsid w:val="00D13F33"/>
    <w:rsid w:val="00D140FC"/>
    <w:rsid w:val="00D14881"/>
    <w:rsid w:val="00D16ECC"/>
    <w:rsid w:val="00D21D8C"/>
    <w:rsid w:val="00D31357"/>
    <w:rsid w:val="00D33220"/>
    <w:rsid w:val="00D334D1"/>
    <w:rsid w:val="00D400D3"/>
    <w:rsid w:val="00D44C89"/>
    <w:rsid w:val="00D516CD"/>
    <w:rsid w:val="00D61783"/>
    <w:rsid w:val="00D668E6"/>
    <w:rsid w:val="00D70670"/>
    <w:rsid w:val="00D74D80"/>
    <w:rsid w:val="00D76624"/>
    <w:rsid w:val="00D7697F"/>
    <w:rsid w:val="00D86372"/>
    <w:rsid w:val="00D87570"/>
    <w:rsid w:val="00D91CB9"/>
    <w:rsid w:val="00D93020"/>
    <w:rsid w:val="00D97989"/>
    <w:rsid w:val="00D97D8D"/>
    <w:rsid w:val="00DA352E"/>
    <w:rsid w:val="00DA79BF"/>
    <w:rsid w:val="00DB73A8"/>
    <w:rsid w:val="00DC1BD9"/>
    <w:rsid w:val="00DC4A54"/>
    <w:rsid w:val="00DC7694"/>
    <w:rsid w:val="00DD1BF6"/>
    <w:rsid w:val="00DD2A4E"/>
    <w:rsid w:val="00DD2F9B"/>
    <w:rsid w:val="00DE1935"/>
    <w:rsid w:val="00DE2513"/>
    <w:rsid w:val="00DE26E8"/>
    <w:rsid w:val="00DF015C"/>
    <w:rsid w:val="00DF6F36"/>
    <w:rsid w:val="00E0084C"/>
    <w:rsid w:val="00E025AB"/>
    <w:rsid w:val="00E02B23"/>
    <w:rsid w:val="00E06F40"/>
    <w:rsid w:val="00E07CE8"/>
    <w:rsid w:val="00E15A18"/>
    <w:rsid w:val="00E26A07"/>
    <w:rsid w:val="00E30C5B"/>
    <w:rsid w:val="00E32595"/>
    <w:rsid w:val="00E3409B"/>
    <w:rsid w:val="00E36FF0"/>
    <w:rsid w:val="00E37CFD"/>
    <w:rsid w:val="00E41A26"/>
    <w:rsid w:val="00E4367D"/>
    <w:rsid w:val="00E45B2E"/>
    <w:rsid w:val="00E46BCB"/>
    <w:rsid w:val="00E51CAF"/>
    <w:rsid w:val="00E60F04"/>
    <w:rsid w:val="00E62AAC"/>
    <w:rsid w:val="00E67C2F"/>
    <w:rsid w:val="00E67EF5"/>
    <w:rsid w:val="00E7783B"/>
    <w:rsid w:val="00E804EA"/>
    <w:rsid w:val="00E80A71"/>
    <w:rsid w:val="00E82337"/>
    <w:rsid w:val="00E85769"/>
    <w:rsid w:val="00E87C66"/>
    <w:rsid w:val="00E92499"/>
    <w:rsid w:val="00E949AF"/>
    <w:rsid w:val="00E95033"/>
    <w:rsid w:val="00E96077"/>
    <w:rsid w:val="00EA0A06"/>
    <w:rsid w:val="00EA14AF"/>
    <w:rsid w:val="00EA39A7"/>
    <w:rsid w:val="00EA6243"/>
    <w:rsid w:val="00EA74AB"/>
    <w:rsid w:val="00EB235F"/>
    <w:rsid w:val="00EB3D1B"/>
    <w:rsid w:val="00EC16B1"/>
    <w:rsid w:val="00ED1D89"/>
    <w:rsid w:val="00ED421D"/>
    <w:rsid w:val="00ED57DA"/>
    <w:rsid w:val="00ED66BC"/>
    <w:rsid w:val="00EE0A04"/>
    <w:rsid w:val="00EF233A"/>
    <w:rsid w:val="00EF303E"/>
    <w:rsid w:val="00EF3A40"/>
    <w:rsid w:val="00EF7F78"/>
    <w:rsid w:val="00F01B08"/>
    <w:rsid w:val="00F01C48"/>
    <w:rsid w:val="00F01C4D"/>
    <w:rsid w:val="00F053FA"/>
    <w:rsid w:val="00F07291"/>
    <w:rsid w:val="00F10C97"/>
    <w:rsid w:val="00F11C71"/>
    <w:rsid w:val="00F12CAF"/>
    <w:rsid w:val="00F145D8"/>
    <w:rsid w:val="00F16019"/>
    <w:rsid w:val="00F20E68"/>
    <w:rsid w:val="00F22093"/>
    <w:rsid w:val="00F236DF"/>
    <w:rsid w:val="00F24EED"/>
    <w:rsid w:val="00F41FF6"/>
    <w:rsid w:val="00F43AD5"/>
    <w:rsid w:val="00F4402E"/>
    <w:rsid w:val="00F56DD0"/>
    <w:rsid w:val="00F6491C"/>
    <w:rsid w:val="00F67BBB"/>
    <w:rsid w:val="00F7355B"/>
    <w:rsid w:val="00F87D92"/>
    <w:rsid w:val="00F90AA7"/>
    <w:rsid w:val="00F9198C"/>
    <w:rsid w:val="00F92498"/>
    <w:rsid w:val="00F9496B"/>
    <w:rsid w:val="00F970C9"/>
    <w:rsid w:val="00FA06A8"/>
    <w:rsid w:val="00FA3DF5"/>
    <w:rsid w:val="00FA741F"/>
    <w:rsid w:val="00FB1A03"/>
    <w:rsid w:val="00FB4E07"/>
    <w:rsid w:val="00FB53DD"/>
    <w:rsid w:val="00FB755A"/>
    <w:rsid w:val="00FB7C24"/>
    <w:rsid w:val="00FC2C5C"/>
    <w:rsid w:val="00FC3FC0"/>
    <w:rsid w:val="00FC60A2"/>
    <w:rsid w:val="00FD1871"/>
    <w:rsid w:val="00FD3110"/>
    <w:rsid w:val="00FE1714"/>
    <w:rsid w:val="00FE566B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7"/>
    <o:shapelayout v:ext="edit">
      <o:idmap v:ext="edit" data="1"/>
    </o:shapelayout>
  </w:shapeDefaults>
  <w:decimalSymbol w:val="."/>
  <w:listSeparator w:val=","/>
  <w14:docId w14:val="25B8CC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8E4F1F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DA79B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A79BF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A79BF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79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79BF"/>
    <w:rPr>
      <w:b/>
      <w:bCs/>
      <w:szCs w:val="20"/>
    </w:rPr>
  </w:style>
  <w:style w:type="paragraph" w:styleId="ListBullet">
    <w:name w:val="List Bullet"/>
    <w:basedOn w:val="Normal"/>
    <w:uiPriority w:val="99"/>
    <w:unhideWhenUsed/>
    <w:rsid w:val="00206FA6"/>
    <w:pPr>
      <w:numPr>
        <w:numId w:val="1"/>
      </w:numPr>
      <w:contextualSpacing/>
    </w:pPr>
  </w:style>
  <w:style w:type="paragraph" w:styleId="ListParagraph">
    <w:name w:val="List Paragraph"/>
    <w:basedOn w:val="Normal"/>
    <w:uiPriority w:val="34"/>
    <w:qFormat/>
    <w:rsid w:val="000D44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8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6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DA2FFE9CEF2D415F9F59B567F352ED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E881C5-42A4-4306-B55E-10EEC441C04B}"/>
      </w:docPartPr>
      <w:docPartBody>
        <w:p w:rsidR="000676A3" w:rsidRDefault="00CA72D3" w:rsidP="00CA72D3">
          <w:pPr>
            <w:pStyle w:val="DA2FFE9CEF2D415F9F59B567F352ED2C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6BA97CEF27614643BA529D930D1B1D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3C41A3-6901-470D-BCAD-414F27C15048}"/>
      </w:docPartPr>
      <w:docPartBody>
        <w:p w:rsidR="00166079" w:rsidRDefault="00703C48" w:rsidP="00703C48">
          <w:pPr>
            <w:pStyle w:val="6BA97CEF27614643BA529D930D1B1D57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68E1D261609484891E8B7C40E677A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644FA2-4893-4996-B37D-13F879F64F53}"/>
      </w:docPartPr>
      <w:docPartBody>
        <w:p w:rsidR="00166079" w:rsidRDefault="00703C48" w:rsidP="00703C48">
          <w:pPr>
            <w:pStyle w:val="568E1D261609484891E8B7C40E677AC5"/>
          </w:pPr>
          <w:r w:rsidRPr="00724F1C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676A3"/>
    <w:rsid w:val="000A5D4D"/>
    <w:rsid w:val="000D1A5D"/>
    <w:rsid w:val="00107D10"/>
    <w:rsid w:val="00166079"/>
    <w:rsid w:val="003452F9"/>
    <w:rsid w:val="00347D16"/>
    <w:rsid w:val="00365A30"/>
    <w:rsid w:val="003E0149"/>
    <w:rsid w:val="005E6E8C"/>
    <w:rsid w:val="00703C48"/>
    <w:rsid w:val="00755FBF"/>
    <w:rsid w:val="009966A7"/>
    <w:rsid w:val="00A33FA1"/>
    <w:rsid w:val="00A42368"/>
    <w:rsid w:val="00A76EEC"/>
    <w:rsid w:val="00AA3D0B"/>
    <w:rsid w:val="00B92155"/>
    <w:rsid w:val="00BF5047"/>
    <w:rsid w:val="00CA72D3"/>
    <w:rsid w:val="00D21A9F"/>
    <w:rsid w:val="00DD1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03C48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DA2FFE9CEF2D415F9F59B567F352ED2C">
    <w:name w:val="DA2FFE9CEF2D415F9F59B567F352ED2C"/>
    <w:rsid w:val="00CA72D3"/>
  </w:style>
  <w:style w:type="paragraph" w:customStyle="1" w:styleId="6BA97CEF27614643BA529D930D1B1D57">
    <w:name w:val="6BA97CEF27614643BA529D930D1B1D57"/>
    <w:rsid w:val="00703C48"/>
  </w:style>
  <w:style w:type="paragraph" w:customStyle="1" w:styleId="568E1D261609484891E8B7C40E677AC5">
    <w:name w:val="568E1D261609484891E8B7C40E677AC5"/>
    <w:rsid w:val="00703C4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73A0C3C-2411-4A35-BC09-B12DEB66D0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E79130-ACE3-49C1-BF1A-AE96ED372C8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4CEF2C2-D844-491F-A5E5-0DCAB1AC30EF}">
  <ds:schemaRefs>
    <ds:schemaRef ds:uri="http://schemas.microsoft.com/office/2006/metadata/properties"/>
    <ds:schemaRef ds:uri="http://purl.org/dc/dcmitype/"/>
    <ds:schemaRef ds:uri="bf54d604-3e62-4e70-ba33-9e9084b96a66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E27672EB-CF37-4682-BC0D-49AC8660531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3233</Words>
  <Characters>18433</Characters>
  <Application>Microsoft Office Word</Application>
  <DocSecurity>0</DocSecurity>
  <Lines>153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2020-02-05T03:08:00Z</dcterms:created>
  <dcterms:modified xsi:type="dcterms:W3CDTF">2026-01-02T05:16:00Z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2026-01-02T05:16:25Z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ad72513d-e4f3-4b84-aa8b-75081ea5d484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</Properties>
</file>