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B17B34E" w14:textId="77777777" w:rsidR="00BD499F" w:rsidRPr="004C23F4" w:rsidRDefault="00E5402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</w:t>
          </w:r>
          <w:r w:rsidR="00A2233C">
            <w:rPr>
              <w:rFonts w:ascii="Arial" w:hAnsi="Arial" w:cs="Arial"/>
            </w:rPr>
            <w:t xml:space="preserve">ec-hexyl </w:t>
          </w:r>
          <w:r>
            <w:rPr>
              <w:rFonts w:ascii="Arial" w:hAnsi="Arial" w:cs="Arial"/>
            </w:rPr>
            <w:t>acetate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3E9C0DE0" w14:textId="77777777" w:rsidTr="00B76A41">
        <w:trPr>
          <w:cantSplit/>
          <w:tblHeader/>
        </w:trPr>
        <w:tc>
          <w:tcPr>
            <w:tcW w:w="4077" w:type="dxa"/>
          </w:tcPr>
          <w:p w14:paraId="474687C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7D4ED2F" w14:textId="77777777" w:rsidR="00F43AD5" w:rsidRPr="00717D45" w:rsidRDefault="00E54022" w:rsidP="00B76A41">
            <w:pPr>
              <w:pStyle w:val="Tablefont"/>
            </w:pPr>
            <w:r>
              <w:t>108-84-9</w:t>
            </w:r>
          </w:p>
        </w:tc>
      </w:tr>
      <w:tr w:rsidR="00F43AD5" w:rsidRPr="004C23F4" w14:paraId="6BF4BC5B" w14:textId="77777777" w:rsidTr="00B76A41">
        <w:trPr>
          <w:cantSplit/>
        </w:trPr>
        <w:tc>
          <w:tcPr>
            <w:tcW w:w="4077" w:type="dxa"/>
          </w:tcPr>
          <w:p w14:paraId="03CD102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CF0C64F" w14:textId="77777777" w:rsidR="00F43AD5" w:rsidRPr="00717D45" w:rsidRDefault="00E54022" w:rsidP="00B76A41">
            <w:pPr>
              <w:pStyle w:val="Tablefont"/>
            </w:pPr>
            <w:r>
              <w:t>1,3-</w:t>
            </w:r>
            <w:proofErr w:type="spellStart"/>
            <w:r>
              <w:t>Dimethylbutyl</w:t>
            </w:r>
            <w:proofErr w:type="spellEnd"/>
            <w:r>
              <w:t xml:space="preserve"> acetate, methyl isoamyl acetate</w:t>
            </w:r>
          </w:p>
        </w:tc>
      </w:tr>
      <w:tr w:rsidR="00F43AD5" w:rsidRPr="004C23F4" w14:paraId="407C1EC2" w14:textId="77777777" w:rsidTr="00B76A41">
        <w:trPr>
          <w:cantSplit/>
        </w:trPr>
        <w:tc>
          <w:tcPr>
            <w:tcW w:w="4077" w:type="dxa"/>
          </w:tcPr>
          <w:p w14:paraId="26EAF26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E6269A8" w14:textId="77777777" w:rsidR="00F43AD5" w:rsidRPr="00717D45" w:rsidRDefault="00E54022" w:rsidP="00B76A41">
            <w:pPr>
              <w:pStyle w:val="Tablefont"/>
            </w:pPr>
            <w:proofErr w:type="spellStart"/>
            <w:r>
              <w:t>C</w:t>
            </w:r>
            <w:r w:rsidRPr="00E54022">
              <w:rPr>
                <w:vertAlign w:val="subscript"/>
              </w:rPr>
              <w:t>8</w:t>
            </w:r>
            <w:r>
              <w:t>H</w:t>
            </w:r>
            <w:r w:rsidRPr="00E54022">
              <w:rPr>
                <w:vertAlign w:val="subscript"/>
              </w:rPr>
              <w:t>16</w:t>
            </w:r>
            <w:r>
              <w:t>O</w:t>
            </w:r>
            <w:r w:rsidRPr="00E54022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76827B9E" w14:textId="77777777" w:rsidTr="00B76A41">
        <w:trPr>
          <w:cantSplit/>
        </w:trPr>
        <w:tc>
          <w:tcPr>
            <w:tcW w:w="4077" w:type="dxa"/>
          </w:tcPr>
          <w:p w14:paraId="74B4D25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7F53F19" w14:textId="77777777" w:rsidR="00F43AD5" w:rsidRPr="00B40C60" w:rsidRDefault="00E54022" w:rsidP="00B76A41">
            <w:pPr>
              <w:pStyle w:val="Tablerowheading"/>
              <w:rPr>
                <w:b w:val="0"/>
              </w:rPr>
            </w:pPr>
            <w:r w:rsidRPr="00E54022">
              <w:rPr>
                <w:b w:val="0"/>
              </w:rPr>
              <w:t>—</w:t>
            </w:r>
          </w:p>
        </w:tc>
      </w:tr>
    </w:tbl>
    <w:p w14:paraId="06CD5EE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B5EB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E54022" w:rsidRPr="004C23F4" w14:paraId="3640E4AD" w14:textId="77777777" w:rsidTr="00E54022">
        <w:trPr>
          <w:cantSplit/>
          <w:tblHeader/>
        </w:trPr>
        <w:tc>
          <w:tcPr>
            <w:tcW w:w="4011" w:type="dxa"/>
            <w:vAlign w:val="center"/>
          </w:tcPr>
          <w:p w14:paraId="0FBF6DC3" w14:textId="77777777" w:rsidR="00E54022" w:rsidRPr="002C58FF" w:rsidRDefault="00E54022" w:rsidP="00E54022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3DE28624" w14:textId="77777777" w:rsidR="00E54022" w:rsidRPr="006B5EBE" w:rsidRDefault="006B5EBE" w:rsidP="00E54022">
            <w:pPr>
              <w:pStyle w:val="Tablerowheading"/>
            </w:pPr>
            <w:r>
              <w:t>50 ppm (295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</w:p>
        </w:tc>
      </w:tr>
      <w:tr w:rsidR="00E54022" w:rsidRPr="004C23F4" w14:paraId="7D6FFDF5" w14:textId="77777777" w:rsidTr="00E54022">
        <w:trPr>
          <w:cantSplit/>
        </w:trPr>
        <w:tc>
          <w:tcPr>
            <w:tcW w:w="4011" w:type="dxa"/>
            <w:vAlign w:val="center"/>
          </w:tcPr>
          <w:p w14:paraId="72919344" w14:textId="77777777" w:rsidR="00E54022" w:rsidRPr="002C58FF" w:rsidRDefault="00E54022" w:rsidP="00E5402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55CB9069" w14:textId="77777777" w:rsidR="00E54022" w:rsidRPr="00E54022" w:rsidRDefault="00E54022" w:rsidP="00E54022">
            <w:pPr>
              <w:pStyle w:val="Tablerowheading"/>
            </w:pPr>
            <w:r w:rsidRPr="00E54022">
              <w:t>—</w:t>
            </w:r>
          </w:p>
        </w:tc>
      </w:tr>
      <w:tr w:rsidR="00E54022" w:rsidRPr="004C23F4" w14:paraId="33279A26" w14:textId="77777777" w:rsidTr="00E54022">
        <w:trPr>
          <w:cantSplit/>
        </w:trPr>
        <w:tc>
          <w:tcPr>
            <w:tcW w:w="4011" w:type="dxa"/>
            <w:vAlign w:val="center"/>
          </w:tcPr>
          <w:p w14:paraId="4C6E9CD6" w14:textId="77777777" w:rsidR="00E54022" w:rsidRPr="002C58FF" w:rsidRDefault="00E54022" w:rsidP="00E54022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4A8388E5" w14:textId="77777777" w:rsidR="00E54022" w:rsidRPr="00E54022" w:rsidRDefault="00E54022" w:rsidP="00E54022">
            <w:pPr>
              <w:pStyle w:val="Tablerowheading"/>
            </w:pPr>
            <w:r w:rsidRPr="00E54022">
              <w:t>—</w:t>
            </w:r>
          </w:p>
        </w:tc>
      </w:tr>
      <w:tr w:rsidR="00E54022" w:rsidRPr="004C23F4" w14:paraId="09BB1E06" w14:textId="77777777" w:rsidTr="00E54022">
        <w:trPr>
          <w:cantSplit/>
        </w:trPr>
        <w:tc>
          <w:tcPr>
            <w:tcW w:w="4011" w:type="dxa"/>
          </w:tcPr>
          <w:p w14:paraId="11517F4C" w14:textId="77777777" w:rsidR="00E54022" w:rsidRPr="002C58FF" w:rsidRDefault="00E54022" w:rsidP="00E5402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7E8D31C4" w14:textId="77777777" w:rsidR="00E54022" w:rsidRPr="00E54022" w:rsidRDefault="00E54022" w:rsidP="00E54022">
            <w:pPr>
              <w:pStyle w:val="Tablerowheading"/>
            </w:pPr>
            <w:r w:rsidRPr="00E54022">
              <w:t>—</w:t>
            </w:r>
          </w:p>
        </w:tc>
      </w:tr>
      <w:tr w:rsidR="00E54022" w:rsidRPr="004C23F4" w14:paraId="30489C98" w14:textId="77777777" w:rsidTr="00E54022">
        <w:trPr>
          <w:cantSplit/>
        </w:trPr>
        <w:tc>
          <w:tcPr>
            <w:tcW w:w="4011" w:type="dxa"/>
            <w:vAlign w:val="center"/>
          </w:tcPr>
          <w:p w14:paraId="6A7B7C5B" w14:textId="77777777" w:rsidR="00E54022" w:rsidRPr="002C58FF" w:rsidRDefault="00E54022" w:rsidP="00E5402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5" w:type="dxa"/>
          </w:tcPr>
          <w:p w14:paraId="1E5EA765" w14:textId="77777777" w:rsidR="00E54022" w:rsidRPr="00E54022" w:rsidRDefault="00200519" w:rsidP="00E54022">
            <w:pPr>
              <w:pStyle w:val="Tablerowheading"/>
            </w:pPr>
            <w:r>
              <w:t>500 ppm</w:t>
            </w:r>
          </w:p>
        </w:tc>
      </w:tr>
      <w:tr w:rsidR="00426A7F" w:rsidRPr="004C23F4" w14:paraId="24DF1A9F" w14:textId="77777777" w:rsidTr="008C57E3">
        <w:trPr>
          <w:cantSplit/>
        </w:trPr>
        <w:tc>
          <w:tcPr>
            <w:tcW w:w="9026" w:type="dxa"/>
            <w:gridSpan w:val="2"/>
            <w:vAlign w:val="center"/>
          </w:tcPr>
          <w:p w14:paraId="6CAC30F5" w14:textId="77777777" w:rsidR="00426A7F" w:rsidRPr="00426A7F" w:rsidRDefault="00426A7F" w:rsidP="00E54022">
            <w:pPr>
              <w:pStyle w:val="Tablerowheading"/>
            </w:pPr>
            <w:r w:rsidRPr="00426A7F">
              <w:t>Sampling and analysis:</w:t>
            </w:r>
            <w:r w:rsidRPr="00426A7F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8BE4286C553E4C1F87135C5492CC3CF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E0D03B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54D8B9" w14:textId="20AD4D4E" w:rsidR="006639B4" w:rsidRDefault="000617C7" w:rsidP="000C139A">
      <w:pPr>
        <w:rPr>
          <w:rFonts w:cs="Arial"/>
        </w:rPr>
      </w:pPr>
      <w:r>
        <w:rPr>
          <w:rFonts w:cs="Arial"/>
        </w:rPr>
        <w:t>An interim</w:t>
      </w:r>
      <w:r w:rsidR="00D70639">
        <w:rPr>
          <w:rFonts w:cs="Arial"/>
        </w:rPr>
        <w:t xml:space="preserve"> </w:t>
      </w:r>
      <w:r w:rsidR="00E925EC" w:rsidRPr="006B5EBE">
        <w:rPr>
          <w:rFonts w:cs="Arial"/>
        </w:rPr>
        <w:t xml:space="preserve">TWA of </w:t>
      </w:r>
      <w:r w:rsidR="00E925EC">
        <w:rPr>
          <w:rFonts w:cs="Arial"/>
        </w:rPr>
        <w:t>50</w:t>
      </w:r>
      <w:r w:rsidR="00E925EC" w:rsidRPr="006B5EBE">
        <w:rPr>
          <w:rFonts w:cs="Arial"/>
        </w:rPr>
        <w:t xml:space="preserve"> ppm (</w:t>
      </w:r>
      <w:r w:rsidR="00E925EC">
        <w:rPr>
          <w:rFonts w:cs="Arial"/>
        </w:rPr>
        <w:t>295</w:t>
      </w:r>
      <w:r w:rsidR="00E925EC" w:rsidRPr="006B5EBE">
        <w:rPr>
          <w:rFonts w:cs="Arial"/>
        </w:rPr>
        <w:t xml:space="preserve"> mg/</w:t>
      </w:r>
      <w:proofErr w:type="spellStart"/>
      <w:r w:rsidR="00E925EC" w:rsidRPr="006B5EBE">
        <w:rPr>
          <w:rFonts w:cs="Arial"/>
        </w:rPr>
        <w:t>m</w:t>
      </w:r>
      <w:r w:rsidR="00E925EC" w:rsidRPr="006B5EBE">
        <w:rPr>
          <w:rFonts w:cs="Arial"/>
          <w:vertAlign w:val="superscript"/>
        </w:rPr>
        <w:t>3</w:t>
      </w:r>
      <w:proofErr w:type="spellEnd"/>
      <w:r w:rsidR="00E925EC">
        <w:rPr>
          <w:rFonts w:cs="Arial"/>
        </w:rPr>
        <w:t>) is recommended</w:t>
      </w:r>
      <w:r w:rsidR="00E925EC" w:rsidRPr="006B5EBE">
        <w:rPr>
          <w:rFonts w:cs="Arial"/>
        </w:rPr>
        <w:t xml:space="preserve"> </w:t>
      </w:r>
      <w:r w:rsidR="006B5EBE" w:rsidRPr="006B5EBE">
        <w:rPr>
          <w:rFonts w:cs="Arial"/>
        </w:rPr>
        <w:t xml:space="preserve">to protect for irritant effects and </w:t>
      </w:r>
      <w:r w:rsidR="006B5EBE">
        <w:rPr>
          <w:rFonts w:cs="Arial"/>
        </w:rPr>
        <w:t>objectionable odour and taste in exposed workers.</w:t>
      </w:r>
    </w:p>
    <w:p w14:paraId="760B2F75" w14:textId="77777777" w:rsidR="00C43A3E" w:rsidRPr="004C23F4" w:rsidRDefault="00C43A3E" w:rsidP="000C139A">
      <w:pPr>
        <w:rPr>
          <w:rFonts w:cs="Arial"/>
        </w:rPr>
      </w:pPr>
      <w:r w:rsidRPr="00C43A3E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6289E4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F4BFC1A" w14:textId="77777777" w:rsidR="00716A80" w:rsidRDefault="001F5EC9" w:rsidP="006639B4">
      <w:pPr>
        <w:rPr>
          <w:rFonts w:cs="Arial"/>
        </w:rPr>
      </w:pPr>
      <w:r w:rsidRPr="005B3AB8">
        <w:rPr>
          <w:rFonts w:cs="Arial"/>
          <w:i/>
        </w:rPr>
        <w:t>sec</w:t>
      </w:r>
      <w:r>
        <w:rPr>
          <w:rFonts w:cs="Arial"/>
        </w:rPr>
        <w:t xml:space="preserve">-Hexyl acetate is used as a solvent and fragrance ingredient. </w:t>
      </w:r>
    </w:p>
    <w:p w14:paraId="21135F24" w14:textId="7CC4D673" w:rsidR="00716A80" w:rsidRDefault="001F5EC9" w:rsidP="006639B4">
      <w:pPr>
        <w:rPr>
          <w:rFonts w:cs="Arial"/>
        </w:rPr>
      </w:pPr>
      <w:r>
        <w:rPr>
          <w:rFonts w:cs="Arial"/>
        </w:rPr>
        <w:t>Critical effects</w:t>
      </w:r>
      <w:r w:rsidR="00716A80">
        <w:rPr>
          <w:rFonts w:cs="Arial"/>
        </w:rPr>
        <w:t xml:space="preserve"> of exposure</w:t>
      </w:r>
      <w:r>
        <w:rPr>
          <w:rFonts w:cs="Arial"/>
        </w:rPr>
        <w:t xml:space="preserve"> are eye and upper respiratory tract irritation</w:t>
      </w:r>
      <w:r w:rsidR="0005067E">
        <w:rPr>
          <w:rFonts w:cs="Arial"/>
        </w:rPr>
        <w:t xml:space="preserve"> </w:t>
      </w:r>
      <w:r>
        <w:rPr>
          <w:rFonts w:cs="Arial"/>
        </w:rPr>
        <w:t>and objectionable taste and odour at concentrations above 100 ppm.</w:t>
      </w:r>
      <w:r w:rsidR="00716A80">
        <w:rPr>
          <w:rFonts w:cs="Arial"/>
        </w:rPr>
        <w:t xml:space="preserve"> </w:t>
      </w:r>
      <w:r w:rsidR="00837A3D">
        <w:rPr>
          <w:rFonts w:cs="Arial"/>
        </w:rPr>
        <w:t>The toxicological database for the substance is very limited, but indicates low acute toxicity (</w:t>
      </w:r>
      <w:proofErr w:type="spellStart"/>
      <w:r w:rsidR="00837A3D">
        <w:rPr>
          <w:rFonts w:cs="Arial"/>
        </w:rPr>
        <w:t>HCOTN</w:t>
      </w:r>
      <w:proofErr w:type="spellEnd"/>
      <w:r w:rsidR="00837A3D">
        <w:rPr>
          <w:rFonts w:cs="Arial"/>
        </w:rPr>
        <w:t>,</w:t>
      </w:r>
      <w:r w:rsidR="0093204E">
        <w:rPr>
          <w:rFonts w:cs="Arial"/>
        </w:rPr>
        <w:t> </w:t>
      </w:r>
      <w:r w:rsidR="00837A3D">
        <w:rPr>
          <w:rFonts w:cs="Arial"/>
        </w:rPr>
        <w:t xml:space="preserve">2002). Chronic exposure studies for animals or humans </w:t>
      </w:r>
      <w:r w:rsidR="00C43A3E">
        <w:rPr>
          <w:rFonts w:cs="Arial"/>
        </w:rPr>
        <w:t>a</w:t>
      </w:r>
      <w:r w:rsidR="00837A3D">
        <w:rPr>
          <w:rFonts w:cs="Arial"/>
        </w:rPr>
        <w:t>re not presented in the available source material (</w:t>
      </w:r>
      <w:proofErr w:type="spellStart"/>
      <w:r w:rsidR="00837A3D">
        <w:rPr>
          <w:rFonts w:cs="Arial"/>
        </w:rPr>
        <w:t>ACGIH</w:t>
      </w:r>
      <w:proofErr w:type="spellEnd"/>
      <w:r w:rsidR="00837A3D">
        <w:rPr>
          <w:rFonts w:cs="Arial"/>
        </w:rPr>
        <w:t xml:space="preserve">, 2018; </w:t>
      </w:r>
      <w:proofErr w:type="spellStart"/>
      <w:r w:rsidR="002379D0">
        <w:rPr>
          <w:rFonts w:cs="Arial"/>
        </w:rPr>
        <w:t>DFG</w:t>
      </w:r>
      <w:proofErr w:type="spellEnd"/>
      <w:r w:rsidR="002379D0">
        <w:rPr>
          <w:rFonts w:cs="Arial"/>
        </w:rPr>
        <w:t xml:space="preserve">, 2000; </w:t>
      </w:r>
      <w:proofErr w:type="spellStart"/>
      <w:r w:rsidR="00837A3D">
        <w:rPr>
          <w:rFonts w:cs="Arial"/>
        </w:rPr>
        <w:t>HCOTN</w:t>
      </w:r>
      <w:proofErr w:type="spellEnd"/>
      <w:r w:rsidR="00837A3D">
        <w:rPr>
          <w:rFonts w:cs="Arial"/>
        </w:rPr>
        <w:t xml:space="preserve">, 2002). A volunteer study </w:t>
      </w:r>
      <w:r w:rsidR="000617C7">
        <w:rPr>
          <w:rFonts w:cs="Arial"/>
        </w:rPr>
        <w:t>reports</w:t>
      </w:r>
      <w:r w:rsidR="00837A3D">
        <w:rPr>
          <w:rFonts w:cs="Arial"/>
        </w:rPr>
        <w:t xml:space="preserve"> eye and upper respiratory tract irritation and objectionable odour and taste at 100 ppm over </w:t>
      </w:r>
      <w:r w:rsidR="005B3AB8">
        <w:rPr>
          <w:rFonts w:cs="Arial"/>
        </w:rPr>
        <w:t>fifteen</w:t>
      </w:r>
      <w:r w:rsidR="00426A7F">
        <w:rPr>
          <w:rFonts w:cs="Arial"/>
        </w:rPr>
        <w:t xml:space="preserve"> </w:t>
      </w:r>
      <w:r w:rsidR="00837A3D">
        <w:rPr>
          <w:rFonts w:cs="Arial"/>
        </w:rPr>
        <w:t>minute</w:t>
      </w:r>
      <w:r w:rsidR="00E925EC">
        <w:rPr>
          <w:rFonts w:cs="Arial"/>
        </w:rPr>
        <w:t>-</w:t>
      </w:r>
      <w:r w:rsidR="00837A3D">
        <w:rPr>
          <w:rFonts w:cs="Arial"/>
        </w:rPr>
        <w:t>exposures (</w:t>
      </w:r>
      <w:proofErr w:type="spellStart"/>
      <w:r w:rsidR="00837A3D">
        <w:rPr>
          <w:rFonts w:cs="Arial"/>
        </w:rPr>
        <w:t>ACGIH</w:t>
      </w:r>
      <w:proofErr w:type="spellEnd"/>
      <w:r w:rsidR="00837A3D">
        <w:rPr>
          <w:rFonts w:cs="Arial"/>
        </w:rPr>
        <w:t xml:space="preserve">, 2018). </w:t>
      </w:r>
    </w:p>
    <w:p w14:paraId="7F35BEEB" w14:textId="3C840531" w:rsidR="00837A3D" w:rsidRPr="004C23F4" w:rsidRDefault="000617C7" w:rsidP="006639B4">
      <w:pPr>
        <w:rPr>
          <w:rFonts w:cs="Arial"/>
        </w:rPr>
      </w:pPr>
      <w:r>
        <w:rPr>
          <w:rFonts w:cs="Arial"/>
        </w:rPr>
        <w:t>A</w:t>
      </w:r>
      <w:r w:rsidR="00D70639">
        <w:rPr>
          <w:rFonts w:cs="Arial"/>
        </w:rPr>
        <w:t xml:space="preserve"> </w:t>
      </w:r>
      <w:r w:rsidR="00837A3D">
        <w:rPr>
          <w:rFonts w:cs="Arial"/>
        </w:rPr>
        <w:t xml:space="preserve">TWA </w:t>
      </w:r>
      <w:r w:rsidR="00D70639">
        <w:rPr>
          <w:rFonts w:cs="Arial"/>
        </w:rPr>
        <w:t xml:space="preserve">of 50 ppm </w:t>
      </w:r>
      <w:r w:rsidR="00837A3D">
        <w:rPr>
          <w:rFonts w:cs="Arial"/>
        </w:rPr>
        <w:t>is</w:t>
      </w:r>
      <w:r w:rsidR="00716A80">
        <w:rPr>
          <w:rFonts w:cs="Arial"/>
        </w:rPr>
        <w:t xml:space="preserve"> recommended </w:t>
      </w:r>
      <w:r w:rsidR="00837A3D">
        <w:rPr>
          <w:rFonts w:cs="Arial"/>
        </w:rPr>
        <w:t xml:space="preserve">in the interim as it is expected to be protective </w:t>
      </w:r>
      <w:r w:rsidR="002379D0">
        <w:rPr>
          <w:rFonts w:cs="Arial"/>
        </w:rPr>
        <w:t xml:space="preserve">for </w:t>
      </w:r>
      <w:r w:rsidR="00837A3D">
        <w:rPr>
          <w:rFonts w:cs="Arial"/>
        </w:rPr>
        <w:t>these effects.</w:t>
      </w:r>
      <w:r w:rsidR="00716A80">
        <w:rPr>
          <w:rFonts w:cs="Arial"/>
        </w:rPr>
        <w:t xml:space="preserve"> </w:t>
      </w:r>
      <w:r w:rsidR="00837A3D">
        <w:rPr>
          <w:rFonts w:cs="Arial"/>
        </w:rPr>
        <w:t>A detailed examination of the available toxicological data is recommended during subsequent reviews of WES</w:t>
      </w:r>
      <w:r w:rsidR="006B5EBE">
        <w:rPr>
          <w:rFonts w:cs="Arial"/>
        </w:rPr>
        <w:t xml:space="preserve"> due to a current lack of chronic exposure data. Particularly, no mutagenicity or carcinogenicity studies were available for the current evaluation. An entry in the </w:t>
      </w:r>
      <w:proofErr w:type="spellStart"/>
      <w:r w:rsidR="006B5EBE">
        <w:rPr>
          <w:rFonts w:cs="Arial"/>
        </w:rPr>
        <w:t>HCIS</w:t>
      </w:r>
      <w:proofErr w:type="spellEnd"/>
      <w:r w:rsidR="006B5EBE">
        <w:rPr>
          <w:rFonts w:cs="Arial"/>
        </w:rPr>
        <w:t xml:space="preserve"> database was not available.</w:t>
      </w:r>
      <w:r w:rsidR="00837A3D">
        <w:rPr>
          <w:rFonts w:cs="Arial"/>
        </w:rPr>
        <w:t xml:space="preserve"> </w:t>
      </w:r>
    </w:p>
    <w:p w14:paraId="4BEA2B3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188C1E8" w14:textId="77777777" w:rsidR="00E54022" w:rsidRPr="006B5EBE" w:rsidRDefault="00E54022" w:rsidP="00E54022">
      <w:pPr>
        <w:rPr>
          <w:rFonts w:cs="Arial"/>
        </w:rPr>
      </w:pPr>
      <w:r w:rsidRPr="006B5EBE">
        <w:rPr>
          <w:rFonts w:cs="Arial"/>
        </w:rPr>
        <w:t>Not classified as a carcinogen according to the Globally Harmonized System of Classification and Labelling o</w:t>
      </w:r>
      <w:r w:rsidR="00426A7F">
        <w:rPr>
          <w:rFonts w:cs="Arial"/>
        </w:rPr>
        <w:t>f</w:t>
      </w:r>
      <w:r w:rsidRPr="006B5EBE">
        <w:rPr>
          <w:rFonts w:cs="Arial"/>
        </w:rPr>
        <w:t xml:space="preserve"> Chemicals (GHS). </w:t>
      </w:r>
    </w:p>
    <w:p w14:paraId="2683D4D3" w14:textId="77777777" w:rsidR="00E54022" w:rsidRPr="006B5EBE" w:rsidRDefault="00E54022" w:rsidP="00E54022">
      <w:pPr>
        <w:rPr>
          <w:rFonts w:cs="Arial"/>
        </w:rPr>
      </w:pPr>
      <w:r w:rsidRPr="006B5EBE">
        <w:rPr>
          <w:rFonts w:cs="Arial"/>
        </w:rPr>
        <w:t xml:space="preserve">Not classified as a skin </w:t>
      </w:r>
      <w:r w:rsidR="00426A7F" w:rsidRPr="006B5EBE">
        <w:rPr>
          <w:rFonts w:cs="Arial"/>
        </w:rPr>
        <w:t xml:space="preserve">sensitiser </w:t>
      </w:r>
      <w:r w:rsidRPr="006B5EBE">
        <w:rPr>
          <w:rFonts w:cs="Arial"/>
        </w:rPr>
        <w:t>or respiratory sensitiser according to the GHS.</w:t>
      </w:r>
    </w:p>
    <w:p w14:paraId="2A8859BA" w14:textId="77777777" w:rsidR="0025734A" w:rsidRPr="004C23F4" w:rsidRDefault="005B3AB8" w:rsidP="00E54022">
      <w:pPr>
        <w:rPr>
          <w:rFonts w:cs="Arial"/>
        </w:rPr>
      </w:pPr>
      <w:r>
        <w:rPr>
          <w:rFonts w:cs="Arial"/>
        </w:rPr>
        <w:lastRenderedPageBreak/>
        <w:t>There are i</w:t>
      </w:r>
      <w:r w:rsidR="00E54022" w:rsidRPr="006B5EBE">
        <w:rPr>
          <w:rFonts w:cs="Arial"/>
        </w:rPr>
        <w:t xml:space="preserve">nsufficient </w:t>
      </w:r>
      <w:r>
        <w:rPr>
          <w:rFonts w:cs="Arial"/>
        </w:rPr>
        <w:t>data</w:t>
      </w:r>
      <w:r w:rsidRPr="006B5EBE">
        <w:rPr>
          <w:rFonts w:cs="Arial"/>
        </w:rPr>
        <w:t xml:space="preserve"> </w:t>
      </w:r>
      <w:r w:rsidR="00E54022" w:rsidRPr="006B5EBE">
        <w:rPr>
          <w:rFonts w:cs="Arial"/>
        </w:rPr>
        <w:t>to recommend a skin notation.</w:t>
      </w:r>
    </w:p>
    <w:p w14:paraId="4BE6FB7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749648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5A2BBF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B6E791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12485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623D96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82748E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402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22577">
                  <w:t>TWA: 50 ppm (295 mg/</w:t>
                </w:r>
                <w:proofErr w:type="spellStart"/>
                <w:r w:rsidR="00F22577">
                  <w:t>m</w:t>
                </w:r>
                <w:r w:rsidR="00F22577" w:rsidRPr="00F22577">
                  <w:rPr>
                    <w:vertAlign w:val="superscript"/>
                  </w:rPr>
                  <w:t>3</w:t>
                </w:r>
                <w:proofErr w:type="spellEnd"/>
                <w:r w:rsidR="00F22577">
                  <w:t>)</w:t>
                </w:r>
              </w:sdtContent>
            </w:sdt>
          </w:p>
        </w:tc>
      </w:tr>
      <w:tr w:rsidR="00C978F0" w:rsidRPr="00DA352E" w14:paraId="4435519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58DD7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0AEE85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88A1A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E69B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E69B1">
                  <w:t>TLV-TWA: 50 ppm (295 mg/</w:t>
                </w:r>
                <w:proofErr w:type="spellStart"/>
                <w:r w:rsidR="007E69B1">
                  <w:t>m</w:t>
                </w:r>
                <w:r w:rsidR="007E69B1" w:rsidRPr="007E69B1">
                  <w:rPr>
                    <w:vertAlign w:val="superscript"/>
                  </w:rPr>
                  <w:t>3</w:t>
                </w:r>
                <w:proofErr w:type="spellEnd"/>
                <w:r w:rsidR="007E69B1">
                  <w:t>)</w:t>
                </w:r>
              </w:sdtContent>
            </w:sdt>
          </w:p>
        </w:tc>
      </w:tr>
      <w:tr w:rsidR="00C978F0" w:rsidRPr="00DA352E" w14:paraId="6E276D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148642" w14:textId="77777777" w:rsidR="00C978F0" w:rsidRDefault="001F5EC9" w:rsidP="003365A5">
            <w:pPr>
              <w:pStyle w:val="Tabletextprimarysource"/>
            </w:pPr>
            <w:r>
              <w:t>TLV-TWA intended to protect for eye and upper respiratory tract irritation and objectionable taste and odour.</w:t>
            </w:r>
          </w:p>
          <w:p w14:paraId="4B6F6958" w14:textId="77777777" w:rsidR="001F5EC9" w:rsidRDefault="001F5EC9" w:rsidP="003365A5">
            <w:pPr>
              <w:pStyle w:val="Tabletextprimarysource"/>
            </w:pPr>
            <w:r>
              <w:t>Summary of data:</w:t>
            </w:r>
          </w:p>
          <w:p w14:paraId="0C2926DE" w14:textId="77777777" w:rsidR="001F5EC9" w:rsidRDefault="00DB7031" w:rsidP="003365A5">
            <w:pPr>
              <w:pStyle w:val="Tabletextprimarysource"/>
            </w:pPr>
            <w:r>
              <w:t>Presentation of toxicological data is very limited.</w:t>
            </w:r>
            <w:r w:rsidR="00DC5876">
              <w:t xml:space="preserve"> Based on a volunteer study, air concentrations of 100 ppm elicited eye and upper respiratory tract irritation, the recommended TLV-TWA is therefore expected to be protective of these effects.</w:t>
            </w:r>
          </w:p>
          <w:p w14:paraId="21C4DA95" w14:textId="77777777" w:rsidR="001F5EC9" w:rsidRDefault="001F5EC9" w:rsidP="003365A5">
            <w:pPr>
              <w:pStyle w:val="Tabletextprimarysource"/>
            </w:pPr>
            <w:r>
              <w:t>Human data:</w:t>
            </w:r>
          </w:p>
          <w:p w14:paraId="180247FE" w14:textId="77777777" w:rsidR="001F5EC9" w:rsidRDefault="007F40D0" w:rsidP="00DB7031">
            <w:pPr>
              <w:pStyle w:val="Tabletextprimarysource"/>
              <w:numPr>
                <w:ilvl w:val="0"/>
                <w:numId w:val="2"/>
              </w:numPr>
            </w:pPr>
            <w:r>
              <w:t>Irritation of the eyes and upper respiratory tract and unpleasant taste and odour above 100</w:t>
            </w:r>
            <w:r w:rsidR="0093204E">
              <w:t> </w:t>
            </w:r>
            <w:r>
              <w:t>ppm in volunteer study (</w:t>
            </w:r>
            <w:r w:rsidR="00DC5876">
              <w:t>duration and frequency not specified</w:t>
            </w:r>
            <w:r>
              <w:t>)</w:t>
            </w:r>
            <w:r w:rsidR="005B3AB8">
              <w:t>.</w:t>
            </w:r>
          </w:p>
          <w:p w14:paraId="2A90A827" w14:textId="77777777" w:rsidR="001F5EC9" w:rsidRDefault="001F5EC9" w:rsidP="003365A5">
            <w:pPr>
              <w:pStyle w:val="Tabletextprimarysource"/>
            </w:pPr>
            <w:r>
              <w:t>Animal data:</w:t>
            </w:r>
          </w:p>
          <w:p w14:paraId="0A8FA195" w14:textId="213D4116" w:rsidR="001F5EC9" w:rsidRDefault="001F5EC9" w:rsidP="001F5EC9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C144BE">
              <w:t>:</w:t>
            </w:r>
            <w:r>
              <w:t xml:space="preserve"> &gt;4,000 ppm (rats, 4 h); saturated vapour causes narcosis, but is non-lethal over 8 h (no further details provided)</w:t>
            </w:r>
          </w:p>
          <w:p w14:paraId="43369A8F" w14:textId="77777777" w:rsidR="001F5EC9" w:rsidRDefault="00DB7031" w:rsidP="001F5EC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</w:t>
            </w:r>
            <w:proofErr w:type="spellStart"/>
            <w:r>
              <w:t>ADME</w:t>
            </w:r>
            <w:proofErr w:type="spellEnd"/>
            <w:r>
              <w:t>, mutagenicity or carcinogenicity data presented</w:t>
            </w:r>
            <w:r w:rsidR="00426A7F">
              <w:t>.</w:t>
            </w:r>
          </w:p>
          <w:p w14:paraId="20D43A17" w14:textId="77777777" w:rsidR="0093204E" w:rsidRDefault="0093204E" w:rsidP="003365A5">
            <w:pPr>
              <w:pStyle w:val="Tabletextprimarysource"/>
            </w:pPr>
          </w:p>
          <w:p w14:paraId="08C54B8B" w14:textId="77777777" w:rsidR="00837A3D" w:rsidRDefault="001F5EC9" w:rsidP="003365A5">
            <w:pPr>
              <w:pStyle w:val="Tabletextprimarysource"/>
            </w:pPr>
            <w:r>
              <w:t>Insufficient data to assign a TLV-STEL or notations for carcinogenicity, skin absorption or sensitisation.</w:t>
            </w:r>
          </w:p>
          <w:p w14:paraId="13EFB60B" w14:textId="77777777" w:rsidR="0005067E" w:rsidRPr="00DA352E" w:rsidRDefault="0005067E" w:rsidP="003365A5">
            <w:pPr>
              <w:pStyle w:val="Tabletextprimarysource"/>
            </w:pPr>
          </w:p>
        </w:tc>
      </w:tr>
      <w:tr w:rsidR="00C978F0" w:rsidRPr="00DA352E" w14:paraId="4F2AD8B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99B201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C4E04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C4E04">
                  <w:t xml:space="preserve">Not </w:t>
                </w:r>
                <w:r w:rsidR="00DC5876">
                  <w:t>assigned</w:t>
                </w:r>
              </w:sdtContent>
            </w:sdt>
          </w:p>
        </w:tc>
      </w:tr>
      <w:tr w:rsidR="00C978F0" w:rsidRPr="00DA352E" w14:paraId="31E9158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C8AD89" w14:textId="77777777" w:rsidR="00DC5876" w:rsidRDefault="00DC5876" w:rsidP="003365A5">
            <w:pPr>
              <w:pStyle w:val="Tabletextprimarysource"/>
            </w:pPr>
            <w:r>
              <w:t>Summary of additional information:</w:t>
            </w:r>
          </w:p>
          <w:p w14:paraId="62B63E6E" w14:textId="34B5405A" w:rsidR="00C978F0" w:rsidRDefault="00DC5876" w:rsidP="003365A5">
            <w:pPr>
              <w:pStyle w:val="Tabletextprimarysource"/>
            </w:pPr>
            <w:r>
              <w:t xml:space="preserve">Previous MAK of 50 ppm </w:t>
            </w:r>
            <w:r w:rsidR="00B43AA5">
              <w:t xml:space="preserve">(1958) </w:t>
            </w:r>
            <w:r>
              <w:t>was based on TLV</w:t>
            </w:r>
            <w:r w:rsidR="00B43AA5">
              <w:t>-TWA</w:t>
            </w:r>
            <w:r>
              <w:t xml:space="preserve"> at the time</w:t>
            </w:r>
            <w:r w:rsidR="00E925EC">
              <w:t>;</w:t>
            </w:r>
            <w:r w:rsidR="00CB7A0C">
              <w:t xml:space="preserve"> but </w:t>
            </w:r>
            <w:r w:rsidR="00B43AA5">
              <w:t>was</w:t>
            </w:r>
            <w:r w:rsidR="00CB7A0C">
              <w:t xml:space="preserve"> withdrawn due to the limited toxicological data</w:t>
            </w:r>
            <w:r w:rsidR="00E925EC">
              <w:t xml:space="preserve"> available</w:t>
            </w:r>
            <w:r w:rsidR="00CB7A0C">
              <w:t>.</w:t>
            </w:r>
          </w:p>
          <w:p w14:paraId="0485DDC1" w14:textId="77777777" w:rsidR="00DC5876" w:rsidRPr="00DC5876" w:rsidRDefault="00DC5876" w:rsidP="003365A5">
            <w:pPr>
              <w:pStyle w:val="Tabletextprimarysource"/>
            </w:pPr>
            <w:r>
              <w:t>Substance is presumably hydrolysed enzymatically on mucous membranes to the corresponding alcohol and carboxylic acid. 15</w:t>
            </w:r>
            <w:r w:rsidR="00E67047">
              <w:t>–</w:t>
            </w:r>
            <w:r>
              <w:t xml:space="preserve">99% was hydrolysed after 2 h </w:t>
            </w:r>
            <w:r>
              <w:rPr>
                <w:i/>
              </w:rPr>
              <w:t>in vitro</w:t>
            </w:r>
            <w:r w:rsidR="00426A7F">
              <w:rPr>
                <w:i/>
              </w:rPr>
              <w:t>.</w:t>
            </w:r>
          </w:p>
          <w:p w14:paraId="1E98D5C9" w14:textId="77777777" w:rsidR="00DC5876" w:rsidRDefault="00DC5876" w:rsidP="003365A5">
            <w:pPr>
              <w:pStyle w:val="Tabletextprimarysource"/>
            </w:pPr>
            <w:r>
              <w:t>Human data:</w:t>
            </w:r>
          </w:p>
          <w:p w14:paraId="684E3AFC" w14:textId="77777777" w:rsidR="00DC5876" w:rsidRDefault="00DC5876" w:rsidP="00DC5876">
            <w:pPr>
              <w:pStyle w:val="Tabletextprimarysource"/>
              <w:numPr>
                <w:ilvl w:val="0"/>
                <w:numId w:val="1"/>
              </w:numPr>
            </w:pPr>
            <w:r>
              <w:t>No quantitative dermal absorption data available</w:t>
            </w:r>
          </w:p>
          <w:p w14:paraId="1C39D3E1" w14:textId="77777777" w:rsidR="00DC5876" w:rsidRDefault="00DC5876" w:rsidP="00DC5876">
            <w:pPr>
              <w:pStyle w:val="Tabletextprimarysource"/>
              <w:numPr>
                <w:ilvl w:val="0"/>
                <w:numId w:val="1"/>
              </w:numPr>
            </w:pPr>
            <w:r>
              <w:t>Irritating to eyes and upper respiratory tract and objectionable odour and taste at 100 ppm (n=12, 15</w:t>
            </w:r>
            <w:r w:rsidR="00426A7F">
              <w:t xml:space="preserve"> </w:t>
            </w:r>
            <w:r>
              <w:t>min)</w:t>
            </w:r>
            <w:r w:rsidR="005B3AB8">
              <w:t>.</w:t>
            </w:r>
          </w:p>
          <w:p w14:paraId="71821BA7" w14:textId="77777777" w:rsidR="00DC5876" w:rsidRDefault="00DC5876" w:rsidP="003365A5">
            <w:pPr>
              <w:pStyle w:val="Tabletextprimarysource"/>
            </w:pPr>
            <w:r>
              <w:t>Animal data:</w:t>
            </w:r>
          </w:p>
          <w:p w14:paraId="276BC95C" w14:textId="2C33F41F" w:rsidR="00DC5876" w:rsidRDefault="00DC5876" w:rsidP="00DC587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Acute toxicity is generally low </w:t>
            </w:r>
            <w:r w:rsidR="00E925EC">
              <w:t xml:space="preserve">by </w:t>
            </w:r>
            <w:r>
              <w:t>all intake routes</w:t>
            </w:r>
          </w:p>
          <w:p w14:paraId="6D189347" w14:textId="77777777" w:rsidR="00CB7A0C" w:rsidRDefault="00CB7A0C" w:rsidP="00DC5876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>
              <w:t>: 6,160 mg/kg (rats</w:t>
            </w:r>
            <w:r w:rsidR="005B3AB8">
              <w:t>, oral</w:t>
            </w:r>
            <w:r>
              <w:t>)</w:t>
            </w:r>
          </w:p>
          <w:p w14:paraId="62D70839" w14:textId="77777777" w:rsidR="00CB7A0C" w:rsidRDefault="00CB7A0C" w:rsidP="00DC5876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5B3AB8">
              <w:t>:</w:t>
            </w:r>
            <w:r>
              <w:t xml:space="preserve"> &gt;17,200 mg/kg (rabbits</w:t>
            </w:r>
            <w:r w:rsidR="005B3AB8">
              <w:t>, dermal</w:t>
            </w:r>
            <w:r>
              <w:t>)</w:t>
            </w:r>
          </w:p>
          <w:p w14:paraId="6E634F3E" w14:textId="77777777" w:rsidR="00CB7A0C" w:rsidRDefault="00CB7A0C" w:rsidP="00DC5876">
            <w:pPr>
              <w:pStyle w:val="Tabletextprimarysource"/>
              <w:numPr>
                <w:ilvl w:val="0"/>
                <w:numId w:val="1"/>
              </w:numPr>
            </w:pPr>
            <w:r>
              <w:t>No repeat dose, sensitisation, genotoxicity or carcinogenicity studies available for assessment</w:t>
            </w:r>
          </w:p>
          <w:p w14:paraId="2BA9E703" w14:textId="0142E916" w:rsidR="0093204E" w:rsidRPr="00FC692B" w:rsidRDefault="00CB7A0C" w:rsidP="00CB7A0C">
            <w:pPr>
              <w:pStyle w:val="Tabletextprimarysource"/>
              <w:rPr>
                <w:lang w:val="it-IT"/>
              </w:rPr>
            </w:pPr>
            <w:r w:rsidRPr="00FC692B">
              <w:rPr>
                <w:lang w:val="it-IT"/>
              </w:rPr>
              <w:t xml:space="preserve">No quantitative ADME data </w:t>
            </w:r>
            <w:r w:rsidR="00FC692B" w:rsidRPr="00FC692B">
              <w:rPr>
                <w:lang w:val="it-IT"/>
              </w:rPr>
              <w:t>reporte</w:t>
            </w:r>
            <w:r w:rsidR="00FC692B">
              <w:rPr>
                <w:lang w:val="it-IT"/>
              </w:rPr>
              <w:t>d.</w:t>
            </w:r>
          </w:p>
          <w:p w14:paraId="30102174" w14:textId="77777777" w:rsidR="00837A3D" w:rsidRDefault="00CB7A0C" w:rsidP="00CB7A0C">
            <w:pPr>
              <w:pStyle w:val="Tabletextprimarysource"/>
            </w:pPr>
            <w:r>
              <w:t>Insufficient data to assign notations for carcinogenicity, skin absorption or sensitisation.</w:t>
            </w:r>
          </w:p>
          <w:p w14:paraId="75E01DED" w14:textId="77777777" w:rsidR="0005067E" w:rsidRPr="00DA352E" w:rsidRDefault="0005067E" w:rsidP="00CB7A0C">
            <w:pPr>
              <w:pStyle w:val="Tabletextprimarysource"/>
            </w:pPr>
          </w:p>
        </w:tc>
      </w:tr>
      <w:tr w:rsidR="00C978F0" w:rsidRPr="00DA352E" w14:paraId="645937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EC467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C4E0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C4E04">
                  <w:t>NA</w:t>
                </w:r>
                <w:proofErr w:type="spellEnd"/>
              </w:sdtContent>
            </w:sdt>
          </w:p>
        </w:tc>
      </w:tr>
      <w:tr w:rsidR="00C978F0" w:rsidRPr="00DA352E" w14:paraId="087B00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A6864C" w14:textId="77777777" w:rsidR="00C978F0" w:rsidRPr="00DA352E" w:rsidRDefault="00DC4E04" w:rsidP="003365A5">
            <w:pPr>
              <w:pStyle w:val="Tabletextprimarysource"/>
            </w:pPr>
            <w:r>
              <w:t>No report</w:t>
            </w:r>
            <w:r w:rsidR="00426A7F">
              <w:t>.</w:t>
            </w:r>
          </w:p>
        </w:tc>
      </w:tr>
      <w:tr w:rsidR="00DA352E" w:rsidRPr="00DA352E" w14:paraId="56B5B8A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C9685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C4E0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C4E04">
                  <w:t>NA</w:t>
                </w:r>
                <w:proofErr w:type="spellEnd"/>
              </w:sdtContent>
            </w:sdt>
          </w:p>
        </w:tc>
      </w:tr>
      <w:tr w:rsidR="00DA352E" w:rsidRPr="00DA352E" w14:paraId="2A9484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7A156C" w14:textId="77777777" w:rsidR="00DA352E" w:rsidRPr="00DA352E" w:rsidRDefault="00DC4E04" w:rsidP="003365A5">
            <w:pPr>
              <w:pStyle w:val="Tabletextprimarysource"/>
            </w:pPr>
            <w:r>
              <w:t>Not assigned</w:t>
            </w:r>
            <w:r w:rsidR="00426A7F">
              <w:t>.</w:t>
            </w:r>
          </w:p>
        </w:tc>
      </w:tr>
      <w:tr w:rsidR="00DA352E" w:rsidRPr="00DA352E" w14:paraId="797DE1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AD4D5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C4E04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C4E04">
                  <w:t>TWA: 50 ppm (300 mg/</w:t>
                </w:r>
                <w:proofErr w:type="spellStart"/>
                <w:r w:rsidR="00DC4E04">
                  <w:t>m</w:t>
                </w:r>
                <w:r w:rsidR="00DC4E04" w:rsidRPr="00DC4E04">
                  <w:rPr>
                    <w:vertAlign w:val="superscript"/>
                  </w:rPr>
                  <w:t>3</w:t>
                </w:r>
                <w:proofErr w:type="spellEnd"/>
                <w:r w:rsidR="00DC4E04">
                  <w:t>)</w:t>
                </w:r>
              </w:sdtContent>
            </w:sdt>
          </w:p>
        </w:tc>
      </w:tr>
      <w:tr w:rsidR="00DA352E" w:rsidRPr="00DA352E" w14:paraId="0D52E8B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437062" w14:textId="77777777" w:rsidR="00DA352E" w:rsidRDefault="00CB7A0C" w:rsidP="003365A5">
            <w:pPr>
              <w:pStyle w:val="Tabletextprimarysource"/>
            </w:pPr>
            <w:r>
              <w:t>Summary of additional data:</w:t>
            </w:r>
          </w:p>
          <w:p w14:paraId="4F3B516B" w14:textId="77777777" w:rsidR="00837A3D" w:rsidRDefault="00CB7A0C" w:rsidP="003365A5">
            <w:pPr>
              <w:pStyle w:val="Tabletextprimarysource"/>
            </w:pPr>
            <w:r>
              <w:t>Existing administrative OEL of 50 ppm considered potentially too high since local irritation effects are reported at twice this value in volunteers. Toxicological database is too limited to derive a health-based OEL.</w:t>
            </w:r>
          </w:p>
          <w:p w14:paraId="31AF4C6A" w14:textId="77777777" w:rsidR="00CB7A0C" w:rsidRDefault="00CB7A0C" w:rsidP="003365A5">
            <w:pPr>
              <w:pStyle w:val="Tabletextprimarysource"/>
            </w:pPr>
            <w:r>
              <w:t>Animal data:</w:t>
            </w:r>
          </w:p>
          <w:p w14:paraId="2D13507B" w14:textId="615765E4" w:rsidR="00CB7A0C" w:rsidRDefault="00E925EC" w:rsidP="00CB7A0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Undiluted </w:t>
            </w:r>
            <w:r w:rsidR="00CB7A0C">
              <w:t>substance is non-irritating to skin at 0.01 mL (rabbits)</w:t>
            </w:r>
            <w:r w:rsidR="00426A7F">
              <w:t>.</w:t>
            </w:r>
          </w:p>
          <w:p w14:paraId="59034D95" w14:textId="77777777" w:rsidR="003D79B4" w:rsidRDefault="003D79B4" w:rsidP="003365A5">
            <w:pPr>
              <w:pStyle w:val="Tabletextprimarysource"/>
            </w:pPr>
          </w:p>
          <w:p w14:paraId="6EC4313B" w14:textId="77777777" w:rsidR="00837A3D" w:rsidRDefault="00CB7A0C" w:rsidP="003365A5">
            <w:pPr>
              <w:pStyle w:val="Tabletextprimarysource"/>
            </w:pPr>
            <w:r>
              <w:t>Insufficient data to assign a STEL or notations for carcinogenicity, skin absorption or sensitisation.</w:t>
            </w:r>
          </w:p>
          <w:p w14:paraId="77A1980B" w14:textId="77777777" w:rsidR="0005067E" w:rsidRPr="00DA352E" w:rsidRDefault="0005067E" w:rsidP="003365A5">
            <w:pPr>
              <w:pStyle w:val="Tabletextprimarysource"/>
            </w:pPr>
          </w:p>
        </w:tc>
      </w:tr>
    </w:tbl>
    <w:p w14:paraId="40B58A2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79B283C1" w14:textId="77777777" w:rsidTr="005B3AB8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F8272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A6EB0E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384533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26788C7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A30AB5A" w14:textId="77777777" w:rsidTr="005B3AB8">
        <w:trPr>
          <w:cantSplit/>
        </w:trPr>
        <w:tc>
          <w:tcPr>
            <w:tcW w:w="1498" w:type="dxa"/>
          </w:tcPr>
          <w:p w14:paraId="507575F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453BE331" w14:textId="77777777" w:rsidR="004966BF" w:rsidRPr="00CE617F" w:rsidRDefault="0010148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501A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587B3CE" w14:textId="77777777" w:rsidR="004966BF" w:rsidRPr="004C23F4" w:rsidRDefault="009501A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5" w:type="dxa"/>
          </w:tcPr>
          <w:p w14:paraId="6209B9FB" w14:textId="77777777" w:rsidR="004966BF" w:rsidRPr="004C23F4" w:rsidRDefault="009501A4" w:rsidP="00C43A3E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Pre-registered substance; not yet assessed</w:t>
            </w:r>
            <w:r w:rsidR="00426A7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82A5504" w14:textId="77777777" w:rsidR="007E2A4B" w:rsidRDefault="007E2A4B" w:rsidP="005B3AB8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F5F9759" w14:textId="77777777" w:rsidTr="00837A3D">
        <w:trPr>
          <w:trHeight w:val="454"/>
          <w:tblHeader/>
        </w:trPr>
        <w:tc>
          <w:tcPr>
            <w:tcW w:w="6597" w:type="dxa"/>
            <w:vAlign w:val="center"/>
          </w:tcPr>
          <w:p w14:paraId="7B0C5291" w14:textId="77777777" w:rsidR="002E0D61" w:rsidRDefault="00B1422A" w:rsidP="005B3AB8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2C875E5" w14:textId="77777777" w:rsidR="002E0D61" w:rsidRDefault="00837A3D" w:rsidP="005B3AB8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DC91F89" w14:textId="77777777" w:rsidTr="00837A3D">
        <w:trPr>
          <w:trHeight w:val="454"/>
        </w:trPr>
        <w:tc>
          <w:tcPr>
            <w:tcW w:w="6597" w:type="dxa"/>
            <w:vAlign w:val="center"/>
          </w:tcPr>
          <w:p w14:paraId="113E2446" w14:textId="77777777" w:rsidR="008A36CF" w:rsidRDefault="008A36CF" w:rsidP="005B3AB8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8025D7C" w14:textId="77777777" w:rsidR="008A36CF" w:rsidRDefault="00837A3D" w:rsidP="005B3AB8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43A3E" w14:paraId="790C96A3" w14:textId="77777777" w:rsidTr="00D67209">
        <w:trPr>
          <w:trHeight w:val="454"/>
        </w:trPr>
        <w:sdt>
          <w:sdtPr>
            <w:rPr>
              <w:b/>
            </w:rPr>
            <w:id w:val="1830936485"/>
            <w:placeholder>
              <w:docPart w:val="14A8655A2A9B4441895BFCFC5DDE6ED2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7CB9B2C" w14:textId="77777777" w:rsidR="00C43A3E" w:rsidRDefault="00C43A3E" w:rsidP="005B3AB8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2FBD922" w14:textId="77777777" w:rsidR="00687890" w:rsidRPr="004C23F4" w:rsidRDefault="00B479A9" w:rsidP="00426A7F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BC244F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2C5D92C" w14:textId="77777777" w:rsidR="00687890" w:rsidRPr="004C23F4" w:rsidRDefault="00687890" w:rsidP="005B3AB8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B295583" w14:textId="77777777" w:rsidR="00687890" w:rsidRPr="004C23F4" w:rsidRDefault="00687890" w:rsidP="005B3AB8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78AEA49" w14:textId="77777777" w:rsidTr="00812887">
        <w:trPr>
          <w:cantSplit/>
        </w:trPr>
        <w:tc>
          <w:tcPr>
            <w:tcW w:w="3227" w:type="dxa"/>
          </w:tcPr>
          <w:p w14:paraId="26DD021D" w14:textId="77777777" w:rsidR="004079B4" w:rsidRPr="004C23F4" w:rsidRDefault="00084513" w:rsidP="005B3AB8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07A6DD78" w14:textId="77777777" w:rsidR="00687890" w:rsidRPr="00DD2F9B" w:rsidRDefault="00837A3D" w:rsidP="005B3AB8">
            <w:pPr>
              <w:pStyle w:val="Tablefont"/>
              <w:keepNext/>
            </w:pPr>
            <w:r>
              <w:t>—</w:t>
            </w:r>
          </w:p>
        </w:tc>
      </w:tr>
      <w:tr w:rsidR="007925F0" w:rsidRPr="004C23F4" w14:paraId="1DAE7EA5" w14:textId="77777777" w:rsidTr="00812887">
        <w:trPr>
          <w:cantSplit/>
        </w:trPr>
        <w:tc>
          <w:tcPr>
            <w:tcW w:w="3227" w:type="dxa"/>
          </w:tcPr>
          <w:p w14:paraId="174AB402" w14:textId="77777777" w:rsidR="004079B4" w:rsidRPr="004C23F4" w:rsidRDefault="007925F0" w:rsidP="005B3AB8">
            <w:pPr>
              <w:pStyle w:val="Tablefont"/>
              <w:keepNext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7E88120" w14:textId="77777777" w:rsidR="007925F0" w:rsidRPr="00DD2F9B" w:rsidRDefault="007E69B1" w:rsidP="005B3AB8">
            <w:pPr>
              <w:pStyle w:val="Tablefont"/>
              <w:keepNext/>
            </w:pPr>
            <w:r>
              <w:t>NA</w:t>
            </w:r>
          </w:p>
        </w:tc>
      </w:tr>
      <w:tr w:rsidR="00AF483F" w:rsidRPr="004C23F4" w14:paraId="3463C596" w14:textId="77777777" w:rsidTr="00812887">
        <w:trPr>
          <w:cantSplit/>
        </w:trPr>
        <w:tc>
          <w:tcPr>
            <w:tcW w:w="3227" w:type="dxa"/>
          </w:tcPr>
          <w:p w14:paraId="4A3D477F" w14:textId="77777777" w:rsidR="00AF483F" w:rsidRPr="004C23F4" w:rsidRDefault="00AF483F" w:rsidP="005B3AB8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BECBEE3" w14:textId="77777777" w:rsidR="00AF483F" w:rsidRPr="00DD2F9B" w:rsidRDefault="00200519" w:rsidP="005B3AB8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728F2E10" w14:textId="77777777" w:rsidTr="00812887">
        <w:trPr>
          <w:cantSplit/>
        </w:trPr>
        <w:tc>
          <w:tcPr>
            <w:tcW w:w="3227" w:type="dxa"/>
          </w:tcPr>
          <w:p w14:paraId="729FCB07" w14:textId="77777777" w:rsidR="004079B4" w:rsidRPr="004C23F4" w:rsidRDefault="00687890" w:rsidP="005B3AB8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773CCCF1" w14:textId="77777777" w:rsidR="00687890" w:rsidRPr="00DD2F9B" w:rsidRDefault="00200519" w:rsidP="005B3AB8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09F38E94" w14:textId="77777777" w:rsidTr="00812887">
        <w:trPr>
          <w:cantSplit/>
        </w:trPr>
        <w:tc>
          <w:tcPr>
            <w:tcW w:w="3227" w:type="dxa"/>
          </w:tcPr>
          <w:p w14:paraId="79E70708" w14:textId="77777777" w:rsidR="00E41A26" w:rsidRDefault="00E41A26" w:rsidP="005B3AB8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2F05BB6A" w14:textId="77777777" w:rsidR="00E41A26" w:rsidRPr="00DD2F9B" w:rsidRDefault="00200519" w:rsidP="005B3AB8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59AFCE7A" w14:textId="77777777" w:rsidTr="00812887">
        <w:trPr>
          <w:cantSplit/>
        </w:trPr>
        <w:tc>
          <w:tcPr>
            <w:tcW w:w="3227" w:type="dxa"/>
          </w:tcPr>
          <w:p w14:paraId="5FB178AA" w14:textId="77777777" w:rsidR="004079B4" w:rsidRPr="004C23F4" w:rsidRDefault="002E0D61" w:rsidP="005B3AB8">
            <w:pPr>
              <w:pStyle w:val="Tablefont"/>
              <w:keepNext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66EF4BD" w14:textId="77777777" w:rsidR="002E0D61" w:rsidRPr="00DD2F9B" w:rsidRDefault="009501A4" w:rsidP="005B3AB8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71F3D89F" w14:textId="77777777" w:rsidTr="00812887">
        <w:trPr>
          <w:cantSplit/>
        </w:trPr>
        <w:tc>
          <w:tcPr>
            <w:tcW w:w="3227" w:type="dxa"/>
          </w:tcPr>
          <w:p w14:paraId="4890F3AA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7BE09653" w14:textId="77777777" w:rsidR="002E0D61" w:rsidRPr="00DD2F9B" w:rsidRDefault="009501A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CFF6A57" w14:textId="77777777" w:rsidTr="00812887">
        <w:trPr>
          <w:cantSplit/>
        </w:trPr>
        <w:tc>
          <w:tcPr>
            <w:tcW w:w="3227" w:type="dxa"/>
          </w:tcPr>
          <w:p w14:paraId="32CA5050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677CCFB" w14:textId="77777777" w:rsidR="002E0D61" w:rsidRPr="00DD2F9B" w:rsidRDefault="00DC4E0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1BAC9E" w14:textId="77777777" w:rsidTr="00812887">
        <w:trPr>
          <w:cantSplit/>
        </w:trPr>
        <w:tc>
          <w:tcPr>
            <w:tcW w:w="3227" w:type="dxa"/>
          </w:tcPr>
          <w:p w14:paraId="3D9F4513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229CFF5" w14:textId="77777777" w:rsidR="002E0D61" w:rsidRPr="00DD2F9B" w:rsidRDefault="009501A4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157B00A" w14:textId="77777777" w:rsidTr="00812887">
        <w:trPr>
          <w:cantSplit/>
        </w:trPr>
        <w:tc>
          <w:tcPr>
            <w:tcW w:w="3227" w:type="dxa"/>
          </w:tcPr>
          <w:p w14:paraId="75B9EF3B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791B8F5C" w14:textId="77777777" w:rsidR="00386093" w:rsidRPr="00DD2F9B" w:rsidRDefault="0020051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452B28E" w14:textId="77777777" w:rsidTr="00812887">
        <w:trPr>
          <w:cantSplit/>
        </w:trPr>
        <w:tc>
          <w:tcPr>
            <w:tcW w:w="3227" w:type="dxa"/>
          </w:tcPr>
          <w:p w14:paraId="0C092D9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572728BD" w14:textId="77777777" w:rsidR="00386093" w:rsidRPr="00DD2F9B" w:rsidRDefault="0020051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398A78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260043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2234B9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88E9CD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0F324B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F1843F0" w14:textId="77777777" w:rsidR="00932DCE" w:rsidRPr="004C23F4" w:rsidRDefault="00837A3D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2AD4EBE8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4ADC92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6AF22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2D9B2D1" w14:textId="77777777" w:rsidR="00EB3D1B" w:rsidRDefault="0020051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A0BA79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437399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299A2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30AE670" w14:textId="77777777" w:rsidR="001B79E5" w:rsidRDefault="007E69B1" w:rsidP="001B79E5">
                <w:pPr>
                  <w:pStyle w:val="Tablefont"/>
                </w:pPr>
                <w:r>
                  <w:t>144.21</w:t>
                </w:r>
              </w:p>
            </w:tc>
          </w:sdtContent>
        </w:sdt>
      </w:tr>
      <w:tr w:rsidR="00A31D99" w:rsidRPr="004C23F4" w14:paraId="4B818EC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A94D11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AFE5EA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E06ED">
                  <w:t>5.89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E06ED">
                  <w:t>0.170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396481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4F099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2EA5A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ED1D41E" w14:textId="77777777" w:rsidTr="00EA6243">
        <w:trPr>
          <w:cantSplit/>
        </w:trPr>
        <w:tc>
          <w:tcPr>
            <w:tcW w:w="4077" w:type="dxa"/>
            <w:vAlign w:val="center"/>
          </w:tcPr>
          <w:p w14:paraId="77598D2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89CED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885273" w14:textId="77777777" w:rsidTr="00EA6243">
        <w:trPr>
          <w:cantSplit/>
        </w:trPr>
        <w:tc>
          <w:tcPr>
            <w:tcW w:w="4077" w:type="dxa"/>
            <w:vAlign w:val="center"/>
          </w:tcPr>
          <w:p w14:paraId="32C368F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9E1B4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2E635B9" w14:textId="77777777" w:rsidTr="00EA6243">
        <w:trPr>
          <w:cantSplit/>
        </w:trPr>
        <w:tc>
          <w:tcPr>
            <w:tcW w:w="4077" w:type="dxa"/>
            <w:vAlign w:val="center"/>
          </w:tcPr>
          <w:p w14:paraId="59CFC45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2AC3126" w14:textId="77777777" w:rsidR="00E06F40" w:rsidRPr="00A006A0" w:rsidRDefault="0010148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4A7FFE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A65067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C10366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502E0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92797C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0B5675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A4AF86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EF66E6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EF65FC6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CC52098" w14:textId="77777777" w:rsidR="00200519" w:rsidRDefault="00200519" w:rsidP="0020051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(2000) 1,3-</w:t>
      </w:r>
      <w:proofErr w:type="spellStart"/>
      <w:r>
        <w:t>Dimethylbutyla</w:t>
      </w:r>
      <w:r w:rsidR="009D47CD">
        <w:t>cetat</w:t>
      </w:r>
      <w:proofErr w:type="spellEnd"/>
      <w:r w:rsidR="009D47CD">
        <w:t xml:space="preserve"> – MAK value documentation, German language edition.</w:t>
      </w:r>
    </w:p>
    <w:p w14:paraId="1180561E" w14:textId="77777777" w:rsidR="006B5EBE" w:rsidRPr="006B5EBE" w:rsidRDefault="006B5EBE" w:rsidP="00200519">
      <w:r>
        <w:t xml:space="preserve">European Chemicals Agency (ECHA) (2019) </w:t>
      </w:r>
      <w:r w:rsidRPr="006B5EBE">
        <w:t>1,3-</w:t>
      </w:r>
      <w:proofErr w:type="spellStart"/>
      <w:r w:rsidRPr="006B5EBE">
        <w:t>dimethylbutyl</w:t>
      </w:r>
      <w:proofErr w:type="spellEnd"/>
      <w:r w:rsidRPr="006B5EBE">
        <w:t xml:space="preserve"> acetate</w:t>
      </w:r>
      <w:r>
        <w:t xml:space="preserve"> – </w:t>
      </w:r>
      <w:proofErr w:type="spellStart"/>
      <w:r>
        <w:t>C&amp;L</w:t>
      </w:r>
      <w:proofErr w:type="spellEnd"/>
      <w:r>
        <w:t xml:space="preserve"> Inventory.</w:t>
      </w:r>
    </w:p>
    <w:p w14:paraId="037469C9" w14:textId="77777777" w:rsidR="00200519" w:rsidRPr="00200519" w:rsidRDefault="00200519" w:rsidP="0020051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(2002) sec-Hexyl acetate</w:t>
      </w:r>
      <w:r w:rsidRPr="005F7416">
        <w:t xml:space="preserve">. </w:t>
      </w:r>
      <w:r>
        <w:rPr>
          <w:rFonts w:cs="Arial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</w:t>
      </w:r>
      <w:proofErr w:type="spellStart"/>
      <w:r>
        <w:t>15OSH</w:t>
      </w:r>
      <w:proofErr w:type="spellEnd"/>
      <w:r>
        <w:t>/048.</w:t>
      </w:r>
    </w:p>
    <w:p w14:paraId="240AEFEE" w14:textId="77777777" w:rsidR="00200519" w:rsidRDefault="00200519" w:rsidP="00200519">
      <w:pPr>
        <w:rPr>
          <w:b/>
        </w:rPr>
      </w:pPr>
      <w:r w:rsidRPr="00D86E03">
        <w:lastRenderedPageBreak/>
        <w:t>US National Institute for Occupational Safety and Health (</w:t>
      </w:r>
      <w:proofErr w:type="spellStart"/>
      <w:r w:rsidRPr="005B3AB8">
        <w:t>NIOSH</w:t>
      </w:r>
      <w:proofErr w:type="spellEnd"/>
      <w:r w:rsidRPr="005B3AB8">
        <w:t>) (</w:t>
      </w:r>
      <w:sdt>
        <w:sdtPr>
          <w:id w:val="-1194999823"/>
          <w:placeholder>
            <w:docPart w:val="E370193445FD488A8FBACD78E3B04F86"/>
          </w:placeholder>
          <w:temporary/>
          <w:showingPlcHdr/>
        </w:sdtPr>
        <w:sdtEndPr/>
        <w:sdtContent>
          <w:r w:rsidRPr="005B3AB8">
            <w:t>1994</w:t>
          </w:r>
        </w:sdtContent>
      </w:sdt>
      <w:r w:rsidRPr="005B3AB8">
        <w:t xml:space="preserve">) Immediately </w:t>
      </w:r>
      <w:r>
        <w:t>dangerous to life or health concentrations – sec-Hexyl acetate.</w:t>
      </w:r>
    </w:p>
    <w:p w14:paraId="52A341DF" w14:textId="77777777" w:rsidR="00200519" w:rsidRPr="00351FE0" w:rsidRDefault="00200519" w:rsidP="00084859"/>
    <w:sectPr w:rsidR="0020051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4EE98" w14:textId="77777777" w:rsidR="004352DC" w:rsidRDefault="004352DC" w:rsidP="00F43AD5">
      <w:pPr>
        <w:spacing w:after="0" w:line="240" w:lineRule="auto"/>
      </w:pPr>
      <w:r>
        <w:separator/>
      </w:r>
    </w:p>
  </w:endnote>
  <w:endnote w:type="continuationSeparator" w:id="0">
    <w:p w14:paraId="63AD172B" w14:textId="77777777" w:rsidR="004352DC" w:rsidRDefault="004352D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832BFE4" w14:textId="77777777" w:rsidR="008A36CF" w:rsidRDefault="00E54022" w:rsidP="0034744C">
        <w:pPr>
          <w:pStyle w:val="Footer"/>
          <w:rPr>
            <w:sz w:val="18"/>
            <w:szCs w:val="18"/>
          </w:rPr>
        </w:pPr>
        <w:r>
          <w:t>s</w:t>
        </w:r>
        <w:r>
          <w:rPr>
            <w:b/>
            <w:sz w:val="18"/>
            <w:szCs w:val="18"/>
          </w:rPr>
          <w:t>ec-Hexyl acetate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108-84-9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DF89573" w14:textId="6E9907C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7732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4CF5C" w14:textId="77777777" w:rsidR="004352DC" w:rsidRDefault="004352DC" w:rsidP="00F43AD5">
      <w:pPr>
        <w:spacing w:after="0" w:line="240" w:lineRule="auto"/>
      </w:pPr>
      <w:r>
        <w:separator/>
      </w:r>
    </w:p>
  </w:footnote>
  <w:footnote w:type="continuationSeparator" w:id="0">
    <w:p w14:paraId="5C49FB60" w14:textId="77777777" w:rsidR="004352DC" w:rsidRDefault="004352D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602DD" w14:textId="18A27F7F" w:rsidR="00177328" w:rsidRDefault="00177328" w:rsidP="00177328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9E7D33" wp14:editId="3E5A6544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D714AC" w14:textId="7617AC73" w:rsidR="008A36CF" w:rsidRPr="00177328" w:rsidRDefault="008A36CF" w:rsidP="00177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C213B" w14:textId="7AE7D5BA" w:rsidR="00177328" w:rsidRDefault="00177328" w:rsidP="00177328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39A72B" wp14:editId="6721B6CC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10AC12" w14:textId="2AFF3AC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38001D"/>
    <w:multiLevelType w:val="hybridMultilevel"/>
    <w:tmpl w:val="63261A3E"/>
    <w:lvl w:ilvl="0" w:tplc="1E922950">
      <w:start w:val="74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E260C3"/>
    <w:multiLevelType w:val="hybridMultilevel"/>
    <w:tmpl w:val="46464674"/>
    <w:lvl w:ilvl="0" w:tplc="BC8019C6">
      <w:start w:val="74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D4ED3"/>
    <w:multiLevelType w:val="hybridMultilevel"/>
    <w:tmpl w:val="618CAE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538381">
    <w:abstractNumId w:val="0"/>
  </w:num>
  <w:num w:numId="2" w16cid:durableId="392852229">
    <w:abstractNumId w:val="1"/>
  </w:num>
  <w:num w:numId="3" w16cid:durableId="20192341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067E"/>
    <w:rsid w:val="00052060"/>
    <w:rsid w:val="0005574A"/>
    <w:rsid w:val="00055FE1"/>
    <w:rsid w:val="00056EC2"/>
    <w:rsid w:val="00060B48"/>
    <w:rsid w:val="000617C7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63B"/>
    <w:rsid w:val="000E5A54"/>
    <w:rsid w:val="000E63D3"/>
    <w:rsid w:val="000E67CF"/>
    <w:rsid w:val="0010148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328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5EC9"/>
    <w:rsid w:val="001F62CB"/>
    <w:rsid w:val="001F6ED0"/>
    <w:rsid w:val="001F72E6"/>
    <w:rsid w:val="001F73C5"/>
    <w:rsid w:val="00200519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79D0"/>
    <w:rsid w:val="00244AD1"/>
    <w:rsid w:val="002463BC"/>
    <w:rsid w:val="002465CE"/>
    <w:rsid w:val="0025734A"/>
    <w:rsid w:val="00263255"/>
    <w:rsid w:val="00272A92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696"/>
    <w:rsid w:val="003C0D58"/>
    <w:rsid w:val="003D4FA3"/>
    <w:rsid w:val="003D79B4"/>
    <w:rsid w:val="003E0807"/>
    <w:rsid w:val="003E3763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6A7F"/>
    <w:rsid w:val="00430179"/>
    <w:rsid w:val="004352DC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4079"/>
    <w:rsid w:val="005272E2"/>
    <w:rsid w:val="0053108F"/>
    <w:rsid w:val="00532B56"/>
    <w:rsid w:val="00534B10"/>
    <w:rsid w:val="005446A2"/>
    <w:rsid w:val="00544D2F"/>
    <w:rsid w:val="00551BD8"/>
    <w:rsid w:val="00572475"/>
    <w:rsid w:val="00581055"/>
    <w:rsid w:val="00591E38"/>
    <w:rsid w:val="005A19C5"/>
    <w:rsid w:val="005A3034"/>
    <w:rsid w:val="005A462D"/>
    <w:rsid w:val="005B253B"/>
    <w:rsid w:val="005B3AB8"/>
    <w:rsid w:val="005B771D"/>
    <w:rsid w:val="005C5D16"/>
    <w:rsid w:val="005D3193"/>
    <w:rsid w:val="005D4A6E"/>
    <w:rsid w:val="005E45DB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5EBE"/>
    <w:rsid w:val="006D79EA"/>
    <w:rsid w:val="006E5D05"/>
    <w:rsid w:val="00701053"/>
    <w:rsid w:val="00701507"/>
    <w:rsid w:val="00714021"/>
    <w:rsid w:val="00716A0F"/>
    <w:rsid w:val="00716A80"/>
    <w:rsid w:val="00717D45"/>
    <w:rsid w:val="007208F7"/>
    <w:rsid w:val="007218AF"/>
    <w:rsid w:val="007365D1"/>
    <w:rsid w:val="00740E0E"/>
    <w:rsid w:val="00750212"/>
    <w:rsid w:val="00754779"/>
    <w:rsid w:val="0075716D"/>
    <w:rsid w:val="007619F7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06ED"/>
    <w:rsid w:val="007E2A4B"/>
    <w:rsid w:val="007E307D"/>
    <w:rsid w:val="007E69B1"/>
    <w:rsid w:val="007E6A4E"/>
    <w:rsid w:val="007E6C94"/>
    <w:rsid w:val="007F1005"/>
    <w:rsid w:val="007F25E0"/>
    <w:rsid w:val="007F40D0"/>
    <w:rsid w:val="007F5328"/>
    <w:rsid w:val="00804F5A"/>
    <w:rsid w:val="00810C6D"/>
    <w:rsid w:val="00812887"/>
    <w:rsid w:val="00826F21"/>
    <w:rsid w:val="00834CC8"/>
    <w:rsid w:val="00835E00"/>
    <w:rsid w:val="00837113"/>
    <w:rsid w:val="00837A3D"/>
    <w:rsid w:val="008414E4"/>
    <w:rsid w:val="00843E21"/>
    <w:rsid w:val="0084508E"/>
    <w:rsid w:val="00851CF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04E"/>
    <w:rsid w:val="009323B9"/>
    <w:rsid w:val="00932DCE"/>
    <w:rsid w:val="0093327E"/>
    <w:rsid w:val="00934028"/>
    <w:rsid w:val="0093760E"/>
    <w:rsid w:val="00946044"/>
    <w:rsid w:val="0094660B"/>
    <w:rsid w:val="00946A33"/>
    <w:rsid w:val="009501A4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7CD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233C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3AA5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44BE"/>
    <w:rsid w:val="00C16315"/>
    <w:rsid w:val="00C3091E"/>
    <w:rsid w:val="00C40FF1"/>
    <w:rsid w:val="00C419E2"/>
    <w:rsid w:val="00C43A3E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B7A0C"/>
    <w:rsid w:val="00CC1A68"/>
    <w:rsid w:val="00CC2123"/>
    <w:rsid w:val="00CD2BFD"/>
    <w:rsid w:val="00CE5AD6"/>
    <w:rsid w:val="00CE617F"/>
    <w:rsid w:val="00CE78EF"/>
    <w:rsid w:val="00D048F7"/>
    <w:rsid w:val="00D0517E"/>
    <w:rsid w:val="00D07649"/>
    <w:rsid w:val="00D140FC"/>
    <w:rsid w:val="00D21D8C"/>
    <w:rsid w:val="00D31357"/>
    <w:rsid w:val="00D33220"/>
    <w:rsid w:val="00D334D1"/>
    <w:rsid w:val="00D44C89"/>
    <w:rsid w:val="00D516CD"/>
    <w:rsid w:val="00D668E6"/>
    <w:rsid w:val="00D70639"/>
    <w:rsid w:val="00D70670"/>
    <w:rsid w:val="00D74D80"/>
    <w:rsid w:val="00D76624"/>
    <w:rsid w:val="00D87570"/>
    <w:rsid w:val="00D91CB9"/>
    <w:rsid w:val="00D97989"/>
    <w:rsid w:val="00D97D8D"/>
    <w:rsid w:val="00DA352E"/>
    <w:rsid w:val="00DB7031"/>
    <w:rsid w:val="00DC4E04"/>
    <w:rsid w:val="00DC587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4022"/>
    <w:rsid w:val="00E60F04"/>
    <w:rsid w:val="00E62AAC"/>
    <w:rsid w:val="00E67047"/>
    <w:rsid w:val="00E67C2F"/>
    <w:rsid w:val="00E67EF5"/>
    <w:rsid w:val="00E804EA"/>
    <w:rsid w:val="00E80A71"/>
    <w:rsid w:val="00E82337"/>
    <w:rsid w:val="00E92499"/>
    <w:rsid w:val="00E925EC"/>
    <w:rsid w:val="00E92C92"/>
    <w:rsid w:val="00E949AF"/>
    <w:rsid w:val="00E96077"/>
    <w:rsid w:val="00EA0A06"/>
    <w:rsid w:val="00EA6243"/>
    <w:rsid w:val="00EA74AB"/>
    <w:rsid w:val="00EB3D1B"/>
    <w:rsid w:val="00ED1D89"/>
    <w:rsid w:val="00ED2199"/>
    <w:rsid w:val="00ED66BC"/>
    <w:rsid w:val="00EF233A"/>
    <w:rsid w:val="00EF303E"/>
    <w:rsid w:val="00EF3A40"/>
    <w:rsid w:val="00EF7F78"/>
    <w:rsid w:val="00F01B08"/>
    <w:rsid w:val="00F01C4D"/>
    <w:rsid w:val="00F053FA"/>
    <w:rsid w:val="00F1052D"/>
    <w:rsid w:val="00F10C97"/>
    <w:rsid w:val="00F11C71"/>
    <w:rsid w:val="00F16019"/>
    <w:rsid w:val="00F20E68"/>
    <w:rsid w:val="00F22093"/>
    <w:rsid w:val="00F22577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692B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A070F4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200519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Revision">
    <w:name w:val="Revision"/>
    <w:hidden/>
    <w:uiPriority w:val="99"/>
    <w:semiHidden/>
    <w:rsid w:val="005B3AB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72A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2A9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2A9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2A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2A9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370193445FD488A8FBACD78E3B04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F73333-428C-4511-8B69-F3B54958779E}"/>
      </w:docPartPr>
      <w:docPartBody>
        <w:p w:rsidR="00A21EFB" w:rsidRDefault="002837D7" w:rsidP="002837D7">
          <w:pPr>
            <w:pStyle w:val="E370193445FD488A8FBACD78E3B04F86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8BE4286C553E4C1F87135C5492CC3C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00E4C9-34DA-46D7-9639-4991E81E332A}"/>
      </w:docPartPr>
      <w:docPartBody>
        <w:p w:rsidR="00AE24E7" w:rsidRDefault="004427F6" w:rsidP="004427F6">
          <w:pPr>
            <w:pStyle w:val="8BE4286C553E4C1F87135C5492CC3CF0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14A8655A2A9B4441895BFCFC5DDE6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162774-3F70-4991-99BB-270929EE5CCD}"/>
      </w:docPartPr>
      <w:docPartBody>
        <w:p w:rsidR="00CE0AE4" w:rsidRDefault="009000F0" w:rsidP="009000F0">
          <w:pPr>
            <w:pStyle w:val="14A8655A2A9B4441895BFCFC5DDE6ED2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837D7"/>
    <w:rsid w:val="004427F6"/>
    <w:rsid w:val="005E0783"/>
    <w:rsid w:val="009000F0"/>
    <w:rsid w:val="00A21EFB"/>
    <w:rsid w:val="00A53FD0"/>
    <w:rsid w:val="00AE24E7"/>
    <w:rsid w:val="00CE0AE4"/>
    <w:rsid w:val="00D21A9F"/>
    <w:rsid w:val="00EF3ACC"/>
    <w:rsid w:val="00F1052D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00F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370193445FD488A8FBACD78E3B04F86">
    <w:name w:val="E370193445FD488A8FBACD78E3B04F86"/>
    <w:rsid w:val="002837D7"/>
    <w:rPr>
      <w:lang w:val="en-US" w:eastAsia="en-US"/>
    </w:rPr>
  </w:style>
  <w:style w:type="paragraph" w:customStyle="1" w:styleId="8BE4286C553E4C1F87135C5492CC3CF0">
    <w:name w:val="8BE4286C553E4C1F87135C5492CC3CF0"/>
    <w:rsid w:val="004427F6"/>
  </w:style>
  <w:style w:type="paragraph" w:customStyle="1" w:styleId="14A8655A2A9B4441895BFCFC5DDE6ED2">
    <w:name w:val="14A8655A2A9B4441895BFCFC5DDE6ED2"/>
    <w:rsid w:val="009000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www.w3.org/XML/1998/namespace"/>
    <ds:schemaRef ds:uri="http://purl.org/dc/dcmitype/"/>
    <ds:schemaRef ds:uri="http://purl.org/dc/terms/"/>
    <ds:schemaRef ds:uri="http://purl.org/dc/elements/1.1/"/>
    <ds:schemaRef ds:uri="1c567317-0c4d-4a62-8516-c22afd1b5354"/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15B7CE-DC91-4025-AABC-641219C0A4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56FA63C-437C-4202-8835-8865CD46D8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1306</TotalTime>
  <Pages>6</Pages>
  <Words>993</Words>
  <Characters>5783</Characters>
  <Application>Microsoft Office Word</Application>
  <DocSecurity>0</DocSecurity>
  <Lines>192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28</cp:revision>
  <cp:lastPrinted>2018-10-22T22:41:00Z</cp:lastPrinted>
  <dcterms:created xsi:type="dcterms:W3CDTF">2019-04-14T23:55:00Z</dcterms:created>
  <dcterms:modified xsi:type="dcterms:W3CDTF">2026-01-09T01:19:00Z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2025-12-23T03:56:43Z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0b9294bb-59b4-4420-a7a2-de050c45373d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