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BA46686" w14:textId="1D353216" w:rsidR="00BD499F" w:rsidRPr="004C23F4" w:rsidRDefault="00550107" w:rsidP="00B40C60">
          <w:pPr>
            <w:pStyle w:val="Heading1"/>
            <w:jc w:val="center"/>
            <w:rPr>
              <w:rFonts w:ascii="Arial" w:hAnsi="Arial" w:cs="Arial"/>
            </w:rPr>
          </w:pPr>
          <w:r w:rsidRPr="00550107">
            <w:rPr>
              <w:rFonts w:ascii="Arial" w:hAnsi="Arial" w:cs="Arial"/>
            </w:rPr>
            <w:t>Iron pentacarbonyl (as Fe)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0B3AE1A1" w14:textId="77777777" w:rsidTr="00DE520A">
        <w:trPr>
          <w:cantSplit/>
          <w:tblHeader/>
        </w:trPr>
        <w:tc>
          <w:tcPr>
            <w:tcW w:w="3979" w:type="dxa"/>
          </w:tcPr>
          <w:p w14:paraId="4CFE186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4AFA9BE1" w14:textId="1AB0072F" w:rsidR="00F43AD5" w:rsidRPr="00717D45" w:rsidRDefault="007638F1" w:rsidP="00B76A41">
            <w:pPr>
              <w:pStyle w:val="Tablefont"/>
            </w:pPr>
            <w:r w:rsidRPr="007638F1">
              <w:t>13463-40-6</w:t>
            </w:r>
          </w:p>
        </w:tc>
      </w:tr>
      <w:tr w:rsidR="00F43AD5" w:rsidRPr="004C23F4" w14:paraId="45EFA168" w14:textId="77777777" w:rsidTr="00DE520A">
        <w:trPr>
          <w:cantSplit/>
        </w:trPr>
        <w:tc>
          <w:tcPr>
            <w:tcW w:w="3979" w:type="dxa"/>
          </w:tcPr>
          <w:p w14:paraId="6CEE9DA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1921EF8D" w14:textId="2B04456F" w:rsidR="00F43AD5" w:rsidRPr="00717D45" w:rsidRDefault="007638F1" w:rsidP="00B76A41">
            <w:pPr>
              <w:pStyle w:val="Tablefont"/>
            </w:pPr>
            <w:r>
              <w:t xml:space="preserve">Iron carbonyl, </w:t>
            </w:r>
            <w:proofErr w:type="spellStart"/>
            <w:r>
              <w:t>pentacarbonyliron</w:t>
            </w:r>
            <w:proofErr w:type="spellEnd"/>
          </w:p>
        </w:tc>
      </w:tr>
      <w:tr w:rsidR="00F43AD5" w:rsidRPr="004C23F4" w14:paraId="765E0910" w14:textId="77777777" w:rsidTr="00DE520A">
        <w:trPr>
          <w:cantSplit/>
        </w:trPr>
        <w:tc>
          <w:tcPr>
            <w:tcW w:w="3979" w:type="dxa"/>
          </w:tcPr>
          <w:p w14:paraId="150FDA9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1C40A09B" w14:textId="6749B0DB" w:rsidR="00F43AD5" w:rsidRPr="00717D45" w:rsidRDefault="007638F1" w:rsidP="00B76A41">
            <w:pPr>
              <w:pStyle w:val="Tablefont"/>
            </w:pPr>
            <w:proofErr w:type="spellStart"/>
            <w:r>
              <w:t>FeC</w:t>
            </w:r>
            <w:r w:rsidRPr="007638F1">
              <w:rPr>
                <w:vertAlign w:val="subscript"/>
              </w:rPr>
              <w:t>5</w:t>
            </w:r>
            <w:r>
              <w:t>O</w:t>
            </w:r>
            <w:r w:rsidRPr="007638F1">
              <w:rPr>
                <w:vertAlign w:val="subscript"/>
              </w:rPr>
              <w:t>5</w:t>
            </w:r>
            <w:proofErr w:type="spellEnd"/>
          </w:p>
        </w:tc>
      </w:tr>
    </w:tbl>
    <w:p w14:paraId="5CFAD870" w14:textId="322CBC7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2784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AF30AA4" w14:textId="77777777" w:rsidTr="00517264">
        <w:trPr>
          <w:cantSplit/>
          <w:tblHeader/>
        </w:trPr>
        <w:tc>
          <w:tcPr>
            <w:tcW w:w="4005" w:type="dxa"/>
            <w:vAlign w:val="center"/>
          </w:tcPr>
          <w:p w14:paraId="1E4E2D3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38283E83" w14:textId="2CD40175" w:rsidR="002C7AFE" w:rsidRPr="00084461" w:rsidRDefault="0008446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(0.8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01619B90" w14:textId="77777777" w:rsidTr="00517264">
        <w:trPr>
          <w:cantSplit/>
        </w:trPr>
        <w:tc>
          <w:tcPr>
            <w:tcW w:w="4005" w:type="dxa"/>
            <w:vAlign w:val="center"/>
          </w:tcPr>
          <w:p w14:paraId="58EC3AB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995C2DD" w14:textId="39123F68" w:rsidR="002C7AFE" w:rsidRPr="00EB3D1B" w:rsidRDefault="0008446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E76C1DC" w14:textId="77777777" w:rsidTr="00517264">
        <w:trPr>
          <w:cantSplit/>
        </w:trPr>
        <w:tc>
          <w:tcPr>
            <w:tcW w:w="4005" w:type="dxa"/>
            <w:vAlign w:val="center"/>
          </w:tcPr>
          <w:p w14:paraId="18999FC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8938589" w14:textId="6BD659FC" w:rsidR="002C7AFE" w:rsidRPr="00627840" w:rsidRDefault="0008446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</w:t>
            </w:r>
            <w:r w:rsidR="00627840">
              <w:rPr>
                <w:b/>
              </w:rPr>
              <w:t>1.6 mg/</w:t>
            </w:r>
            <w:proofErr w:type="spellStart"/>
            <w:r w:rsidR="00627840">
              <w:rPr>
                <w:b/>
              </w:rPr>
              <w:t>m</w:t>
            </w:r>
            <w:r w:rsidR="00627840">
              <w:rPr>
                <w:b/>
                <w:vertAlign w:val="superscript"/>
              </w:rPr>
              <w:t>3</w:t>
            </w:r>
            <w:proofErr w:type="spellEnd"/>
            <w:r w:rsidR="00627840">
              <w:rPr>
                <w:b/>
              </w:rPr>
              <w:t>)</w:t>
            </w:r>
          </w:p>
        </w:tc>
      </w:tr>
      <w:tr w:rsidR="002C7AFE" w:rsidRPr="004C23F4" w14:paraId="16E98EDC" w14:textId="77777777" w:rsidTr="00517264">
        <w:trPr>
          <w:cantSplit/>
        </w:trPr>
        <w:tc>
          <w:tcPr>
            <w:tcW w:w="4005" w:type="dxa"/>
          </w:tcPr>
          <w:p w14:paraId="1CF7D21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A42920B" w14:textId="7A297229" w:rsidR="002C7AFE" w:rsidRPr="00EB3D1B" w:rsidRDefault="00A751D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 </w:t>
            </w:r>
          </w:p>
        </w:tc>
      </w:tr>
      <w:tr w:rsidR="002C7AFE" w:rsidRPr="004C23F4" w14:paraId="3CC71A5E" w14:textId="77777777" w:rsidTr="00517264">
        <w:trPr>
          <w:cantSplit/>
        </w:trPr>
        <w:tc>
          <w:tcPr>
            <w:tcW w:w="4005" w:type="dxa"/>
            <w:vAlign w:val="center"/>
          </w:tcPr>
          <w:p w14:paraId="191A3FC0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F0C7A93" w14:textId="61255AD3" w:rsidR="002C7AFE" w:rsidRPr="00EB3D1B" w:rsidRDefault="007638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0.4 ppm</w:t>
            </w:r>
          </w:p>
        </w:tc>
      </w:tr>
      <w:tr w:rsidR="00517264" w:rsidRPr="004C23F4" w14:paraId="033BA87F" w14:textId="77777777" w:rsidTr="0043070B">
        <w:trPr>
          <w:cantSplit/>
        </w:trPr>
        <w:tc>
          <w:tcPr>
            <w:tcW w:w="9026" w:type="dxa"/>
            <w:gridSpan w:val="2"/>
            <w:vAlign w:val="center"/>
          </w:tcPr>
          <w:p w14:paraId="0D013ADB" w14:textId="26E5CB2A" w:rsidR="00517264" w:rsidRPr="00EB3D1B" w:rsidRDefault="00517264" w:rsidP="00017C82">
            <w:pPr>
              <w:pStyle w:val="Tablefont"/>
              <w:rPr>
                <w:b/>
              </w:rPr>
            </w:pPr>
            <w:r w:rsidRPr="00517264">
              <w:rPr>
                <w:b/>
              </w:rPr>
              <w:t>Sampling and analysis:</w:t>
            </w:r>
            <w:r w:rsidRPr="00517264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E35374857774A368CBA9B2582B5851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2BBC7D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6EDEED1" w14:textId="23D9A90B" w:rsidR="00A751DE" w:rsidRDefault="00CF32BC" w:rsidP="000C139A">
      <w:pPr>
        <w:rPr>
          <w:rFonts w:cs="Arial"/>
        </w:rPr>
      </w:pPr>
      <w:r>
        <w:rPr>
          <w:rFonts w:cs="Arial"/>
        </w:rPr>
        <w:t>A</w:t>
      </w:r>
      <w:r w:rsidR="00613AF4">
        <w:rPr>
          <w:rFonts w:cs="Arial"/>
        </w:rPr>
        <w:t xml:space="preserve"> </w:t>
      </w:r>
      <w:r w:rsidR="00627840" w:rsidRPr="00627840">
        <w:rPr>
          <w:rFonts w:cs="Arial"/>
        </w:rPr>
        <w:t xml:space="preserve">TWA of </w:t>
      </w:r>
      <w:r w:rsidR="00627840">
        <w:rPr>
          <w:rFonts w:cs="Arial"/>
        </w:rPr>
        <w:t>0.1</w:t>
      </w:r>
      <w:r w:rsidR="00627840" w:rsidRPr="00627840">
        <w:rPr>
          <w:rFonts w:cs="Arial"/>
        </w:rPr>
        <w:t xml:space="preserve"> ppm (</w:t>
      </w:r>
      <w:r w:rsidR="00627840">
        <w:rPr>
          <w:rFonts w:cs="Arial"/>
        </w:rPr>
        <w:t>0.8</w:t>
      </w:r>
      <w:r w:rsidR="00627840" w:rsidRPr="00627840">
        <w:rPr>
          <w:rFonts w:cs="Arial"/>
        </w:rPr>
        <w:t xml:space="preserve"> mg/</w:t>
      </w:r>
      <w:proofErr w:type="spellStart"/>
      <w:r w:rsidR="00627840" w:rsidRPr="00627840">
        <w:rPr>
          <w:rFonts w:cs="Arial"/>
        </w:rPr>
        <w:t>m</w:t>
      </w:r>
      <w:r w:rsidR="00627840" w:rsidRPr="00627840">
        <w:rPr>
          <w:rFonts w:cs="Arial"/>
          <w:vertAlign w:val="superscript"/>
        </w:rPr>
        <w:t>3</w:t>
      </w:r>
      <w:proofErr w:type="spellEnd"/>
      <w:r w:rsidR="00627840" w:rsidRPr="00627840">
        <w:rPr>
          <w:rFonts w:cs="Arial"/>
        </w:rPr>
        <w:t xml:space="preserve">) is recommended </w:t>
      </w:r>
      <w:r w:rsidR="00613AF4">
        <w:rPr>
          <w:rFonts w:cs="Arial"/>
        </w:rPr>
        <w:t xml:space="preserve">to </w:t>
      </w:r>
      <w:r w:rsidR="00627840" w:rsidRPr="00627840">
        <w:rPr>
          <w:rFonts w:cs="Arial"/>
        </w:rPr>
        <w:t xml:space="preserve">protect for </w:t>
      </w:r>
      <w:r w:rsidR="00627840">
        <w:rPr>
          <w:rFonts w:cs="Arial"/>
        </w:rPr>
        <w:t xml:space="preserve">lung damage in exposed workers. </w:t>
      </w:r>
      <w:r w:rsidR="00613AF4">
        <w:rPr>
          <w:rFonts w:cs="Arial"/>
        </w:rPr>
        <w:t xml:space="preserve"> </w:t>
      </w:r>
    </w:p>
    <w:p w14:paraId="18ED2878" w14:textId="1D73EBC4" w:rsidR="006639B4" w:rsidRPr="00627840" w:rsidRDefault="00CF32BC" w:rsidP="000C139A">
      <w:pPr>
        <w:rPr>
          <w:rFonts w:cs="Arial"/>
        </w:rPr>
      </w:pPr>
      <w:r>
        <w:rPr>
          <w:rFonts w:cs="Arial"/>
        </w:rPr>
        <w:t>A</w:t>
      </w:r>
      <w:r w:rsidR="00613AF4">
        <w:rPr>
          <w:rFonts w:cs="Arial"/>
        </w:rPr>
        <w:t xml:space="preserve"> </w:t>
      </w:r>
      <w:r w:rsidR="00627840">
        <w:rPr>
          <w:rFonts w:cs="Arial"/>
        </w:rPr>
        <w:t xml:space="preserve">peak limitation of 0.2 </w:t>
      </w:r>
      <w:r w:rsidR="00E11118">
        <w:rPr>
          <w:rFonts w:cs="Arial"/>
        </w:rPr>
        <w:t xml:space="preserve">ppm </w:t>
      </w:r>
      <w:r w:rsidR="00627840">
        <w:rPr>
          <w:rFonts w:cs="Arial"/>
        </w:rPr>
        <w:t>(1.6 mg/</w:t>
      </w:r>
      <w:proofErr w:type="spellStart"/>
      <w:r w:rsidR="00627840">
        <w:rPr>
          <w:rFonts w:cs="Arial"/>
        </w:rPr>
        <w:t>m</w:t>
      </w:r>
      <w:r w:rsidR="00627840">
        <w:rPr>
          <w:rFonts w:cs="Arial"/>
          <w:vertAlign w:val="superscript"/>
        </w:rPr>
        <w:t>3</w:t>
      </w:r>
      <w:proofErr w:type="spellEnd"/>
      <w:r w:rsidR="00627840">
        <w:rPr>
          <w:rFonts w:cs="Arial"/>
        </w:rPr>
        <w:t xml:space="preserve">) is recommended to protect for </w:t>
      </w:r>
      <w:r w:rsidR="008732E2">
        <w:rPr>
          <w:rFonts w:cs="Arial"/>
        </w:rPr>
        <w:t>acute</w:t>
      </w:r>
      <w:r w:rsidR="00DE520A">
        <w:rPr>
          <w:rFonts w:cs="Arial"/>
        </w:rPr>
        <w:t xml:space="preserve"> and</w:t>
      </w:r>
      <w:r w:rsidR="008732E2">
        <w:rPr>
          <w:rFonts w:cs="Arial"/>
        </w:rPr>
        <w:t xml:space="preserve"> </w:t>
      </w:r>
      <w:r w:rsidR="00627840">
        <w:rPr>
          <w:rFonts w:cs="Arial"/>
        </w:rPr>
        <w:t>severe lung damage</w:t>
      </w:r>
      <w:r w:rsidR="009B1D0C">
        <w:rPr>
          <w:rFonts w:cs="Arial"/>
        </w:rPr>
        <w:t xml:space="preserve"> in exposed workers</w:t>
      </w:r>
      <w:r w:rsidR="008732E2">
        <w:rPr>
          <w:rFonts w:cs="Arial"/>
        </w:rPr>
        <w:t>.</w:t>
      </w:r>
    </w:p>
    <w:p w14:paraId="5D364D0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51A5C6F" w14:textId="33EDA008" w:rsidR="00D21240" w:rsidRDefault="00C11CD7" w:rsidP="006639B4">
      <w:pPr>
        <w:rPr>
          <w:rFonts w:cs="Arial"/>
        </w:rPr>
      </w:pPr>
      <w:r>
        <w:rPr>
          <w:rFonts w:cs="Arial"/>
        </w:rPr>
        <w:t xml:space="preserve">Iron pentacarbonyl is used as an anti-knock agent in petrol and may form </w:t>
      </w:r>
      <w:r w:rsidR="00F5412D">
        <w:rPr>
          <w:rFonts w:cs="Arial"/>
        </w:rPr>
        <w:t xml:space="preserve">due to </w:t>
      </w:r>
      <w:r>
        <w:rPr>
          <w:rFonts w:cs="Arial"/>
        </w:rPr>
        <w:t xml:space="preserve">the reaction of finely divided iron with carbon monoxide. </w:t>
      </w:r>
    </w:p>
    <w:p w14:paraId="3FF8A48C" w14:textId="2F89C4F7" w:rsidR="00D21240" w:rsidRDefault="00C11CD7" w:rsidP="006639B4">
      <w:pPr>
        <w:rPr>
          <w:rFonts w:cs="Arial"/>
        </w:rPr>
      </w:pPr>
      <w:r>
        <w:rPr>
          <w:rFonts w:cs="Arial"/>
        </w:rPr>
        <w:t>Critical effects</w:t>
      </w:r>
      <w:r w:rsidR="00D21240">
        <w:rPr>
          <w:rFonts w:cs="Arial"/>
        </w:rPr>
        <w:t xml:space="preserve"> of exposure</w:t>
      </w:r>
      <w:r>
        <w:rPr>
          <w:rFonts w:cs="Arial"/>
        </w:rPr>
        <w:t xml:space="preserve"> are lung damage, cyanosis</w:t>
      </w:r>
      <w:r w:rsidR="000A16D2">
        <w:rPr>
          <w:rFonts w:cs="Arial"/>
        </w:rPr>
        <w:t xml:space="preserve"> and</w:t>
      </w:r>
      <w:r>
        <w:rPr>
          <w:rFonts w:cs="Arial"/>
        </w:rPr>
        <w:t xml:space="preserve"> </w:t>
      </w:r>
      <w:r w:rsidR="002366C7">
        <w:rPr>
          <w:rFonts w:cs="Arial"/>
        </w:rPr>
        <w:t>at higher concentrations</w:t>
      </w:r>
      <w:r w:rsidR="00C677B2">
        <w:rPr>
          <w:rFonts w:cs="Arial"/>
        </w:rPr>
        <w:t xml:space="preserve"> </w:t>
      </w:r>
      <w:r>
        <w:rPr>
          <w:rFonts w:cs="Arial"/>
        </w:rPr>
        <w:t xml:space="preserve">adverse central nervous system </w:t>
      </w:r>
      <w:r w:rsidR="00DE520A">
        <w:rPr>
          <w:rFonts w:cs="Arial"/>
        </w:rPr>
        <w:t xml:space="preserve">(CNS) </w:t>
      </w:r>
      <w:r>
        <w:rPr>
          <w:rFonts w:cs="Arial"/>
        </w:rPr>
        <w:t>effects.</w:t>
      </w:r>
      <w:r w:rsidR="00D21240">
        <w:rPr>
          <w:rFonts w:cs="Arial"/>
        </w:rPr>
        <w:t xml:space="preserve"> </w:t>
      </w:r>
      <w:r w:rsidR="00E2798D">
        <w:rPr>
          <w:rFonts w:cs="Arial"/>
        </w:rPr>
        <w:t>Inhalation</w:t>
      </w:r>
      <w:r w:rsidR="00CF32BC">
        <w:rPr>
          <w:rFonts w:cs="Arial"/>
        </w:rPr>
        <w:t>al</w:t>
      </w:r>
      <w:r w:rsidR="00E2798D">
        <w:rPr>
          <w:rFonts w:cs="Arial"/>
        </w:rPr>
        <w:t xml:space="preserve"> studies</w:t>
      </w:r>
      <w:r>
        <w:rPr>
          <w:rFonts w:cs="Arial"/>
        </w:rPr>
        <w:t xml:space="preserve"> </w:t>
      </w:r>
      <w:r w:rsidR="00CF32BC">
        <w:rPr>
          <w:rFonts w:cs="Arial"/>
        </w:rPr>
        <w:t>of</w:t>
      </w:r>
      <w:r>
        <w:rPr>
          <w:rFonts w:cs="Arial"/>
        </w:rPr>
        <w:t xml:space="preserve"> rats demonstrate a steep dose-response relationship</w:t>
      </w:r>
      <w:r w:rsidR="00CF32BC">
        <w:rPr>
          <w:rFonts w:cs="Arial"/>
        </w:rPr>
        <w:t xml:space="preserve">. A sub-chronic </w:t>
      </w:r>
      <w:proofErr w:type="spellStart"/>
      <w:r w:rsidR="00CF32BC">
        <w:rPr>
          <w:rFonts w:cs="Arial"/>
        </w:rPr>
        <w:t>inalational</w:t>
      </w:r>
      <w:proofErr w:type="spellEnd"/>
      <w:r w:rsidR="00CF32BC">
        <w:rPr>
          <w:rFonts w:cs="Arial"/>
        </w:rPr>
        <w:t xml:space="preserve"> study of rats reported a</w:t>
      </w:r>
      <w:r>
        <w:rPr>
          <w:rFonts w:cs="Arial"/>
        </w:rPr>
        <w:t xml:space="preserve"> </w:t>
      </w:r>
      <w:proofErr w:type="spellStart"/>
      <w:r w:rsidR="004D04BC">
        <w:rPr>
          <w:rFonts w:cs="Arial"/>
        </w:rPr>
        <w:t>NOAEC</w:t>
      </w:r>
      <w:proofErr w:type="spellEnd"/>
      <w:r w:rsidR="004D04BC">
        <w:rPr>
          <w:rFonts w:cs="Arial"/>
        </w:rPr>
        <w:t xml:space="preserve"> </w:t>
      </w:r>
      <w:r>
        <w:rPr>
          <w:rFonts w:cs="Arial"/>
        </w:rPr>
        <w:t>o</w:t>
      </w:r>
      <w:r w:rsidR="00E2798D">
        <w:rPr>
          <w:rFonts w:cs="Arial"/>
        </w:rPr>
        <w:t>f 0.3</w:t>
      </w:r>
      <w:r w:rsidR="004F3AC4">
        <w:rPr>
          <w:rFonts w:cs="Arial"/>
        </w:rPr>
        <w:t xml:space="preserve"> </w:t>
      </w:r>
      <w:r>
        <w:rPr>
          <w:rFonts w:cs="Arial"/>
        </w:rPr>
        <w:t xml:space="preserve">ppm </w:t>
      </w:r>
      <w:r w:rsidR="00CF32BC">
        <w:rPr>
          <w:rFonts w:cs="Arial"/>
        </w:rPr>
        <w:t>and a</w:t>
      </w:r>
      <w:r>
        <w:rPr>
          <w:rFonts w:cs="Arial"/>
        </w:rPr>
        <w:t xml:space="preserve"> corresponding </w:t>
      </w:r>
      <w:proofErr w:type="spellStart"/>
      <w:r w:rsidR="004D04BC">
        <w:rPr>
          <w:rFonts w:cs="Arial"/>
        </w:rPr>
        <w:t>LOAEC</w:t>
      </w:r>
      <w:proofErr w:type="spellEnd"/>
      <w:r w:rsidR="004D04BC">
        <w:rPr>
          <w:rFonts w:cs="Arial"/>
        </w:rPr>
        <w:t xml:space="preserve"> </w:t>
      </w:r>
      <w:r>
        <w:rPr>
          <w:rFonts w:cs="Arial"/>
        </w:rPr>
        <w:t xml:space="preserve">of 1 ppm </w:t>
      </w:r>
      <w:r w:rsidR="00CF32BC">
        <w:rPr>
          <w:rFonts w:cs="Arial"/>
        </w:rPr>
        <w:t xml:space="preserve">for lung damage </w:t>
      </w:r>
      <w:r w:rsidR="002366C7">
        <w:rPr>
          <w:rFonts w:cs="Arial"/>
        </w:rPr>
        <w:t xml:space="preserve">with </w:t>
      </w:r>
      <w:r>
        <w:rPr>
          <w:rFonts w:cs="Arial"/>
        </w:rPr>
        <w:t>increased mortality at 3</w:t>
      </w:r>
      <w:r w:rsidR="004F3AC4">
        <w:rPr>
          <w:rFonts w:cs="Arial"/>
        </w:rPr>
        <w:t xml:space="preserve"> </w:t>
      </w:r>
      <w:r>
        <w:rPr>
          <w:rFonts w:cs="Arial"/>
        </w:rPr>
        <w:t>ppm (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 xml:space="preserve">, 2012). Accordingly, the </w:t>
      </w:r>
      <w:proofErr w:type="spellStart"/>
      <w:r>
        <w:rPr>
          <w:rFonts w:cs="Arial"/>
        </w:rPr>
        <w:t>IDLH</w:t>
      </w:r>
      <w:proofErr w:type="spellEnd"/>
      <w:r>
        <w:rPr>
          <w:rFonts w:cs="Arial"/>
        </w:rPr>
        <w:t xml:space="preserve"> value was recently revised to reflect </w:t>
      </w:r>
      <w:r w:rsidR="00E2798D">
        <w:rPr>
          <w:rFonts w:cs="Arial"/>
        </w:rPr>
        <w:t xml:space="preserve">the sensitivity of these endpoints and their </w:t>
      </w:r>
      <w:r>
        <w:rPr>
          <w:rFonts w:cs="Arial"/>
        </w:rPr>
        <w:t xml:space="preserve">potential latency </w:t>
      </w:r>
      <w:r w:rsidR="00E2798D">
        <w:rPr>
          <w:rFonts w:cs="Arial"/>
        </w:rPr>
        <w:t>following</w:t>
      </w:r>
      <w:r>
        <w:rPr>
          <w:rFonts w:cs="Arial"/>
        </w:rPr>
        <w:t xml:space="preserve"> acute exposures between </w:t>
      </w:r>
      <w:r w:rsidR="00E2798D">
        <w:rPr>
          <w:rFonts w:cs="Arial"/>
        </w:rPr>
        <w:t>2.9 and 5.2 ppm (</w:t>
      </w:r>
      <w:proofErr w:type="spellStart"/>
      <w:r w:rsidR="00E2798D">
        <w:rPr>
          <w:rFonts w:cs="Arial"/>
        </w:rPr>
        <w:t>NIOSH</w:t>
      </w:r>
      <w:proofErr w:type="spellEnd"/>
      <w:r w:rsidR="00E2798D">
        <w:rPr>
          <w:rFonts w:cs="Arial"/>
        </w:rPr>
        <w:t>, 2016).</w:t>
      </w:r>
      <w:r w:rsidR="008E068C">
        <w:rPr>
          <w:rFonts w:cs="Arial"/>
        </w:rPr>
        <w:t xml:space="preserve"> </w:t>
      </w:r>
    </w:p>
    <w:p w14:paraId="74AF186B" w14:textId="5C3A05A9" w:rsidR="00C11CD7" w:rsidRDefault="00160F93" w:rsidP="006639B4">
      <w:pPr>
        <w:rPr>
          <w:rFonts w:cs="Arial"/>
        </w:rPr>
      </w:pPr>
      <w:r>
        <w:rPr>
          <w:rFonts w:cs="Arial"/>
        </w:rPr>
        <w:t xml:space="preserve">The </w:t>
      </w:r>
      <w:r w:rsidR="00CF32BC">
        <w:rPr>
          <w:rFonts w:cs="Arial"/>
        </w:rPr>
        <w:t xml:space="preserve">recommended </w:t>
      </w:r>
      <w:r>
        <w:rPr>
          <w:rFonts w:cs="Arial"/>
        </w:rPr>
        <w:t>TWA</w:t>
      </w:r>
      <w:r w:rsidR="002366C7">
        <w:rPr>
          <w:rFonts w:cs="Arial"/>
        </w:rPr>
        <w:t xml:space="preserve"> </w:t>
      </w:r>
      <w:r w:rsidR="00613AF4">
        <w:rPr>
          <w:rFonts w:cs="Arial"/>
        </w:rPr>
        <w:t xml:space="preserve">of 0.1 ppm </w:t>
      </w:r>
      <w:r w:rsidR="00CF32BC">
        <w:rPr>
          <w:rFonts w:cs="Arial"/>
        </w:rPr>
        <w:t>(0.8 mg/</w:t>
      </w:r>
      <w:proofErr w:type="spellStart"/>
      <w:r w:rsidR="00CF32BC">
        <w:rPr>
          <w:rFonts w:cs="Arial"/>
        </w:rPr>
        <w:t>m</w:t>
      </w:r>
      <w:r w:rsidR="00CF32BC">
        <w:rPr>
          <w:rFonts w:cs="Arial"/>
          <w:vertAlign w:val="superscript"/>
        </w:rPr>
        <w:t>3</w:t>
      </w:r>
      <w:proofErr w:type="spellEnd"/>
      <w:r w:rsidR="00CF32BC">
        <w:rPr>
          <w:rFonts w:cs="Arial"/>
        </w:rPr>
        <w:t xml:space="preserve">) </w:t>
      </w:r>
      <w:r w:rsidR="008E068C">
        <w:rPr>
          <w:rFonts w:cs="Arial"/>
        </w:rPr>
        <w:t xml:space="preserve">is based on the </w:t>
      </w:r>
      <w:proofErr w:type="spellStart"/>
      <w:r w:rsidR="004D04BC">
        <w:rPr>
          <w:rFonts w:cs="Arial"/>
        </w:rPr>
        <w:t>NOAEC</w:t>
      </w:r>
      <w:proofErr w:type="spellEnd"/>
      <w:r w:rsidR="004D04BC">
        <w:rPr>
          <w:rFonts w:cs="Arial"/>
        </w:rPr>
        <w:t xml:space="preserve"> </w:t>
      </w:r>
      <w:r w:rsidR="008E068C">
        <w:rPr>
          <w:rFonts w:cs="Arial"/>
        </w:rPr>
        <w:t>of 0.3 ppm</w:t>
      </w:r>
      <w:r w:rsidR="006A4B74">
        <w:rPr>
          <w:rFonts w:cs="Arial"/>
        </w:rPr>
        <w:t xml:space="preserve"> </w:t>
      </w:r>
      <w:r w:rsidR="00DE520A">
        <w:rPr>
          <w:rFonts w:cs="Arial"/>
        </w:rPr>
        <w:t xml:space="preserve">and </w:t>
      </w:r>
      <w:r w:rsidR="006A4B74">
        <w:rPr>
          <w:rFonts w:cs="Arial"/>
        </w:rPr>
        <w:t>divided by an uncertainty f</w:t>
      </w:r>
      <w:r w:rsidR="008E068C">
        <w:rPr>
          <w:rFonts w:cs="Arial"/>
        </w:rPr>
        <w:t xml:space="preserve">actor of </w:t>
      </w:r>
      <w:r w:rsidR="00A072B7">
        <w:rPr>
          <w:rFonts w:cs="Arial"/>
        </w:rPr>
        <w:t>three</w:t>
      </w:r>
      <w:r w:rsidR="00F14659">
        <w:rPr>
          <w:rFonts w:cs="Arial"/>
        </w:rPr>
        <w:t>.</w:t>
      </w:r>
      <w:r w:rsidR="008E068C">
        <w:rPr>
          <w:rFonts w:cs="Arial"/>
        </w:rPr>
        <w:t xml:space="preserve"> </w:t>
      </w:r>
      <w:r w:rsidR="00F14659">
        <w:rPr>
          <w:rFonts w:cs="Arial"/>
        </w:rPr>
        <w:t>This</w:t>
      </w:r>
      <w:r w:rsidR="00592EA5">
        <w:rPr>
          <w:rFonts w:cs="Arial"/>
        </w:rPr>
        <w:t xml:space="preserve"> </w:t>
      </w:r>
      <w:r w:rsidR="006A4B74">
        <w:rPr>
          <w:rFonts w:cs="Arial"/>
        </w:rPr>
        <w:t xml:space="preserve">is the </w:t>
      </w:r>
      <w:r w:rsidR="00F14659">
        <w:rPr>
          <w:rFonts w:cs="Arial"/>
        </w:rPr>
        <w:t xml:space="preserve">same as the </w:t>
      </w:r>
      <w:r w:rsidR="006A4B74">
        <w:rPr>
          <w:rFonts w:cs="Arial"/>
        </w:rPr>
        <w:t xml:space="preserve">TWA derived </w:t>
      </w:r>
      <w:r w:rsidR="00592EA5">
        <w:rPr>
          <w:rFonts w:cs="Arial"/>
        </w:rPr>
        <w:t xml:space="preserve">by </w:t>
      </w:r>
      <w:proofErr w:type="spellStart"/>
      <w:r w:rsidR="00592EA5">
        <w:rPr>
          <w:rFonts w:cs="Arial"/>
        </w:rPr>
        <w:t>ACGIH</w:t>
      </w:r>
      <w:proofErr w:type="spellEnd"/>
      <w:r w:rsidR="00592EA5">
        <w:rPr>
          <w:rFonts w:cs="Arial"/>
        </w:rPr>
        <w:t xml:space="preserve"> (2018</w:t>
      </w:r>
      <w:r w:rsidR="00DE520A">
        <w:rPr>
          <w:rFonts w:cs="Arial"/>
        </w:rPr>
        <w:t>;</w:t>
      </w:r>
      <w:r w:rsidR="00F14659">
        <w:rPr>
          <w:rFonts w:cs="Arial"/>
        </w:rPr>
        <w:t xml:space="preserve"> derivation not described</w:t>
      </w:r>
      <w:r w:rsidR="00DE520A">
        <w:rPr>
          <w:rFonts w:cs="Arial"/>
        </w:rPr>
        <w:t>)</w:t>
      </w:r>
      <w:r w:rsidR="00F14659">
        <w:rPr>
          <w:rFonts w:cs="Arial"/>
        </w:rPr>
        <w:t xml:space="preserve"> </w:t>
      </w:r>
      <w:r w:rsidR="00592EA5">
        <w:rPr>
          <w:rFonts w:cs="Arial"/>
        </w:rPr>
        <w:t xml:space="preserve">and </w:t>
      </w:r>
      <w:proofErr w:type="spellStart"/>
      <w:r w:rsidR="00592EA5">
        <w:rPr>
          <w:rFonts w:cs="Arial"/>
        </w:rPr>
        <w:t>DFG</w:t>
      </w:r>
      <w:proofErr w:type="spellEnd"/>
      <w:r w:rsidR="00592EA5">
        <w:rPr>
          <w:rFonts w:cs="Arial"/>
        </w:rPr>
        <w:t xml:space="preserve"> (2012)</w:t>
      </w:r>
      <w:r w:rsidR="00DE520A">
        <w:rPr>
          <w:rFonts w:cs="Arial"/>
        </w:rPr>
        <w:t>.</w:t>
      </w:r>
      <w:r w:rsidR="00F14659">
        <w:rPr>
          <w:rFonts w:cs="Arial"/>
        </w:rPr>
        <w:t xml:space="preserve"> </w:t>
      </w:r>
      <w:proofErr w:type="spellStart"/>
      <w:r w:rsidR="00F5412D">
        <w:rPr>
          <w:rFonts w:cs="Arial"/>
        </w:rPr>
        <w:t>HCOTN</w:t>
      </w:r>
      <w:proofErr w:type="spellEnd"/>
      <w:r w:rsidR="00F5412D">
        <w:rPr>
          <w:rFonts w:cs="Arial"/>
        </w:rPr>
        <w:t xml:space="preserve"> (2002) recommended a </w:t>
      </w:r>
      <w:r w:rsidR="00CF32BC">
        <w:rPr>
          <w:rFonts w:cs="Arial"/>
        </w:rPr>
        <w:t>TWA</w:t>
      </w:r>
      <w:r w:rsidR="00F5412D">
        <w:rPr>
          <w:rFonts w:cs="Arial"/>
        </w:rPr>
        <w:t xml:space="preserve"> </w:t>
      </w:r>
      <w:r w:rsidR="006A4B74">
        <w:rPr>
          <w:rFonts w:cs="Arial"/>
        </w:rPr>
        <w:t xml:space="preserve">of 0.01 ppm </w:t>
      </w:r>
      <w:r w:rsidR="009B0E04">
        <w:rPr>
          <w:rFonts w:cs="Arial"/>
        </w:rPr>
        <w:t>based on</w:t>
      </w:r>
      <w:r w:rsidR="00F5412D">
        <w:rPr>
          <w:rFonts w:cs="Arial"/>
        </w:rPr>
        <w:t xml:space="preserve"> th</w:t>
      </w:r>
      <w:r w:rsidR="00DE520A">
        <w:rPr>
          <w:rFonts w:cs="Arial"/>
        </w:rPr>
        <w:t>e</w:t>
      </w:r>
      <w:r w:rsidR="00F5412D">
        <w:rPr>
          <w:rFonts w:cs="Arial"/>
        </w:rPr>
        <w:t xml:space="preserve"> same </w:t>
      </w:r>
      <w:proofErr w:type="spellStart"/>
      <w:r w:rsidR="00F5412D">
        <w:rPr>
          <w:rFonts w:cs="Arial"/>
        </w:rPr>
        <w:t>NOAEC</w:t>
      </w:r>
      <w:proofErr w:type="spellEnd"/>
      <w:r w:rsidR="00F5412D">
        <w:rPr>
          <w:rFonts w:cs="Arial"/>
        </w:rPr>
        <w:t xml:space="preserve"> but </w:t>
      </w:r>
      <w:r w:rsidR="006A4B74">
        <w:rPr>
          <w:rFonts w:cs="Arial"/>
        </w:rPr>
        <w:t>divided by an</w:t>
      </w:r>
      <w:r w:rsidR="00F5412D">
        <w:rPr>
          <w:rFonts w:cs="Arial"/>
        </w:rPr>
        <w:t xml:space="preserve"> uncertainty </w:t>
      </w:r>
      <w:r w:rsidR="006A4B74">
        <w:rPr>
          <w:rFonts w:cs="Arial"/>
        </w:rPr>
        <w:t>factor of 10</w:t>
      </w:r>
      <w:r w:rsidR="00DE520A">
        <w:rPr>
          <w:rFonts w:cs="Arial"/>
        </w:rPr>
        <w:t xml:space="preserve">. </w:t>
      </w:r>
      <w:r w:rsidR="00084461">
        <w:rPr>
          <w:rFonts w:cs="Arial"/>
        </w:rPr>
        <w:t xml:space="preserve">The </w:t>
      </w:r>
      <w:r w:rsidR="004F3AC4">
        <w:rPr>
          <w:rFonts w:cs="Arial"/>
        </w:rPr>
        <w:t>10</w:t>
      </w:r>
      <w:r w:rsidR="00084461">
        <w:rPr>
          <w:rFonts w:cs="Arial"/>
        </w:rPr>
        <w:t xml:space="preserve">-fold </w:t>
      </w:r>
      <w:r w:rsidR="00613AF4">
        <w:rPr>
          <w:rFonts w:cs="Arial"/>
        </w:rPr>
        <w:t>difference from</w:t>
      </w:r>
      <w:r w:rsidR="00084461">
        <w:rPr>
          <w:rFonts w:cs="Arial"/>
        </w:rPr>
        <w:t xml:space="preserve"> the </w:t>
      </w:r>
      <w:proofErr w:type="spellStart"/>
      <w:r w:rsidR="004D04BC">
        <w:rPr>
          <w:rFonts w:cs="Arial"/>
        </w:rPr>
        <w:t>LOAEC</w:t>
      </w:r>
      <w:proofErr w:type="spellEnd"/>
      <w:r w:rsidR="004D04BC">
        <w:rPr>
          <w:rFonts w:cs="Arial"/>
        </w:rPr>
        <w:t xml:space="preserve"> </w:t>
      </w:r>
      <w:r w:rsidR="00084461">
        <w:rPr>
          <w:rFonts w:cs="Arial"/>
        </w:rPr>
        <w:t xml:space="preserve">is considered sufficiently protective (ECHA, 2019), </w:t>
      </w:r>
      <w:r w:rsidR="00DE520A">
        <w:rPr>
          <w:rFonts w:cs="Arial"/>
        </w:rPr>
        <w:t>and</w:t>
      </w:r>
      <w:r w:rsidR="00084461">
        <w:rPr>
          <w:rFonts w:cs="Arial"/>
        </w:rPr>
        <w:t xml:space="preserve"> due to the severity and sensitivity of the toxic endpoints, a peak limitation of 0.2</w:t>
      </w:r>
      <w:r w:rsidR="00E42979">
        <w:rPr>
          <w:rFonts w:cs="Arial"/>
        </w:rPr>
        <w:t> </w:t>
      </w:r>
      <w:r w:rsidR="00084461">
        <w:rPr>
          <w:rFonts w:cs="Arial"/>
        </w:rPr>
        <w:t>ppm is recommended in place of a STEL.</w:t>
      </w:r>
    </w:p>
    <w:p w14:paraId="331345F9" w14:textId="77777777" w:rsidR="004529F0" w:rsidRPr="004C23F4" w:rsidRDefault="004529F0" w:rsidP="00DE520A">
      <w:pPr>
        <w:pStyle w:val="Heading2"/>
        <w:keepNext w:val="0"/>
      </w:pPr>
      <w:r>
        <w:t>Recommendation for notations</w:t>
      </w:r>
    </w:p>
    <w:p w14:paraId="5FE94F71" w14:textId="3ADD1EA5" w:rsidR="007638F1" w:rsidRPr="007638F1" w:rsidRDefault="007638F1" w:rsidP="00DE520A">
      <w:pPr>
        <w:rPr>
          <w:rFonts w:cs="Arial"/>
        </w:rPr>
      </w:pPr>
      <w:r w:rsidRPr="007638F1">
        <w:rPr>
          <w:rFonts w:cs="Arial"/>
        </w:rPr>
        <w:t>Not classified as a carcinogen according to the Globally Harmonized System of Classification and Labelling o</w:t>
      </w:r>
      <w:r w:rsidR="004F3AC4">
        <w:rPr>
          <w:rFonts w:cs="Arial"/>
        </w:rPr>
        <w:t>f</w:t>
      </w:r>
      <w:r w:rsidR="00A751DE">
        <w:rPr>
          <w:rFonts w:cs="Arial"/>
        </w:rPr>
        <w:t xml:space="preserve"> </w:t>
      </w:r>
      <w:r w:rsidRPr="007638F1">
        <w:rPr>
          <w:rFonts w:cs="Arial"/>
        </w:rPr>
        <w:t xml:space="preserve">Chemicals (GHS). </w:t>
      </w:r>
    </w:p>
    <w:p w14:paraId="149992AC" w14:textId="5A73BC1A" w:rsidR="007638F1" w:rsidRPr="007638F1" w:rsidRDefault="007638F1" w:rsidP="00DE520A">
      <w:pPr>
        <w:rPr>
          <w:rFonts w:cs="Arial"/>
        </w:rPr>
      </w:pPr>
      <w:r w:rsidRPr="007638F1">
        <w:rPr>
          <w:rFonts w:cs="Arial"/>
        </w:rPr>
        <w:t xml:space="preserve">Not classified as a skin </w:t>
      </w:r>
      <w:r w:rsidR="004F3AC4" w:rsidRPr="007638F1">
        <w:rPr>
          <w:rFonts w:cs="Arial"/>
        </w:rPr>
        <w:t xml:space="preserve">sensitiser </w:t>
      </w:r>
      <w:r w:rsidRPr="007638F1">
        <w:rPr>
          <w:rFonts w:cs="Arial"/>
        </w:rPr>
        <w:t>or respiratory sensitiser according to the GHS.</w:t>
      </w:r>
    </w:p>
    <w:p w14:paraId="7C9AD604" w14:textId="44EE0FFB" w:rsidR="005E6979" w:rsidRPr="004C23F4" w:rsidRDefault="00627840" w:rsidP="00DE520A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27840">
        <w:rPr>
          <w:rFonts w:cs="Arial"/>
        </w:rPr>
        <w:lastRenderedPageBreak/>
        <w:t xml:space="preserve">A skin notation </w:t>
      </w:r>
      <w:r>
        <w:rPr>
          <w:rFonts w:cs="Arial"/>
        </w:rPr>
        <w:t xml:space="preserve">is </w:t>
      </w:r>
      <w:r w:rsidRPr="00627840">
        <w:rPr>
          <w:rFonts w:cs="Arial"/>
        </w:rPr>
        <w:t xml:space="preserve">recommended based on evidence </w:t>
      </w:r>
      <w:r>
        <w:rPr>
          <w:rFonts w:cs="Arial"/>
        </w:rPr>
        <w:t>of</w:t>
      </w:r>
      <w:r w:rsidRPr="00627840">
        <w:rPr>
          <w:rFonts w:cs="Arial"/>
        </w:rPr>
        <w:t xml:space="preserve"> adverse systemic effects</w:t>
      </w:r>
      <w:r>
        <w:rPr>
          <w:rFonts w:cs="Arial"/>
        </w:rPr>
        <w:t xml:space="preserve"> following dermal exposure</w:t>
      </w:r>
      <w:r w:rsidRPr="00627840">
        <w:rPr>
          <w:rFonts w:cs="Arial"/>
        </w:rPr>
        <w:t xml:space="preserve"> in animals.</w:t>
      </w:r>
    </w:p>
    <w:p w14:paraId="5B115C6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413219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04EB59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CFCFBA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448572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6995B16" w14:textId="21DE14F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01C4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01C4B">
                  <w:t>TWA: 0.1 ppm (0.</w:t>
                </w:r>
                <w:r w:rsidR="00854E8E">
                  <w:t>8</w:t>
                </w:r>
                <w:r w:rsidR="00701C4B">
                  <w:t xml:space="preserve"> mg/</w:t>
                </w:r>
                <w:proofErr w:type="spellStart"/>
                <w:r w:rsidR="00701C4B">
                  <w:t>m</w:t>
                </w:r>
                <w:r w:rsidR="00701C4B" w:rsidRPr="00701C4B">
                  <w:rPr>
                    <w:vertAlign w:val="superscript"/>
                  </w:rPr>
                  <w:t>3</w:t>
                </w:r>
                <w:proofErr w:type="spellEnd"/>
                <w:r w:rsidR="00701C4B">
                  <w:t>); STEL: 0.2 ppm (</w:t>
                </w:r>
                <w:r w:rsidR="00854E8E">
                  <w:t>1.6</w:t>
                </w:r>
                <w:r w:rsidR="00701C4B">
                  <w:t xml:space="preserve"> mg/</w:t>
                </w:r>
                <w:proofErr w:type="spellStart"/>
                <w:r w:rsidR="00701C4B">
                  <w:t>m</w:t>
                </w:r>
                <w:r w:rsidR="00701C4B" w:rsidRPr="00701C4B">
                  <w:rPr>
                    <w:vertAlign w:val="superscript"/>
                  </w:rPr>
                  <w:t>3</w:t>
                </w:r>
                <w:proofErr w:type="spellEnd"/>
                <w:r w:rsidR="00701C4B">
                  <w:t>)</w:t>
                </w:r>
              </w:sdtContent>
            </w:sdt>
          </w:p>
        </w:tc>
      </w:tr>
      <w:tr w:rsidR="00C978F0" w:rsidRPr="00DA352E" w14:paraId="0193A2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44343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EA6998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C293A3" w14:textId="0B8B9B77" w:rsidR="00C978F0" w:rsidRPr="00DA352E" w:rsidRDefault="00DA352E" w:rsidP="00E1111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552" w:hanging="2552"/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465EB">
                  <w:t>2001</w:t>
                </w:r>
              </w:sdtContent>
            </w:sdt>
            <w:r w:rsidR="00517264">
              <w:t xml:space="preserve"> </w:t>
            </w:r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709CF">
                  <w:t>TLV-TWA: 0.1 ppm (0</w:t>
                </w:r>
                <w:r w:rsidR="00854E8E">
                  <w:t>.8</w:t>
                </w:r>
                <w:r w:rsidR="00C709CF">
                  <w:t xml:space="preserve"> mg/</w:t>
                </w:r>
                <w:proofErr w:type="spellStart"/>
                <w:r w:rsidR="00C709CF">
                  <w:t>m</w:t>
                </w:r>
                <w:r w:rsidR="00C709CF" w:rsidRPr="00C709CF">
                  <w:rPr>
                    <w:vertAlign w:val="superscript"/>
                  </w:rPr>
                  <w:t>3</w:t>
                </w:r>
                <w:proofErr w:type="spellEnd"/>
                <w:r w:rsidR="00C709CF">
                  <w:t>)</w:t>
                </w:r>
                <w:r w:rsidR="0058490B">
                  <w:t xml:space="preserve"> as Fe</w:t>
                </w:r>
                <w:r w:rsidR="00C709CF">
                  <w:t xml:space="preserve"> </w:t>
                </w:r>
                <w:r w:rsidR="0058490B">
                  <w:br/>
                </w:r>
                <w:r w:rsidR="00C709CF">
                  <w:t>TLV-STEL: 0.2 ppm (</w:t>
                </w:r>
                <w:r w:rsidR="00854E8E">
                  <w:t>1.6</w:t>
                </w:r>
                <w:r w:rsidR="00C709CF">
                  <w:t xml:space="preserve"> mg/</w:t>
                </w:r>
                <w:proofErr w:type="spellStart"/>
                <w:r w:rsidR="00C709CF">
                  <w:t>m</w:t>
                </w:r>
                <w:r w:rsidR="00C709CF" w:rsidRPr="00C709CF">
                  <w:rPr>
                    <w:vertAlign w:val="superscript"/>
                  </w:rPr>
                  <w:t>3</w:t>
                </w:r>
                <w:proofErr w:type="spellEnd"/>
                <w:r w:rsidR="00C709CF">
                  <w:t>)</w:t>
                </w:r>
                <w:r w:rsidR="0058490B">
                  <w:t xml:space="preserve"> as Fe</w:t>
                </w:r>
              </w:sdtContent>
            </w:sdt>
          </w:p>
        </w:tc>
      </w:tr>
      <w:tr w:rsidR="00C978F0" w:rsidRPr="00DA352E" w14:paraId="120171F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BC8047" w14:textId="092EDC6A" w:rsidR="00C978F0" w:rsidRPr="00C5659A" w:rsidRDefault="00854E8E" w:rsidP="003365A5">
            <w:pPr>
              <w:pStyle w:val="Tabletextprimarysource"/>
            </w:pPr>
            <w:r w:rsidRPr="00C5659A">
              <w:t>TLV-TWA and TLV-STEL intended to minimise potential for pulmonary oedema, cyanosis, headache</w:t>
            </w:r>
            <w:r w:rsidR="00DE520A">
              <w:t xml:space="preserve"> and</w:t>
            </w:r>
            <w:r w:rsidRPr="00C5659A">
              <w:t xml:space="preserve"> dizziness</w:t>
            </w:r>
            <w:r w:rsidR="000A16D2" w:rsidRPr="00C5659A">
              <w:t xml:space="preserve"> and</w:t>
            </w:r>
            <w:r w:rsidRPr="00C5659A">
              <w:t xml:space="preserve"> at hi</w:t>
            </w:r>
            <w:r w:rsidR="00233ED2" w:rsidRPr="00C5659A">
              <w:t>gher concentrations, paralysis.</w:t>
            </w:r>
          </w:p>
          <w:p w14:paraId="350534A0" w14:textId="61245C9C" w:rsidR="00854E8E" w:rsidRPr="00C5659A" w:rsidRDefault="00854E8E" w:rsidP="003365A5">
            <w:pPr>
              <w:pStyle w:val="Tabletextprimarysource"/>
            </w:pPr>
            <w:r w:rsidRPr="00C5659A">
              <w:t>Summary of data:</w:t>
            </w:r>
          </w:p>
          <w:p w14:paraId="4B01BB31" w14:textId="7EDA2E62" w:rsidR="0023782A" w:rsidRPr="00C5659A" w:rsidRDefault="007E6F3D" w:rsidP="003365A5">
            <w:pPr>
              <w:pStyle w:val="Tabletextprimarysource"/>
            </w:pPr>
            <w:r w:rsidRPr="00C5659A">
              <w:t>TLV-TWA and TLV-STEL based on weight of evidence including conclusion of a cited article that recommends</w:t>
            </w:r>
            <w:r w:rsidR="00BA16E3" w:rsidRPr="00C5659A">
              <w:t xml:space="preserve"> the use of</w:t>
            </w:r>
            <w:r w:rsidRPr="00C5659A">
              <w:t xml:space="preserve"> respiratory protection above 0.1 ppm. The derivation of this value is not discussed.</w:t>
            </w:r>
          </w:p>
          <w:p w14:paraId="05B3474F" w14:textId="40AD0D79" w:rsidR="00854E8E" w:rsidRPr="00C5659A" w:rsidRDefault="00854E8E" w:rsidP="003365A5">
            <w:pPr>
              <w:pStyle w:val="Tabletextprimarysource"/>
            </w:pPr>
            <w:r w:rsidRPr="00C5659A">
              <w:t>Human data:</w:t>
            </w:r>
          </w:p>
          <w:p w14:paraId="7B4789CE" w14:textId="204BB215" w:rsidR="0023782A" w:rsidRPr="00C5659A" w:rsidRDefault="0023782A" w:rsidP="0023782A">
            <w:pPr>
              <w:pStyle w:val="Tabletextprimarysource"/>
              <w:numPr>
                <w:ilvl w:val="0"/>
                <w:numId w:val="4"/>
              </w:numPr>
            </w:pPr>
            <w:r w:rsidRPr="00C5659A">
              <w:t>No human toxicological data available</w:t>
            </w:r>
          </w:p>
          <w:p w14:paraId="12FB87C1" w14:textId="402DEC69" w:rsidR="0023782A" w:rsidRPr="00C5659A" w:rsidRDefault="0023782A" w:rsidP="0023782A">
            <w:pPr>
              <w:pStyle w:val="Tabletextprimarysource"/>
              <w:numPr>
                <w:ilvl w:val="0"/>
                <w:numId w:val="4"/>
              </w:numPr>
            </w:pPr>
            <w:r w:rsidRPr="00C5659A">
              <w:t>Acute intoxication expected to have similar endpoints to nickel carbonyl, which are headache, dizziness</w:t>
            </w:r>
            <w:r w:rsidR="000A16D2" w:rsidRPr="00C5659A">
              <w:t xml:space="preserve"> and</w:t>
            </w:r>
            <w:r w:rsidRPr="00C5659A">
              <w:t xml:space="preserve"> after 12</w:t>
            </w:r>
            <w:r w:rsidR="004F3AC4" w:rsidRPr="00C5659A">
              <w:t>–</w:t>
            </w:r>
            <w:r w:rsidRPr="00C5659A">
              <w:t>36 h, fever, cya</w:t>
            </w:r>
            <w:r w:rsidR="007012B6" w:rsidRPr="00C5659A">
              <w:t>nosis, cough</w:t>
            </w:r>
            <w:r w:rsidR="000A16D2" w:rsidRPr="00C5659A">
              <w:t xml:space="preserve"> and</w:t>
            </w:r>
            <w:r w:rsidR="007012B6" w:rsidRPr="00C5659A">
              <w:t xml:space="preserve"> </w:t>
            </w:r>
            <w:r w:rsidR="00A751DE" w:rsidRPr="00C5659A">
              <w:t>dyspnoea</w:t>
            </w:r>
            <w:r w:rsidR="00CE61E1" w:rsidRPr="00C5659A">
              <w:t>:</w:t>
            </w:r>
          </w:p>
          <w:p w14:paraId="0D23153B" w14:textId="32D8D524" w:rsidR="0023782A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although </w:t>
            </w:r>
            <w:r w:rsidR="004F3AC4" w:rsidRPr="00C5659A">
              <w:t>n</w:t>
            </w:r>
            <w:r w:rsidR="0023782A" w:rsidRPr="00C5659A">
              <w:t>ickel carbonyl primarily targets lungs, central nervous system degeneration h</w:t>
            </w:r>
            <w:r w:rsidR="004F3AC4" w:rsidRPr="00C5659A">
              <w:t>as</w:t>
            </w:r>
            <w:r w:rsidR="0023782A" w:rsidRPr="00C5659A">
              <w:t xml:space="preserve"> also been related to exposure </w:t>
            </w:r>
          </w:p>
          <w:p w14:paraId="1670BC00" w14:textId="47B88F6E" w:rsidR="0023782A" w:rsidRPr="00C5659A" w:rsidRDefault="0023782A" w:rsidP="0023782A">
            <w:pPr>
              <w:pStyle w:val="Tabletextprimarysource"/>
              <w:numPr>
                <w:ilvl w:val="0"/>
                <w:numId w:val="4"/>
              </w:numPr>
            </w:pPr>
            <w:r w:rsidRPr="00C5659A">
              <w:t xml:space="preserve">Cited </w:t>
            </w:r>
            <w:r w:rsidR="007E6F3D" w:rsidRPr="00C5659A">
              <w:t>article</w:t>
            </w:r>
            <w:r w:rsidRPr="00C5659A">
              <w:t xml:space="preserve"> recommends 0.1 ppm as an “action point” for occupationally exposed workers, respiratory protection is </w:t>
            </w:r>
            <w:r w:rsidR="007E6F3D" w:rsidRPr="00C5659A">
              <w:t>recommended for levels &gt;0.1 ppm (no further information provided)</w:t>
            </w:r>
            <w:r w:rsidR="00A751DE" w:rsidRPr="00C5659A">
              <w:t>.</w:t>
            </w:r>
          </w:p>
          <w:p w14:paraId="422093A9" w14:textId="77777777" w:rsidR="00854E8E" w:rsidRPr="00C5659A" w:rsidRDefault="00854E8E" w:rsidP="003365A5">
            <w:pPr>
              <w:pStyle w:val="Tabletextprimarysource"/>
            </w:pPr>
            <w:r w:rsidRPr="00C5659A">
              <w:t>Animal data:</w:t>
            </w:r>
          </w:p>
          <w:p w14:paraId="10539EBA" w14:textId="6447376F" w:rsidR="00854E8E" w:rsidRPr="00C5659A" w:rsidRDefault="00854E8E" w:rsidP="00854E8E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 w:rsidRPr="00C5659A">
              <w:t>LC</w:t>
            </w:r>
            <w:r w:rsidRPr="00C5659A">
              <w:rPr>
                <w:vertAlign w:val="subscript"/>
              </w:rPr>
              <w:t>50</w:t>
            </w:r>
            <w:proofErr w:type="spellEnd"/>
            <w:r w:rsidRPr="00C5659A">
              <w:t>: 275 ppm (mice, 30 min), 115 ppm (rats, 30 min); lethal to rabbits at 250 ppm (45</w:t>
            </w:r>
            <w:r w:rsidR="00CE61E1" w:rsidRPr="00C5659A">
              <w:t> </w:t>
            </w:r>
            <w:r w:rsidRPr="00C5659A">
              <w:t>min)</w:t>
            </w:r>
            <w:r w:rsidR="00CE61E1" w:rsidRPr="00C5659A">
              <w:t>:</w:t>
            </w:r>
          </w:p>
          <w:p w14:paraId="1E979798" w14:textId="43759534" w:rsidR="00491316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respiratory </w:t>
            </w:r>
            <w:r w:rsidR="00491316" w:rsidRPr="00C5659A">
              <w:t>distress, cyanosis, tremors and paralysis noted during exposure</w:t>
            </w:r>
          </w:p>
          <w:p w14:paraId="607E7204" w14:textId="10E9BE8A" w:rsidR="00854E8E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necropsy </w:t>
            </w:r>
            <w:r w:rsidR="00854E8E" w:rsidRPr="00C5659A">
              <w:t>showed pulmonary congestion and oedema</w:t>
            </w:r>
          </w:p>
          <w:p w14:paraId="7747FF8A" w14:textId="723F7505" w:rsidR="0023782A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similar </w:t>
            </w:r>
            <w:r w:rsidR="0023782A" w:rsidRPr="00C5659A">
              <w:t>toxicity profile to nickel carbonyl</w:t>
            </w:r>
          </w:p>
          <w:p w14:paraId="50CDAAEA" w14:textId="07792633" w:rsidR="00491316" w:rsidRPr="00C5659A" w:rsidRDefault="00491316" w:rsidP="00491316">
            <w:pPr>
              <w:pStyle w:val="Tabletextprimarysource"/>
              <w:numPr>
                <w:ilvl w:val="0"/>
                <w:numId w:val="3"/>
              </w:numPr>
            </w:pPr>
            <w:r w:rsidRPr="00C5659A">
              <w:t xml:space="preserve">Lethal at single exposure </w:t>
            </w:r>
            <w:r w:rsidR="00A751DE" w:rsidRPr="00C5659A">
              <w:t xml:space="preserve">at </w:t>
            </w:r>
            <w:r w:rsidRPr="00C5659A">
              <w:t>33 ppm or 2 exposures at 18 ppm (rats, 5.5 h)</w:t>
            </w:r>
          </w:p>
          <w:p w14:paraId="009238B6" w14:textId="41284427" w:rsidR="00491316" w:rsidRPr="00C5659A" w:rsidRDefault="008C211F" w:rsidP="00491316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 w:rsidRPr="00C5659A">
              <w:t>NOAEL</w:t>
            </w:r>
            <w:proofErr w:type="spellEnd"/>
            <w:r w:rsidRPr="00C5659A">
              <w:t>:</w:t>
            </w:r>
            <w:r w:rsidR="00491316" w:rsidRPr="00C5659A">
              <w:t xml:space="preserve"> 7 ppm </w:t>
            </w:r>
            <w:r w:rsidRPr="00C5659A">
              <w:t xml:space="preserve">for lung damage </w:t>
            </w:r>
            <w:r w:rsidR="00491316" w:rsidRPr="00C5659A">
              <w:t>in repeat inhalation study (rats, 5.5 h, 18 exposures)</w:t>
            </w:r>
            <w:r w:rsidR="00CE61E1" w:rsidRPr="00C5659A">
              <w:t>:</w:t>
            </w:r>
          </w:p>
          <w:p w14:paraId="1E80EDEC" w14:textId="4DBB1CDC" w:rsidR="00491316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cited </w:t>
            </w:r>
            <w:r w:rsidR="00491316" w:rsidRPr="00C5659A">
              <w:t>study tentatively recommends 2 ppm as an OEL</w:t>
            </w:r>
          </w:p>
          <w:p w14:paraId="2A3653AA" w14:textId="729724BA" w:rsidR="00233ED2" w:rsidRPr="00C5659A" w:rsidRDefault="0023782A" w:rsidP="00233ED2">
            <w:pPr>
              <w:pStyle w:val="Tabletextprimarysource"/>
              <w:numPr>
                <w:ilvl w:val="0"/>
                <w:numId w:val="3"/>
              </w:numPr>
            </w:pPr>
            <w:r w:rsidRPr="00C5659A">
              <w:t>No muta</w:t>
            </w:r>
            <w:r w:rsidR="00233ED2" w:rsidRPr="00C5659A">
              <w:t xml:space="preserve">genicity or </w:t>
            </w:r>
            <w:proofErr w:type="spellStart"/>
            <w:r w:rsidR="00233ED2" w:rsidRPr="00C5659A">
              <w:t>ADME</w:t>
            </w:r>
            <w:proofErr w:type="spellEnd"/>
            <w:r w:rsidR="00233ED2" w:rsidRPr="00C5659A">
              <w:t xml:space="preserve"> data presented</w:t>
            </w:r>
            <w:r w:rsidR="004F3AC4" w:rsidRPr="00C5659A">
              <w:t>.</w:t>
            </w:r>
          </w:p>
          <w:p w14:paraId="0D3CEAA0" w14:textId="77777777" w:rsidR="00CE61E1" w:rsidRPr="00C5659A" w:rsidRDefault="00CE61E1" w:rsidP="00233ED2">
            <w:pPr>
              <w:pStyle w:val="Tabletextprimarysource"/>
            </w:pPr>
          </w:p>
          <w:p w14:paraId="7181750E" w14:textId="2BA5A879" w:rsidR="00233ED2" w:rsidRPr="00C5659A" w:rsidRDefault="00233ED2" w:rsidP="00233ED2">
            <w:pPr>
              <w:pStyle w:val="Tabletextprimarysource"/>
            </w:pPr>
            <w:r w:rsidRPr="00C5659A">
              <w:t>Insufficient data to recommend notations for carcinogenicity, skin absorption</w:t>
            </w:r>
            <w:r w:rsidR="000A16D2" w:rsidRPr="00C5659A">
              <w:t xml:space="preserve"> and</w:t>
            </w:r>
            <w:r w:rsidRPr="00C5659A">
              <w:t xml:space="preserve"> sensitisation.</w:t>
            </w:r>
          </w:p>
          <w:p w14:paraId="785C8FB1" w14:textId="4AA33051" w:rsidR="009B1D0C" w:rsidRPr="00C5659A" w:rsidRDefault="009B1D0C" w:rsidP="00233ED2">
            <w:pPr>
              <w:pStyle w:val="Tabletextprimarysource"/>
            </w:pPr>
          </w:p>
        </w:tc>
      </w:tr>
      <w:tr w:rsidR="00C978F0" w:rsidRPr="00DA352E" w14:paraId="714FEDF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7E38A5" w14:textId="004F72F5" w:rsidR="00C978F0" w:rsidRPr="00C5659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C5659A">
              <w:t>DFG</w:t>
            </w:r>
            <w:proofErr w:type="spellEnd"/>
            <w:r w:rsidR="00916EC0" w:rsidRPr="00C5659A">
              <w:t xml:space="preserve"> </w:t>
            </w:r>
            <w:r w:rsidR="00916EC0" w:rsidRPr="00C5659A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709CF" w:rsidRPr="00C5659A">
                  <w:t>1970</w:t>
                </w:r>
              </w:sdtContent>
            </w:sdt>
            <w:r w:rsidR="00916EC0" w:rsidRPr="00C5659A">
              <w:tab/>
            </w:r>
            <w:r w:rsidR="0051509C" w:rsidRPr="00C5659A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709CF" w:rsidRPr="00C5659A">
                  <w:t>MAK: 0.1 ppm (0.81 mg/</w:t>
                </w:r>
                <w:proofErr w:type="spellStart"/>
                <w:r w:rsidR="00C709CF" w:rsidRPr="00C5659A">
                  <w:t>m</w:t>
                </w:r>
                <w:r w:rsidR="00C709CF" w:rsidRPr="00C5659A">
                  <w:rPr>
                    <w:vertAlign w:val="superscript"/>
                  </w:rPr>
                  <w:t>3</w:t>
                </w:r>
                <w:proofErr w:type="spellEnd"/>
                <w:r w:rsidR="00C709CF" w:rsidRPr="00C5659A">
                  <w:t>)</w:t>
                </w:r>
              </w:sdtContent>
            </w:sdt>
          </w:p>
        </w:tc>
      </w:tr>
      <w:tr w:rsidR="00C978F0" w:rsidRPr="00DA352E" w14:paraId="1ED953D0" w14:textId="77777777" w:rsidTr="00A751DE">
        <w:trPr>
          <w:gridAfter w:val="1"/>
          <w:wAfter w:w="8" w:type="pct"/>
        </w:trPr>
        <w:tc>
          <w:tcPr>
            <w:tcW w:w="0" w:type="pct"/>
          </w:tcPr>
          <w:p w14:paraId="67EE4F27" w14:textId="06097D48" w:rsidR="00233ED2" w:rsidRPr="00C5659A" w:rsidRDefault="00233ED2" w:rsidP="00EB0A4B">
            <w:pPr>
              <w:pStyle w:val="Tabletextprimarysource"/>
            </w:pPr>
            <w:r w:rsidRPr="00C5659A">
              <w:t>Summary of additional data:</w:t>
            </w:r>
          </w:p>
          <w:p w14:paraId="24D3A48F" w14:textId="1C36E5D1" w:rsidR="00A751DE" w:rsidRPr="00C5659A" w:rsidRDefault="00233ED2" w:rsidP="00EB0A4B">
            <w:pPr>
              <w:pStyle w:val="Tabletextprimarysource"/>
            </w:pPr>
            <w:r w:rsidRPr="00C5659A">
              <w:t xml:space="preserve">MAK based on </w:t>
            </w:r>
            <w:proofErr w:type="spellStart"/>
            <w:r w:rsidRPr="00C5659A">
              <w:t>NOAEC</w:t>
            </w:r>
            <w:proofErr w:type="spellEnd"/>
            <w:r w:rsidRPr="00C5659A">
              <w:t xml:space="preserve"> of</w:t>
            </w:r>
            <w:r w:rsidR="006B70A0" w:rsidRPr="00C5659A">
              <w:t xml:space="preserve"> 0.3 </w:t>
            </w:r>
            <w:r w:rsidRPr="00C5659A">
              <w:t xml:space="preserve">ppm for elevated </w:t>
            </w:r>
            <w:proofErr w:type="spellStart"/>
            <w:r w:rsidR="00DE520A">
              <w:t>COHb</w:t>
            </w:r>
            <w:proofErr w:type="spellEnd"/>
            <w:r w:rsidR="00DE520A" w:rsidRPr="00C5659A">
              <w:t xml:space="preserve"> </w:t>
            </w:r>
            <w:r w:rsidRPr="00C5659A">
              <w:t xml:space="preserve">levels in a </w:t>
            </w:r>
            <w:proofErr w:type="spellStart"/>
            <w:r w:rsidR="0083346C" w:rsidRPr="00C5659A">
              <w:t>28</w:t>
            </w:r>
            <w:r w:rsidRPr="00C5659A">
              <w:t>d</w:t>
            </w:r>
            <w:proofErr w:type="spellEnd"/>
            <w:r w:rsidRPr="00C5659A">
              <w:t xml:space="preserve"> inhalation study </w:t>
            </w:r>
            <w:r w:rsidR="00DE520A">
              <w:t>in</w:t>
            </w:r>
            <w:r w:rsidRPr="00C5659A">
              <w:t xml:space="preserve"> rats. The </w:t>
            </w:r>
            <w:r w:rsidR="00613AF4">
              <w:t>safety margin</w:t>
            </w:r>
            <w:r w:rsidR="00613AF4" w:rsidRPr="00C5659A">
              <w:t xml:space="preserve"> </w:t>
            </w:r>
            <w:r w:rsidRPr="00C5659A">
              <w:t xml:space="preserve">of the MAK of 0.1 ppm </w:t>
            </w:r>
            <w:r w:rsidR="00613AF4">
              <w:t>compared with</w:t>
            </w:r>
            <w:r w:rsidR="00613AF4" w:rsidRPr="00C5659A">
              <w:t xml:space="preserve"> </w:t>
            </w:r>
            <w:r w:rsidRPr="00C5659A">
              <w:t xml:space="preserve">the </w:t>
            </w:r>
            <w:proofErr w:type="spellStart"/>
            <w:r w:rsidRPr="00C5659A">
              <w:t>NOAEC</w:t>
            </w:r>
            <w:proofErr w:type="spellEnd"/>
            <w:r w:rsidRPr="00C5659A">
              <w:t xml:space="preserve"> of 0.3 ppm is considered sufficiently high to </w:t>
            </w:r>
            <w:r w:rsidR="00BA16E3" w:rsidRPr="00C5659A">
              <w:t>protect for</w:t>
            </w:r>
            <w:r w:rsidRPr="00C5659A">
              <w:t xml:space="preserve"> this effect.</w:t>
            </w:r>
            <w:r w:rsidR="00F05BC0" w:rsidRPr="00C5659A">
              <w:t xml:space="preserve"> </w:t>
            </w:r>
          </w:p>
          <w:p w14:paraId="040856C7" w14:textId="77777777" w:rsidR="00DE520A" w:rsidRDefault="00F05BC0" w:rsidP="00EB0A4B">
            <w:pPr>
              <w:pStyle w:val="Tabletextprimarysource"/>
            </w:pPr>
            <w:r w:rsidRPr="00C5659A">
              <w:t xml:space="preserve">Skin notation warranted due to low </w:t>
            </w:r>
            <w:proofErr w:type="spellStart"/>
            <w:r w:rsidRPr="00C5659A">
              <w:t>LD</w:t>
            </w:r>
            <w:r w:rsidRPr="00C5659A">
              <w:rPr>
                <w:vertAlign w:val="subscript"/>
              </w:rPr>
              <w:t>50</w:t>
            </w:r>
            <w:proofErr w:type="spellEnd"/>
            <w:r w:rsidRPr="00C5659A">
              <w:t xml:space="preserve"> values in dermal</w:t>
            </w:r>
            <w:r w:rsidR="004B5AFC" w:rsidRPr="00C5659A">
              <w:t xml:space="preserve"> application study. </w:t>
            </w:r>
          </w:p>
          <w:p w14:paraId="44D4180F" w14:textId="1ACB4AFC" w:rsidR="006B70A0" w:rsidRPr="00C5659A" w:rsidRDefault="004B5AFC" w:rsidP="00EB0A4B">
            <w:pPr>
              <w:pStyle w:val="Tabletextprimarysource"/>
            </w:pPr>
            <w:r w:rsidRPr="00C5659A">
              <w:t>Sensitisation notation not assigned due to negative results in poorly documented guinea pig sensitisation study.</w:t>
            </w:r>
          </w:p>
          <w:p w14:paraId="7DA43708" w14:textId="27C4D2B4" w:rsidR="00142E0E" w:rsidRPr="00C5659A" w:rsidRDefault="00142E0E" w:rsidP="00EB0A4B">
            <w:pPr>
              <w:pStyle w:val="Tabletextprimarysource"/>
            </w:pPr>
            <w:r w:rsidRPr="00C5659A">
              <w:t>Human data:</w:t>
            </w:r>
          </w:p>
          <w:p w14:paraId="09F89D7D" w14:textId="372E58DB" w:rsidR="00142E0E" w:rsidRPr="00C5659A" w:rsidRDefault="00142E0E" w:rsidP="00142E0E">
            <w:pPr>
              <w:pStyle w:val="Tabletextprimarysource"/>
              <w:numPr>
                <w:ilvl w:val="0"/>
                <w:numId w:val="3"/>
              </w:numPr>
            </w:pPr>
            <w:r w:rsidRPr="00C5659A">
              <w:lastRenderedPageBreak/>
              <w:t>High concentrations may lead to paralysis of the extremities (no further details)</w:t>
            </w:r>
            <w:r w:rsidR="00A751DE" w:rsidRPr="00C5659A">
              <w:t>.</w:t>
            </w:r>
          </w:p>
          <w:p w14:paraId="33F03294" w14:textId="2C4F6A0D" w:rsidR="00EB0A4B" w:rsidRPr="00C5659A" w:rsidRDefault="00EB0A4B" w:rsidP="00A751DE">
            <w:pPr>
              <w:pStyle w:val="Tabletextprimarysource"/>
              <w:keepNext/>
            </w:pPr>
            <w:r w:rsidRPr="00C5659A">
              <w:t>Animal data:</w:t>
            </w:r>
          </w:p>
          <w:p w14:paraId="0EF3F423" w14:textId="6841A0D3" w:rsidR="004B5AFC" w:rsidRPr="00C5659A" w:rsidRDefault="004B5AFC" w:rsidP="00A751DE">
            <w:pPr>
              <w:pStyle w:val="Tabletextprimarysource"/>
              <w:keepNext/>
              <w:numPr>
                <w:ilvl w:val="0"/>
                <w:numId w:val="3"/>
              </w:numPr>
            </w:pPr>
            <w:r w:rsidRPr="00C5659A">
              <w:t>D</w:t>
            </w:r>
            <w:r w:rsidR="007012B6" w:rsidRPr="00C5659A">
              <w:t xml:space="preserve">ermal </w:t>
            </w:r>
            <w:proofErr w:type="spellStart"/>
            <w:r w:rsidR="007012B6" w:rsidRPr="00C5659A">
              <w:t>LD</w:t>
            </w:r>
            <w:r w:rsidR="007012B6" w:rsidRPr="00C5659A">
              <w:rPr>
                <w:vertAlign w:val="subscript"/>
              </w:rPr>
              <w:t>50</w:t>
            </w:r>
            <w:proofErr w:type="spellEnd"/>
            <w:r w:rsidR="007012B6" w:rsidRPr="00C5659A">
              <w:t xml:space="preserve">: </w:t>
            </w:r>
            <w:r w:rsidR="00D656DD" w:rsidRPr="00C5659A">
              <w:t>56–170 mg/kg (rabbits</w:t>
            </w:r>
            <w:r w:rsidRPr="00C5659A">
              <w:t>, occlusive, 1–24 h</w:t>
            </w:r>
            <w:r w:rsidR="00D656DD" w:rsidRPr="00C5659A">
              <w:t>)</w:t>
            </w:r>
            <w:r w:rsidR="00CE61E1" w:rsidRPr="00C5659A">
              <w:t>:</w:t>
            </w:r>
          </w:p>
          <w:p w14:paraId="39824322" w14:textId="7C3B6DE5" w:rsidR="00C973D4" w:rsidRPr="00C5659A" w:rsidRDefault="00C973D4" w:rsidP="00E11118">
            <w:pPr>
              <w:pStyle w:val="Tabletextprimarysource"/>
              <w:keepNext/>
              <w:numPr>
                <w:ilvl w:val="1"/>
                <w:numId w:val="4"/>
              </w:numPr>
              <w:ind w:left="1094" w:hanging="357"/>
            </w:pPr>
            <w:r w:rsidRPr="00C5659A">
              <w:t>females were more sensitive than males</w:t>
            </w:r>
          </w:p>
          <w:p w14:paraId="6085D8B3" w14:textId="18F6646B" w:rsidR="00C973D4" w:rsidRPr="00C5659A" w:rsidRDefault="00C21E02" w:rsidP="00E11118">
            <w:pPr>
              <w:pStyle w:val="Tabletextprimarysource"/>
              <w:keepNext/>
              <w:numPr>
                <w:ilvl w:val="1"/>
                <w:numId w:val="4"/>
              </w:numPr>
              <w:ind w:left="1094" w:hanging="357"/>
            </w:pPr>
            <w:r w:rsidRPr="00C5659A">
              <w:t>i</w:t>
            </w:r>
            <w:r w:rsidR="004B5AFC" w:rsidRPr="00C5659A">
              <w:t>mpaired reflexes at 125 mg/kg</w:t>
            </w:r>
          </w:p>
          <w:p w14:paraId="0DD086D1" w14:textId="011B34D5" w:rsidR="00C973D4" w:rsidRPr="00C5659A" w:rsidRDefault="00C973D4" w:rsidP="00E11118">
            <w:pPr>
              <w:pStyle w:val="Tabletextprimarysource"/>
              <w:keepNext/>
              <w:numPr>
                <w:ilvl w:val="1"/>
                <w:numId w:val="4"/>
              </w:numPr>
              <w:ind w:left="1094" w:hanging="357"/>
            </w:pPr>
            <w:r w:rsidRPr="00C5659A">
              <w:t xml:space="preserve">1% increase in </w:t>
            </w:r>
            <w:proofErr w:type="spellStart"/>
            <w:r w:rsidR="00DE520A">
              <w:t>COHb</w:t>
            </w:r>
            <w:proofErr w:type="spellEnd"/>
            <w:r w:rsidR="00DE520A" w:rsidRPr="00C5659A">
              <w:t xml:space="preserve"> </w:t>
            </w:r>
            <w:r w:rsidRPr="00C5659A">
              <w:t xml:space="preserve">levels in blood at 250 mg/kg </w:t>
            </w:r>
            <w:r w:rsidR="004B5AFC" w:rsidRPr="00C5659A">
              <w:t>(females</w:t>
            </w:r>
            <w:r w:rsidRPr="00C5659A">
              <w:t>)</w:t>
            </w:r>
          </w:p>
          <w:p w14:paraId="341211A8" w14:textId="0BC681CF" w:rsidR="00EB0A4B" w:rsidRPr="00C5659A" w:rsidRDefault="0058490B" w:rsidP="00EB0A4B">
            <w:pPr>
              <w:pStyle w:val="Tabletextprimarysource"/>
              <w:numPr>
                <w:ilvl w:val="0"/>
                <w:numId w:val="3"/>
              </w:numPr>
            </w:pPr>
            <w:r w:rsidRPr="00C5659A">
              <w:t xml:space="preserve">Increased </w:t>
            </w:r>
            <w:proofErr w:type="spellStart"/>
            <w:r w:rsidR="00DE520A">
              <w:t>COHb</w:t>
            </w:r>
            <w:proofErr w:type="spellEnd"/>
            <w:r w:rsidR="00DE520A" w:rsidRPr="00C5659A">
              <w:t xml:space="preserve"> </w:t>
            </w:r>
            <w:r w:rsidRPr="00C5659A">
              <w:t xml:space="preserve">levels in </w:t>
            </w:r>
            <w:r w:rsidR="007012B6" w:rsidRPr="00C5659A">
              <w:t>blood</w:t>
            </w:r>
            <w:r w:rsidRPr="00C5659A">
              <w:t xml:space="preserve"> after single oral, inhalational or dermal dose (mice, rats, </w:t>
            </w:r>
            <w:r w:rsidR="00EB0A4B" w:rsidRPr="00C5659A">
              <w:t xml:space="preserve">cats, </w:t>
            </w:r>
            <w:r w:rsidRPr="00C5659A">
              <w:t>rabbits)</w:t>
            </w:r>
          </w:p>
          <w:p w14:paraId="5EFDB1A8" w14:textId="77777777" w:rsidR="00EB0A4B" w:rsidRPr="00C5659A" w:rsidRDefault="00EB0A4B" w:rsidP="00EB0A4B">
            <w:pPr>
              <w:pStyle w:val="Tabletextprimarysource"/>
              <w:numPr>
                <w:ilvl w:val="0"/>
                <w:numId w:val="3"/>
              </w:numPr>
            </w:pPr>
            <w:r w:rsidRPr="00C5659A">
              <w:t>Non-sensitising to skin (guinea pigs)</w:t>
            </w:r>
          </w:p>
          <w:p w14:paraId="402F87F4" w14:textId="17E47668" w:rsidR="00EB0A4B" w:rsidRPr="00C5659A" w:rsidRDefault="00EB0A4B" w:rsidP="00EB0A4B">
            <w:pPr>
              <w:pStyle w:val="Tabletextprimarysource"/>
              <w:numPr>
                <w:ilvl w:val="0"/>
                <w:numId w:val="3"/>
              </w:numPr>
            </w:pPr>
            <w:r w:rsidRPr="00C5659A">
              <w:t xml:space="preserve">Pulmonary oedema endpoint caused by </w:t>
            </w:r>
            <w:r w:rsidR="00DE520A">
              <w:t>Fe</w:t>
            </w:r>
            <w:r w:rsidRPr="00C5659A">
              <w:t xml:space="preserve"> metabolite in lungs, co-administration of EDTA reduces </w:t>
            </w:r>
            <w:r w:rsidR="00DE520A">
              <w:t>Fe</w:t>
            </w:r>
            <w:r w:rsidRPr="00C5659A">
              <w:t xml:space="preserve">-induced toxicity (mice); CO </w:t>
            </w:r>
            <w:r w:rsidR="00411C9F" w:rsidRPr="00C5659A">
              <w:t xml:space="preserve">and subsequent </w:t>
            </w:r>
            <w:proofErr w:type="spellStart"/>
            <w:r w:rsidR="00DE520A">
              <w:t>COHb</w:t>
            </w:r>
            <w:proofErr w:type="spellEnd"/>
            <w:r w:rsidR="00DE520A" w:rsidRPr="00C5659A">
              <w:t xml:space="preserve"> </w:t>
            </w:r>
            <w:r w:rsidRPr="00C5659A">
              <w:t>metabolite</w:t>
            </w:r>
            <w:r w:rsidR="00411C9F" w:rsidRPr="00C5659A">
              <w:t xml:space="preserve">s are not present in high enough </w:t>
            </w:r>
            <w:r w:rsidRPr="00C5659A">
              <w:t>concentrations</w:t>
            </w:r>
            <w:r w:rsidR="00411C9F" w:rsidRPr="00C5659A">
              <w:t xml:space="preserve"> to cause lethality at lethal doses of </w:t>
            </w:r>
            <w:r w:rsidRPr="00C5659A">
              <w:t>iron pentacarbonyl (rats)</w:t>
            </w:r>
          </w:p>
          <w:p w14:paraId="690D0C4D" w14:textId="4BF4BEF2" w:rsidR="00411C9F" w:rsidRPr="00C5659A" w:rsidRDefault="00411C9F" w:rsidP="00EB0A4B">
            <w:pPr>
              <w:pStyle w:val="Tabletextprimarysource"/>
              <w:numPr>
                <w:ilvl w:val="0"/>
                <w:numId w:val="3"/>
              </w:numPr>
            </w:pPr>
            <w:r w:rsidRPr="00C5659A">
              <w:t xml:space="preserve">Rapid systemic distribution expected by analogy </w:t>
            </w:r>
            <w:r w:rsidR="00233ED2" w:rsidRPr="00C5659A">
              <w:t xml:space="preserve">to </w:t>
            </w:r>
            <w:r w:rsidRPr="00C5659A">
              <w:t xml:space="preserve">nickel carbonyl, expected to bypass </w:t>
            </w:r>
            <w:r w:rsidR="00DE520A">
              <w:t>Fe</w:t>
            </w:r>
            <w:r w:rsidRPr="00C5659A">
              <w:t xml:space="preserve"> homeostasis mechanisms due to high membrane permeability</w:t>
            </w:r>
            <w:r w:rsidR="00142E0E" w:rsidRPr="00C5659A">
              <w:t xml:space="preserve">; oxidation and CO dissociation leads to </w:t>
            </w:r>
            <w:r w:rsidR="00DE520A">
              <w:t>Fe</w:t>
            </w:r>
            <w:r w:rsidR="00142E0E" w:rsidRPr="00C5659A">
              <w:t xml:space="preserve"> excretion in urine and faeces and exhalation of CO (rabbits)</w:t>
            </w:r>
          </w:p>
          <w:p w14:paraId="6316808F" w14:textId="6E8F4F3A" w:rsidR="00C973D4" w:rsidRPr="00C5659A" w:rsidRDefault="00C973D4" w:rsidP="008C211F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 w:rsidRPr="00C5659A">
              <w:t>Subchronic</w:t>
            </w:r>
            <w:proofErr w:type="spellEnd"/>
            <w:r w:rsidRPr="00C5659A">
              <w:t xml:space="preserve"> inhalation study with treatment groups 0.1, 0.3, 1, 3</w:t>
            </w:r>
            <w:r w:rsidR="000A16D2" w:rsidRPr="00C5659A">
              <w:t xml:space="preserve"> and</w:t>
            </w:r>
            <w:r w:rsidRPr="00C5659A">
              <w:t xml:space="preserve"> 10 ppm (rats, n=5/group/sex, 6 h/d, 5 d/</w:t>
            </w:r>
            <w:proofErr w:type="spellStart"/>
            <w:r w:rsidRPr="00C5659A">
              <w:t>wk</w:t>
            </w:r>
            <w:proofErr w:type="spellEnd"/>
            <w:r w:rsidRPr="00C5659A">
              <w:t>, 28 d) reported</w:t>
            </w:r>
            <w:r w:rsidR="00CE61E1" w:rsidRPr="00C5659A">
              <w:t>:</w:t>
            </w:r>
          </w:p>
          <w:p w14:paraId="3F090D93" w14:textId="6A81331B" w:rsidR="00400623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>dose</w:t>
            </w:r>
            <w:r w:rsidR="007D6BE9" w:rsidRPr="00C5659A">
              <w:t xml:space="preserve">-dependent increase in </w:t>
            </w:r>
            <w:proofErr w:type="spellStart"/>
            <w:r w:rsidR="00DE520A">
              <w:t>COHb</w:t>
            </w:r>
            <w:proofErr w:type="spellEnd"/>
            <w:r w:rsidR="00DE520A" w:rsidRPr="00C5659A">
              <w:t xml:space="preserve"> </w:t>
            </w:r>
            <w:r w:rsidR="007D6BE9" w:rsidRPr="00C5659A">
              <w:t xml:space="preserve">levels in males </w:t>
            </w:r>
            <w:r w:rsidR="00DE520A">
              <w:rPr>
                <w:rFonts w:cs="Arial"/>
              </w:rPr>
              <w:t>≥</w:t>
            </w:r>
            <w:r w:rsidR="007D6BE9" w:rsidRPr="00C5659A">
              <w:t xml:space="preserve">0.1 ppm and females </w:t>
            </w:r>
            <w:r w:rsidR="00DE520A">
              <w:rPr>
                <w:rFonts w:cs="Arial"/>
              </w:rPr>
              <w:t>≥</w:t>
            </w:r>
            <w:r w:rsidR="007D6BE9" w:rsidRPr="00C5659A">
              <w:t>0.</w:t>
            </w:r>
            <w:r w:rsidR="00DE520A" w:rsidRPr="00C5659A">
              <w:t>3</w:t>
            </w:r>
            <w:r w:rsidR="00DE520A">
              <w:t> </w:t>
            </w:r>
            <w:r w:rsidR="007D6BE9" w:rsidRPr="00C5659A">
              <w:t>ppm</w:t>
            </w:r>
          </w:p>
          <w:p w14:paraId="015A9AE4" w14:textId="799280BA" w:rsidR="008C211F" w:rsidRPr="00C5659A" w:rsidRDefault="007D6BE9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not considered toxicologically relevant based on small difference with control group </w:t>
            </w:r>
            <w:proofErr w:type="spellStart"/>
            <w:r w:rsidR="00DE520A">
              <w:t>COHb</w:t>
            </w:r>
            <w:proofErr w:type="spellEnd"/>
            <w:r w:rsidR="00DE520A" w:rsidRPr="00C5659A">
              <w:t xml:space="preserve"> </w:t>
            </w:r>
            <w:r w:rsidRPr="00C5659A">
              <w:t>concentrations</w:t>
            </w:r>
          </w:p>
          <w:p w14:paraId="082FF7C5" w14:textId="2B3BE6DF" w:rsidR="007D6BE9" w:rsidRPr="00C5659A" w:rsidRDefault="007D6BE9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proofErr w:type="spellStart"/>
            <w:r w:rsidRPr="00C5659A">
              <w:t>NOAEL</w:t>
            </w:r>
            <w:proofErr w:type="spellEnd"/>
            <w:r w:rsidRPr="00C5659A">
              <w:t>: 0.3 ppm for lung damage</w:t>
            </w:r>
          </w:p>
          <w:p w14:paraId="1E5C468B" w14:textId="643F4529" w:rsidR="007D6BE9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increase </w:t>
            </w:r>
            <w:r w:rsidR="007D6BE9" w:rsidRPr="00C5659A">
              <w:t>in relative lung weights above 1 ppm</w:t>
            </w:r>
          </w:p>
          <w:p w14:paraId="5A1F915F" w14:textId="461A5D78" w:rsidR="007D6BE9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 xml:space="preserve">mortality </w:t>
            </w:r>
            <w:r w:rsidR="007D6BE9" w:rsidRPr="00C5659A">
              <w:t>at 3 ppm; necropsy showed histopathological signs of irritation in upper respiratory tract and increased lung weight</w:t>
            </w:r>
            <w:r w:rsidR="000A16D2" w:rsidRPr="00C5659A">
              <w:t xml:space="preserve"> and</w:t>
            </w:r>
            <w:r w:rsidR="007D6BE9" w:rsidRPr="00C5659A">
              <w:t xml:space="preserve"> significant lung damage </w:t>
            </w:r>
          </w:p>
          <w:p w14:paraId="602E2050" w14:textId="530F7C42" w:rsidR="006B70A0" w:rsidRPr="00C5659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</w:pPr>
            <w:r w:rsidRPr="00C5659A">
              <w:t>a</w:t>
            </w:r>
            <w:r w:rsidR="008C211F" w:rsidRPr="00C5659A">
              <w:t xml:space="preserve">ll rats died within </w:t>
            </w:r>
            <w:r w:rsidR="00627840" w:rsidRPr="00C5659A">
              <w:t>4</w:t>
            </w:r>
            <w:r w:rsidR="008C211F" w:rsidRPr="00C5659A">
              <w:t xml:space="preserve"> </w:t>
            </w:r>
            <w:r w:rsidR="00627840" w:rsidRPr="00C5659A">
              <w:t>d following exposure to 10 ppm</w:t>
            </w:r>
          </w:p>
          <w:p w14:paraId="52F21BCB" w14:textId="49C050B9" w:rsidR="006B70A0" w:rsidRPr="00C5659A" w:rsidRDefault="00F05BC0" w:rsidP="00F05BC0">
            <w:pPr>
              <w:pStyle w:val="Tabletextprimarysource"/>
              <w:numPr>
                <w:ilvl w:val="0"/>
                <w:numId w:val="3"/>
              </w:numPr>
            </w:pPr>
            <w:r w:rsidRPr="00C5659A">
              <w:t xml:space="preserve">Non-mutagenic </w:t>
            </w:r>
            <w:r w:rsidRPr="00C5659A">
              <w:rPr>
                <w:i/>
              </w:rPr>
              <w:t>in vitro</w:t>
            </w:r>
            <w:r w:rsidRPr="00C5659A">
              <w:t xml:space="preserve"> in bacterial cells, mammalian cell line or </w:t>
            </w:r>
            <w:r w:rsidRPr="00C5659A">
              <w:rPr>
                <w:i/>
              </w:rPr>
              <w:t xml:space="preserve">in vivo </w:t>
            </w:r>
            <w:r w:rsidRPr="00C5659A">
              <w:t>studies were not available</w:t>
            </w:r>
            <w:r w:rsidR="004F3AC4" w:rsidRPr="00C5659A">
              <w:t>.</w:t>
            </w:r>
          </w:p>
          <w:p w14:paraId="2AFEC6EA" w14:textId="77777777" w:rsidR="00CE61E1" w:rsidRPr="00C5659A" w:rsidRDefault="00CE61E1" w:rsidP="00F05BC0">
            <w:pPr>
              <w:pStyle w:val="Tabletextprimarysource"/>
            </w:pPr>
          </w:p>
          <w:p w14:paraId="38716DE9" w14:textId="4C065BDB" w:rsidR="00F05BC0" w:rsidRPr="00C5659A" w:rsidRDefault="00F05BC0" w:rsidP="00F05BC0">
            <w:pPr>
              <w:pStyle w:val="Tabletextprimarysource"/>
            </w:pPr>
            <w:r w:rsidRPr="00C5659A">
              <w:t xml:space="preserve">Not classified as a carcinogen due to lack of information. </w:t>
            </w:r>
          </w:p>
          <w:p w14:paraId="22688594" w14:textId="1D46993D" w:rsidR="00E20674" w:rsidRPr="00C5659A" w:rsidRDefault="00E20674" w:rsidP="00F05BC0">
            <w:pPr>
              <w:pStyle w:val="Tabletextprimarysource"/>
            </w:pPr>
          </w:p>
        </w:tc>
      </w:tr>
      <w:tr w:rsidR="00C978F0" w:rsidRPr="00DA352E" w14:paraId="15F014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710C43" w14:textId="0DDF61CE" w:rsidR="00C978F0" w:rsidRPr="00C5659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C5659A">
              <w:lastRenderedPageBreak/>
              <w:t>SCOEL</w:t>
            </w:r>
            <w:proofErr w:type="spellEnd"/>
            <w:r w:rsidR="00916EC0" w:rsidRPr="00C5659A">
              <w:t xml:space="preserve"> </w:t>
            </w:r>
            <w:r w:rsidR="00916EC0" w:rsidRPr="00C5659A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709CF" w:rsidRPr="00C5659A">
                  <w:t>NA</w:t>
                </w:r>
              </w:sdtContent>
            </w:sdt>
            <w:r w:rsidR="00916EC0" w:rsidRPr="00C5659A">
              <w:tab/>
            </w:r>
            <w:r w:rsidR="0051509C" w:rsidRPr="00C5659A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709CF" w:rsidRPr="00C5659A">
                  <w:t>NA</w:t>
                </w:r>
                <w:proofErr w:type="spellEnd"/>
              </w:sdtContent>
            </w:sdt>
          </w:p>
        </w:tc>
      </w:tr>
      <w:tr w:rsidR="00C978F0" w:rsidRPr="00DA352E" w14:paraId="03162AA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5201A7" w14:textId="71E5B40D" w:rsidR="00C978F0" w:rsidRPr="00C5659A" w:rsidRDefault="00C709CF" w:rsidP="003365A5">
            <w:pPr>
              <w:pStyle w:val="Tabletextprimarysource"/>
            </w:pPr>
            <w:r w:rsidRPr="00C5659A">
              <w:t>No report</w:t>
            </w:r>
            <w:r w:rsidR="004F3AC4" w:rsidRPr="00C5659A">
              <w:t>.</w:t>
            </w:r>
          </w:p>
        </w:tc>
      </w:tr>
      <w:tr w:rsidR="00DA352E" w:rsidRPr="00DA352E" w14:paraId="0E61958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6E167E" w14:textId="000186E2" w:rsidR="00DA352E" w:rsidRPr="00C5659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C5659A">
              <w:t>OARS/AIHA</w:t>
            </w:r>
            <w:r w:rsidR="00916EC0" w:rsidRPr="00C5659A">
              <w:t xml:space="preserve"> </w:t>
            </w:r>
            <w:r w:rsidR="00916EC0" w:rsidRPr="00C5659A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709CF" w:rsidRPr="00C5659A">
                  <w:t>NA</w:t>
                </w:r>
              </w:sdtContent>
            </w:sdt>
            <w:r w:rsidR="00916EC0" w:rsidRPr="00C5659A">
              <w:tab/>
            </w:r>
            <w:r w:rsidR="0051509C" w:rsidRPr="00C5659A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709CF" w:rsidRPr="00C5659A">
                  <w:t>NA</w:t>
                </w:r>
                <w:proofErr w:type="spellEnd"/>
              </w:sdtContent>
            </w:sdt>
          </w:p>
        </w:tc>
      </w:tr>
      <w:tr w:rsidR="00DA352E" w:rsidRPr="00DA352E" w14:paraId="3699EF2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B12309" w14:textId="143957AD" w:rsidR="00DA352E" w:rsidRPr="00C5659A" w:rsidRDefault="00C709CF" w:rsidP="003365A5">
            <w:pPr>
              <w:pStyle w:val="Tabletextprimarysource"/>
            </w:pPr>
            <w:r w:rsidRPr="00C5659A">
              <w:t>No report</w:t>
            </w:r>
            <w:r w:rsidR="004F3AC4" w:rsidRPr="00C5659A">
              <w:t>.</w:t>
            </w:r>
          </w:p>
        </w:tc>
      </w:tr>
      <w:tr w:rsidR="00DA352E" w:rsidRPr="00DA352E" w14:paraId="20FA64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790D27" w14:textId="444C9569" w:rsidR="00DA352E" w:rsidRPr="00C5659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C5659A">
              <w:lastRenderedPageBreak/>
              <w:t>HCOTN</w:t>
            </w:r>
            <w:proofErr w:type="spellEnd"/>
            <w:r w:rsidR="00916EC0" w:rsidRPr="00C5659A">
              <w:t xml:space="preserve"> </w:t>
            </w:r>
            <w:r w:rsidR="00916EC0" w:rsidRPr="00C5659A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709CF" w:rsidRPr="00C5659A">
                  <w:t>2002</w:t>
                </w:r>
              </w:sdtContent>
            </w:sdt>
            <w:r w:rsidR="00916EC0" w:rsidRPr="00C5659A">
              <w:tab/>
            </w:r>
            <w:r w:rsidR="0051509C" w:rsidRPr="00C5659A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709CF" w:rsidRPr="00C5659A">
                  <w:t>TWA: 0.01 ppm (0.08 mg/</w:t>
                </w:r>
                <w:proofErr w:type="spellStart"/>
                <w:r w:rsidR="00C709CF" w:rsidRPr="00C5659A">
                  <w:t>m</w:t>
                </w:r>
                <w:r w:rsidR="00C709CF" w:rsidRPr="00C5659A">
                  <w:rPr>
                    <w:vertAlign w:val="superscript"/>
                  </w:rPr>
                  <w:t>3</w:t>
                </w:r>
                <w:proofErr w:type="spellEnd"/>
                <w:r w:rsidR="00C709CF" w:rsidRPr="00C5659A">
                  <w:t>)</w:t>
                </w:r>
              </w:sdtContent>
            </w:sdt>
          </w:p>
        </w:tc>
      </w:tr>
      <w:tr w:rsidR="00DA352E" w:rsidRPr="00DA352E" w14:paraId="13BCA51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B23BCA" w14:textId="53379646" w:rsidR="00BA16E3" w:rsidRPr="00C5659A" w:rsidRDefault="00BA16E3" w:rsidP="003365A5">
            <w:pPr>
              <w:pStyle w:val="Tabletextprimarysource"/>
            </w:pPr>
            <w:r w:rsidRPr="00C5659A">
              <w:t>Summary of additional data:</w:t>
            </w:r>
          </w:p>
          <w:p w14:paraId="45FACC85" w14:textId="77777777" w:rsidR="004D04BC" w:rsidRPr="00C5659A" w:rsidRDefault="004B5AFC" w:rsidP="003365A5">
            <w:pPr>
              <w:pStyle w:val="Tabletextprimarysource"/>
            </w:pPr>
            <w:r w:rsidRPr="00C5659A">
              <w:t xml:space="preserve">Critical effects expected to be </w:t>
            </w:r>
            <w:proofErr w:type="gramStart"/>
            <w:r w:rsidRPr="00C5659A">
              <w:t>similar to</w:t>
            </w:r>
            <w:proofErr w:type="gramEnd"/>
            <w:r w:rsidRPr="00C5659A">
              <w:t xml:space="preserve"> those of nickel </w:t>
            </w:r>
            <w:proofErr w:type="gramStart"/>
            <w:r w:rsidRPr="00C5659A">
              <w:t>carbonyl;</w:t>
            </w:r>
            <w:proofErr w:type="gramEnd"/>
            <w:r w:rsidRPr="00C5659A">
              <w:t xml:space="preserve"> lung damage and adverse </w:t>
            </w:r>
            <w:r w:rsidR="00A751DE" w:rsidRPr="00C5659A">
              <w:t xml:space="preserve">CNS </w:t>
            </w:r>
            <w:r w:rsidRPr="00C5659A">
              <w:t xml:space="preserve">effects. </w:t>
            </w:r>
          </w:p>
          <w:p w14:paraId="493A642A" w14:textId="232CEF78" w:rsidR="0083346C" w:rsidRPr="00C5659A" w:rsidRDefault="0083346C" w:rsidP="003365A5">
            <w:pPr>
              <w:pStyle w:val="Tabletextprimarysource"/>
            </w:pPr>
            <w:r w:rsidRPr="00C5659A">
              <w:t xml:space="preserve">Unclear if administrative OEL is measured by </w:t>
            </w:r>
            <w:r w:rsidR="00DE520A">
              <w:t>Fe</w:t>
            </w:r>
            <w:r w:rsidRPr="00C5659A">
              <w:t xml:space="preserve"> content or total mass.</w:t>
            </w:r>
          </w:p>
          <w:p w14:paraId="29DC321E" w14:textId="7DE1F3F3" w:rsidR="00DA352E" w:rsidRPr="00C5659A" w:rsidRDefault="004B5AFC" w:rsidP="003365A5">
            <w:pPr>
              <w:pStyle w:val="Tabletextprimarysource"/>
            </w:pPr>
            <w:proofErr w:type="spellStart"/>
            <w:r w:rsidRPr="00C5659A">
              <w:t>HBROEL</w:t>
            </w:r>
            <w:proofErr w:type="spellEnd"/>
            <w:r w:rsidRPr="00C5659A">
              <w:t xml:space="preserve"> derived from </w:t>
            </w:r>
            <w:proofErr w:type="spellStart"/>
            <w:r w:rsidRPr="00C5659A">
              <w:t>NOAEL</w:t>
            </w:r>
            <w:proofErr w:type="spellEnd"/>
            <w:r w:rsidRPr="00C5659A">
              <w:t xml:space="preserve"> of 0.3 ppm for lung damage in 28</w:t>
            </w:r>
            <w:r w:rsidR="004F3AC4" w:rsidRPr="00C5659A">
              <w:t xml:space="preserve"> </w:t>
            </w:r>
            <w:r w:rsidRPr="00C5659A">
              <w:t xml:space="preserve">d inhalation study </w:t>
            </w:r>
            <w:r w:rsidR="00DE520A">
              <w:t>in</w:t>
            </w:r>
            <w:r w:rsidRPr="00C5659A">
              <w:t xml:space="preserve"> rats (also cited in </w:t>
            </w:r>
            <w:proofErr w:type="spellStart"/>
            <w:r w:rsidRPr="00C5659A">
              <w:t>DFG</w:t>
            </w:r>
            <w:proofErr w:type="spellEnd"/>
            <w:r w:rsidRPr="00C5659A">
              <w:t>, 2012). An overall assessment factor of 12 is applied to account for sensitivity of the toxic endpoint, inter- and intraspecies differences</w:t>
            </w:r>
            <w:r w:rsidR="000A16D2" w:rsidRPr="00C5659A">
              <w:t xml:space="preserve"> and</w:t>
            </w:r>
            <w:r w:rsidRPr="00C5659A">
              <w:t xml:space="preserve"> translation from experimental conditions to the workplace</w:t>
            </w:r>
            <w:r w:rsidR="00BA16E3" w:rsidRPr="00C5659A">
              <w:t xml:space="preserve"> to afford a proposed TWA of 0.025 ppm (0.2 mg/</w:t>
            </w:r>
            <w:proofErr w:type="spellStart"/>
            <w:r w:rsidR="00BA16E3" w:rsidRPr="00C5659A">
              <w:t>m</w:t>
            </w:r>
            <w:r w:rsidR="00BA16E3" w:rsidRPr="00C5659A">
              <w:rPr>
                <w:vertAlign w:val="superscript"/>
              </w:rPr>
              <w:t>3</w:t>
            </w:r>
            <w:proofErr w:type="spellEnd"/>
            <w:r w:rsidR="00BA16E3" w:rsidRPr="00C5659A">
              <w:t>) or 0.0063 ppm (0.05 mg/</w:t>
            </w:r>
            <w:proofErr w:type="spellStart"/>
            <w:r w:rsidR="00BA16E3" w:rsidRPr="00C5659A">
              <w:t>m</w:t>
            </w:r>
            <w:r w:rsidR="00BA16E3" w:rsidRPr="00C5659A">
              <w:rPr>
                <w:vertAlign w:val="superscript"/>
              </w:rPr>
              <w:t>3</w:t>
            </w:r>
            <w:proofErr w:type="spellEnd"/>
            <w:r w:rsidR="00BA16E3" w:rsidRPr="00C5659A">
              <w:t>) as Fe.</w:t>
            </w:r>
          </w:p>
          <w:p w14:paraId="03178791" w14:textId="77777777" w:rsidR="004B5AFC" w:rsidRPr="00C5659A" w:rsidRDefault="004B5AFC" w:rsidP="003365A5">
            <w:pPr>
              <w:pStyle w:val="Tabletextprimarysource"/>
            </w:pPr>
            <w:r w:rsidRPr="00C5659A">
              <w:t>Insufficient data to evaluate sensitisation</w:t>
            </w:r>
            <w:r w:rsidR="00680C2F" w:rsidRPr="00C5659A">
              <w:t xml:space="preserve"> potential.</w:t>
            </w:r>
          </w:p>
          <w:p w14:paraId="40EB08C8" w14:textId="4D319B16" w:rsidR="00E20674" w:rsidRPr="00C5659A" w:rsidRDefault="00E20674" w:rsidP="003365A5">
            <w:pPr>
              <w:pStyle w:val="Tabletextprimarysource"/>
            </w:pPr>
          </w:p>
        </w:tc>
      </w:tr>
    </w:tbl>
    <w:p w14:paraId="471550CC" w14:textId="77777777" w:rsidR="00A20751" w:rsidRPr="004C23F4" w:rsidRDefault="00A20751" w:rsidP="004F3AC4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2"/>
        <w:gridCol w:w="661"/>
        <w:gridCol w:w="6453"/>
      </w:tblGrid>
      <w:tr w:rsidR="004966BF" w:rsidRPr="00263255" w14:paraId="0794C27A" w14:textId="77777777" w:rsidTr="00A751DE">
        <w:trPr>
          <w:cantSplit/>
          <w:trHeight w:val="393"/>
          <w:tblHeader/>
        </w:trPr>
        <w:tc>
          <w:tcPr>
            <w:tcW w:w="1490" w:type="dxa"/>
            <w:shd w:val="clear" w:color="auto" w:fill="BFBFBF" w:themeFill="background1" w:themeFillShade="BF"/>
            <w:vAlign w:val="center"/>
          </w:tcPr>
          <w:p w14:paraId="17C970DD" w14:textId="77777777" w:rsidR="004966BF" w:rsidRPr="00263255" w:rsidRDefault="004966BF" w:rsidP="00A751DE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5FB7E17" w14:textId="77777777" w:rsidR="004966BF" w:rsidRPr="00263255" w:rsidRDefault="004966BF" w:rsidP="00A751DE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C210DD9" w14:textId="77777777" w:rsidR="004966BF" w:rsidRPr="00263255" w:rsidRDefault="004966BF" w:rsidP="00A751DE">
            <w:pPr>
              <w:pStyle w:val="Tableheader"/>
              <w:keepNext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5B1D2156" w14:textId="77777777" w:rsidR="004966BF" w:rsidRPr="00263255" w:rsidRDefault="004966BF" w:rsidP="00A751DE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04FD55DD" w14:textId="77777777" w:rsidTr="00A751DE">
        <w:trPr>
          <w:cantSplit/>
        </w:trPr>
        <w:tc>
          <w:tcPr>
            <w:tcW w:w="1490" w:type="dxa"/>
          </w:tcPr>
          <w:p w14:paraId="70F57AD0" w14:textId="77777777" w:rsidR="004966BF" w:rsidRPr="004C23F4" w:rsidRDefault="004966BF" w:rsidP="00A751DE">
            <w:pPr>
              <w:pStyle w:val="Tablefont"/>
              <w:keepNext/>
            </w:pPr>
            <w:r>
              <w:t>HSE</w:t>
            </w:r>
          </w:p>
        </w:tc>
        <w:tc>
          <w:tcPr>
            <w:tcW w:w="422" w:type="dxa"/>
          </w:tcPr>
          <w:p w14:paraId="14757C1F" w14:textId="29AF5671" w:rsidR="004966BF" w:rsidRPr="00CE617F" w:rsidRDefault="0084579B" w:rsidP="00A751DE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A16E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A275CCB" w14:textId="491DF76C" w:rsidR="004966BF" w:rsidRPr="004C23F4" w:rsidRDefault="00BA16E3" w:rsidP="00A751DE">
            <w:pPr>
              <w:pStyle w:val="Tablefont"/>
              <w:keepNext/>
            </w:pPr>
            <w:r>
              <w:t>2002</w:t>
            </w:r>
          </w:p>
        </w:tc>
        <w:tc>
          <w:tcPr>
            <w:tcW w:w="6453" w:type="dxa"/>
          </w:tcPr>
          <w:p w14:paraId="531FC60A" w14:textId="2E7E5338" w:rsidR="004966BF" w:rsidRPr="00BA16E3" w:rsidRDefault="00BA16E3" w:rsidP="00E11118">
            <w:pPr>
              <w:pStyle w:val="Tablefont"/>
              <w:keepNext/>
              <w:numPr>
                <w:ilvl w:val="0"/>
                <w:numId w:val="5"/>
              </w:numPr>
              <w:spacing w:before="60" w:after="60"/>
              <w:ind w:left="714" w:hanging="357"/>
            </w:pPr>
            <w:r>
              <w:t xml:space="preserve">TWA: </w:t>
            </w:r>
            <w:r w:rsidRPr="00BA16E3">
              <w:t>0.01</w:t>
            </w:r>
            <w:r>
              <w:t xml:space="preserve"> ppm (</w:t>
            </w:r>
            <w:r w:rsidRPr="00BA16E3">
              <w:t>0.08</w:t>
            </w:r>
            <w:r>
              <w:t xml:space="preserve">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</w:t>
            </w:r>
            <w:r w:rsidR="00CE61E1">
              <w:t>.</w:t>
            </w:r>
          </w:p>
        </w:tc>
      </w:tr>
      <w:tr w:rsidR="004966BF" w:rsidRPr="004C23F4" w14:paraId="28B837A5" w14:textId="77777777" w:rsidTr="00A751DE">
        <w:trPr>
          <w:cantSplit/>
        </w:trPr>
        <w:tc>
          <w:tcPr>
            <w:tcW w:w="1490" w:type="dxa"/>
          </w:tcPr>
          <w:p w14:paraId="500E70B8" w14:textId="77777777" w:rsidR="004966BF" w:rsidRPr="004C23F4" w:rsidRDefault="004966BF" w:rsidP="00A751DE">
            <w:pPr>
              <w:pStyle w:val="Tablefont"/>
              <w:keepNext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55071291" w14:textId="24E8D100" w:rsidR="004966BF" w:rsidRPr="00CE617F" w:rsidRDefault="0084579B" w:rsidP="00A751DE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371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B6028B5" w14:textId="2EA28448" w:rsidR="004966BF" w:rsidRPr="004C23F4" w:rsidRDefault="00737145" w:rsidP="00A751DE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3" w:type="dxa"/>
          </w:tcPr>
          <w:p w14:paraId="03066E0A" w14:textId="17907C75" w:rsidR="004966BF" w:rsidRPr="004C23F4" w:rsidRDefault="00737145" w:rsidP="00E11118">
            <w:pPr>
              <w:pStyle w:val="Tablefont"/>
              <w:keepNext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 assessment: no use</w:t>
            </w:r>
            <w:r w:rsidR="00EC1350">
              <w:rPr>
                <w:rStyle w:val="checkbox"/>
                <w:rFonts w:ascii="Arial" w:hAnsi="Arial" w:cs="Arial"/>
              </w:rPr>
              <w:t>s in Australia</w:t>
            </w:r>
            <w:r w:rsidR="00CE61E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1966335" w14:textId="77777777" w:rsidTr="00A751DE">
        <w:trPr>
          <w:cantSplit/>
        </w:trPr>
        <w:tc>
          <w:tcPr>
            <w:tcW w:w="1490" w:type="dxa"/>
          </w:tcPr>
          <w:p w14:paraId="2A3EF9D3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4D02CB8C" w14:textId="4E3E9599" w:rsidR="004966BF" w:rsidRPr="00CE617F" w:rsidRDefault="0084579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371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F47A707" w14:textId="6DC95BA8" w:rsidR="004966BF" w:rsidRPr="004C23F4" w:rsidRDefault="0073714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3" w:type="dxa"/>
          </w:tcPr>
          <w:p w14:paraId="4E29E977" w14:textId="714BA97B" w:rsidR="00737145" w:rsidRDefault="00EC1350" w:rsidP="00E1111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Acute exposures to 5.2, 17, 28</w:t>
            </w:r>
            <w:r w:rsidR="000A16D2">
              <w:rPr>
                <w:rFonts w:cs="Arial"/>
              </w:rPr>
              <w:t xml:space="preserve"> and</w:t>
            </w:r>
            <w:r>
              <w:rPr>
                <w:rFonts w:cs="Arial"/>
              </w:rPr>
              <w:t xml:space="preserve"> 60 ppm were all lethal except at 5.2 ppm (rats, 2 h)</w:t>
            </w:r>
          </w:p>
          <w:p w14:paraId="0B7C044A" w14:textId="40FAE110" w:rsidR="00EC1350" w:rsidRDefault="00EC1350" w:rsidP="00E1111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Steep dose-response relationship recognised in 28</w:t>
            </w:r>
            <w:r w:rsidR="004F3AC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 inhalation study also cited in </w:t>
            </w:r>
            <w:proofErr w:type="spellStart"/>
            <w:r>
              <w:rPr>
                <w:rFonts w:cs="Arial"/>
              </w:rPr>
              <w:t>DFG</w:t>
            </w:r>
            <w:proofErr w:type="spellEnd"/>
            <w:r>
              <w:rPr>
                <w:rFonts w:cs="Arial"/>
              </w:rPr>
              <w:t xml:space="preserve"> (2012)</w:t>
            </w:r>
            <w:r w:rsidR="00CE61E1">
              <w:rPr>
                <w:rFonts w:cs="Arial"/>
              </w:rPr>
              <w:t>:</w:t>
            </w:r>
          </w:p>
          <w:p w14:paraId="12EB40E4" w14:textId="084A8D19" w:rsidR="00400623" w:rsidRDefault="00DE520A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Fe</w:t>
            </w:r>
            <w:r w:rsidR="00EC1350">
              <w:rPr>
                <w:rFonts w:cs="Arial"/>
              </w:rPr>
              <w:t xml:space="preserve"> accumulation from chronic exposures at 1 ppm not </w:t>
            </w:r>
            <w:r w:rsidR="00EC1350" w:rsidRPr="004F3AC4">
              <w:t>discounted</w:t>
            </w:r>
          </w:p>
          <w:p w14:paraId="16716320" w14:textId="34AC80F4" w:rsidR="00EC1350" w:rsidRDefault="00EC1350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not proven due to short study duration</w:t>
            </w:r>
          </w:p>
          <w:p w14:paraId="081DCEDF" w14:textId="22F6B9D4" w:rsidR="004966BF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EC1350">
              <w:rPr>
                <w:rFonts w:cs="Arial"/>
              </w:rPr>
              <w:t xml:space="preserve">tudy </w:t>
            </w:r>
            <w:r w:rsidR="00EC1350" w:rsidRPr="004F3AC4">
              <w:t>used</w:t>
            </w:r>
            <w:r w:rsidR="00EC1350">
              <w:rPr>
                <w:rFonts w:cs="Arial"/>
              </w:rPr>
              <w:t xml:space="preserve"> to calculate </w:t>
            </w:r>
            <w:proofErr w:type="spellStart"/>
            <w:r w:rsidR="00EC1350">
              <w:rPr>
                <w:rFonts w:cs="Arial"/>
              </w:rPr>
              <w:t>DNEL</w:t>
            </w:r>
            <w:proofErr w:type="spellEnd"/>
            <w:r w:rsidR="00EC1350">
              <w:rPr>
                <w:rFonts w:cs="Arial"/>
              </w:rPr>
              <w:t xml:space="preserve">, factor of 10 applied to the </w:t>
            </w:r>
            <w:proofErr w:type="spellStart"/>
            <w:r w:rsidR="00EC1350">
              <w:rPr>
                <w:rFonts w:cs="Arial"/>
              </w:rPr>
              <w:t>LOAE</w:t>
            </w:r>
            <w:r w:rsidR="00E42979">
              <w:rPr>
                <w:rFonts w:cs="Arial"/>
              </w:rPr>
              <w:t>C</w:t>
            </w:r>
            <w:proofErr w:type="spellEnd"/>
            <w:r w:rsidR="00EC1350">
              <w:rPr>
                <w:rFonts w:cs="Arial"/>
              </w:rPr>
              <w:t xml:space="preserve"> of 1 ppm to arrive at 0.1</w:t>
            </w:r>
            <w:r w:rsidR="0055722E">
              <w:rPr>
                <w:rFonts w:cs="Arial"/>
              </w:rPr>
              <w:t> </w:t>
            </w:r>
            <w:r w:rsidR="00EC1350">
              <w:rPr>
                <w:rFonts w:cs="Arial"/>
              </w:rPr>
              <w:t>ppm, no allometric scaling was required due to inhalational administration route</w:t>
            </w:r>
          </w:p>
          <w:p w14:paraId="7ADFAA54" w14:textId="1BCF4F1B" w:rsidR="0055722E" w:rsidRPr="00794EEB" w:rsidRDefault="00EC1350" w:rsidP="00E1111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bacteria, no other mutagenicity data presented</w:t>
            </w:r>
            <w:r w:rsidR="004F3AC4">
              <w:t>.</w:t>
            </w:r>
          </w:p>
        </w:tc>
      </w:tr>
      <w:tr w:rsidR="004966BF" w:rsidRPr="004C23F4" w14:paraId="5377F86B" w14:textId="77777777" w:rsidTr="00A751DE">
        <w:trPr>
          <w:cantSplit/>
        </w:trPr>
        <w:tc>
          <w:tcPr>
            <w:tcW w:w="1490" w:type="dxa"/>
          </w:tcPr>
          <w:p w14:paraId="419241FC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22FA3AB0" w14:textId="69925E2C" w:rsidR="004966BF" w:rsidRDefault="0084579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371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AA391E" w14:textId="31D36D83" w:rsidR="004966BF" w:rsidRPr="004C23F4" w:rsidRDefault="0073714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3" w:type="dxa"/>
          </w:tcPr>
          <w:p w14:paraId="505B46E8" w14:textId="127CC197" w:rsidR="00400623" w:rsidRDefault="00E2798D" w:rsidP="00E1111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5.2 ppm was non-lethal and caused nasal discharge and lachrymation over 4 h</w:t>
            </w:r>
            <w:r w:rsidR="00CE61E1">
              <w:rPr>
                <w:rFonts w:cs="Arial"/>
              </w:rPr>
              <w:t>:</w:t>
            </w:r>
          </w:p>
          <w:p w14:paraId="41BB104A" w14:textId="77E9C29A" w:rsidR="00E2798D" w:rsidRDefault="00E2798D" w:rsidP="00E11118">
            <w:pPr>
              <w:pStyle w:val="Tabletextprimarysource"/>
              <w:numPr>
                <w:ilvl w:val="1"/>
                <w:numId w:val="4"/>
              </w:numPr>
              <w:ind w:left="1021" w:hanging="284"/>
              <w:rPr>
                <w:rFonts w:cs="Arial"/>
              </w:rPr>
            </w:pPr>
            <w:r>
              <w:rPr>
                <w:rFonts w:cs="Arial"/>
              </w:rPr>
              <w:t>2.91 ppm was lethal over 6 h (rats)</w:t>
            </w:r>
          </w:p>
          <w:p w14:paraId="7E2C45FD" w14:textId="2B3EB70F" w:rsidR="00EC1350" w:rsidRDefault="00EC1350" w:rsidP="00E1111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Small distance between severe non-lethal effects and mortality in acute exposure studies with animals indicates steep dose-response relationship</w:t>
            </w:r>
          </w:p>
          <w:p w14:paraId="5A954C27" w14:textId="0F326FA3" w:rsidR="00EC1350" w:rsidRDefault="00EC1350" w:rsidP="00E1111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D</w:t>
            </w:r>
            <w:r w:rsidR="00737145" w:rsidRPr="00737145">
              <w:rPr>
                <w:rFonts w:cs="Arial"/>
              </w:rPr>
              <w:t>elayed onset of death following acute exposure</w:t>
            </w:r>
            <w:r>
              <w:rPr>
                <w:rFonts w:cs="Arial"/>
              </w:rPr>
              <w:t xml:space="preserve"> reported</w:t>
            </w:r>
          </w:p>
          <w:p w14:paraId="6FB12ADE" w14:textId="4FBCE9BD" w:rsidR="00EC1350" w:rsidRDefault="00737145" w:rsidP="00E1111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Fonts w:cs="Arial"/>
              </w:rPr>
            </w:pPr>
            <w:proofErr w:type="spellStart"/>
            <w:r w:rsidRPr="00737145">
              <w:rPr>
                <w:rFonts w:cs="Arial"/>
              </w:rPr>
              <w:t>IDLH</w:t>
            </w:r>
            <w:proofErr w:type="spellEnd"/>
            <w:r w:rsidRPr="00737145">
              <w:rPr>
                <w:rFonts w:cs="Arial"/>
              </w:rPr>
              <w:t xml:space="preserve"> based on a rat non</w:t>
            </w:r>
            <w:r w:rsidR="00EC1350">
              <w:rPr>
                <w:rFonts w:cs="Arial"/>
              </w:rPr>
              <w:t>-</w:t>
            </w:r>
            <w:r w:rsidRPr="00737145">
              <w:rPr>
                <w:rFonts w:cs="Arial"/>
              </w:rPr>
              <w:t>lethal concentration of 5.2 ppm</w:t>
            </w:r>
            <w:r w:rsidR="00EC1350">
              <w:rPr>
                <w:rFonts w:cs="Arial"/>
              </w:rPr>
              <w:t xml:space="preserve"> (4 h), </w:t>
            </w:r>
            <w:r w:rsidRPr="00737145">
              <w:rPr>
                <w:rFonts w:cs="Arial"/>
              </w:rPr>
              <w:t xml:space="preserve">which corresponds to a concentration of 10.4 ppm </w:t>
            </w:r>
            <w:r w:rsidR="00EC1350">
              <w:rPr>
                <w:rFonts w:cs="Arial"/>
              </w:rPr>
              <w:t xml:space="preserve">following </w:t>
            </w:r>
            <w:r w:rsidR="00EC1350" w:rsidRPr="00737145">
              <w:rPr>
                <w:rFonts w:cs="Arial"/>
              </w:rPr>
              <w:t xml:space="preserve">adjustment </w:t>
            </w:r>
            <w:r w:rsidR="00EC1350">
              <w:rPr>
                <w:rFonts w:cs="Arial"/>
              </w:rPr>
              <w:t xml:space="preserve">to </w:t>
            </w:r>
            <w:r w:rsidRPr="00737145">
              <w:rPr>
                <w:rFonts w:cs="Arial"/>
              </w:rPr>
              <w:t>30</w:t>
            </w:r>
            <w:r w:rsidR="004F3AC4">
              <w:rPr>
                <w:rFonts w:cs="Arial"/>
              </w:rPr>
              <w:t xml:space="preserve"> </w:t>
            </w:r>
            <w:r w:rsidR="00EC1350">
              <w:rPr>
                <w:rFonts w:cs="Arial"/>
              </w:rPr>
              <w:t>min</w:t>
            </w:r>
            <w:r w:rsidR="00CE61E1">
              <w:rPr>
                <w:rFonts w:cs="Arial"/>
              </w:rPr>
              <w:t>:</w:t>
            </w:r>
          </w:p>
          <w:p w14:paraId="31ED5FA6" w14:textId="3AD4469E" w:rsidR="00D43B7A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Pr="00737145">
              <w:rPr>
                <w:rFonts w:cs="Arial"/>
              </w:rPr>
              <w:t xml:space="preserve">scape </w:t>
            </w:r>
            <w:r w:rsidR="00D43B7A" w:rsidRPr="00737145">
              <w:rPr>
                <w:rFonts w:cs="Arial"/>
              </w:rPr>
              <w:t>impairing</w:t>
            </w:r>
            <w:r w:rsidR="00D43B7A">
              <w:rPr>
                <w:rFonts w:cs="Arial"/>
              </w:rPr>
              <w:t xml:space="preserve"> e</w:t>
            </w:r>
            <w:r w:rsidR="00737145" w:rsidRPr="00737145">
              <w:rPr>
                <w:rFonts w:cs="Arial"/>
              </w:rPr>
              <w:t xml:space="preserve">ffects </w:t>
            </w:r>
            <w:r w:rsidR="00D43B7A">
              <w:rPr>
                <w:rFonts w:cs="Arial"/>
              </w:rPr>
              <w:t xml:space="preserve">(lachrymation, nasal </w:t>
            </w:r>
            <w:r w:rsidR="00D43B7A" w:rsidRPr="004F3AC4">
              <w:t>discharge</w:t>
            </w:r>
            <w:r w:rsidR="00D43B7A">
              <w:rPr>
                <w:rFonts w:cs="Arial"/>
              </w:rPr>
              <w:t>) reported at this concentration</w:t>
            </w:r>
          </w:p>
          <w:p w14:paraId="415E232B" w14:textId="4FE4CDD4" w:rsidR="0055722E" w:rsidRPr="00794EEB" w:rsidRDefault="00A751DE" w:rsidP="00E11118">
            <w:pPr>
              <w:pStyle w:val="Tabletextprimarysource"/>
              <w:numPr>
                <w:ilvl w:val="1"/>
                <w:numId w:val="4"/>
              </w:numPr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f</w:t>
            </w:r>
            <w:r w:rsidR="00D43B7A">
              <w:rPr>
                <w:rFonts w:cs="Arial"/>
              </w:rPr>
              <w:t>actor of</w:t>
            </w:r>
            <w:r w:rsidR="00737145" w:rsidRPr="00737145">
              <w:rPr>
                <w:rFonts w:cs="Arial"/>
              </w:rPr>
              <w:t xml:space="preserve"> 30 </w:t>
            </w:r>
            <w:r w:rsidR="00D43B7A">
              <w:rPr>
                <w:rFonts w:cs="Arial"/>
              </w:rPr>
              <w:t xml:space="preserve">applied </w:t>
            </w:r>
            <w:r w:rsidR="00737145" w:rsidRPr="00737145">
              <w:rPr>
                <w:rFonts w:cs="Arial"/>
              </w:rPr>
              <w:t xml:space="preserve">to account for extrapolation from a </w:t>
            </w:r>
            <w:proofErr w:type="spellStart"/>
            <w:r w:rsidR="00737145" w:rsidRPr="00737145">
              <w:rPr>
                <w:rFonts w:cs="Arial"/>
              </w:rPr>
              <w:t>LOAEL</w:t>
            </w:r>
            <w:proofErr w:type="spellEnd"/>
            <w:r w:rsidR="00737145" w:rsidRPr="00737145">
              <w:rPr>
                <w:rFonts w:cs="Arial"/>
              </w:rPr>
              <w:t xml:space="preserve"> to a </w:t>
            </w:r>
            <w:proofErr w:type="spellStart"/>
            <w:r w:rsidR="00737145" w:rsidRPr="00737145">
              <w:rPr>
                <w:rFonts w:cs="Arial"/>
              </w:rPr>
              <w:t>N</w:t>
            </w:r>
            <w:r w:rsidR="00D43B7A">
              <w:rPr>
                <w:rFonts w:cs="Arial"/>
              </w:rPr>
              <w:t>OAEL</w:t>
            </w:r>
            <w:proofErr w:type="spellEnd"/>
            <w:r w:rsidR="00D43B7A">
              <w:rPr>
                <w:rFonts w:cs="Arial"/>
              </w:rPr>
              <w:t xml:space="preserve">, sensitivity of effects, </w:t>
            </w:r>
            <w:r w:rsidR="00737145" w:rsidRPr="004F3AC4">
              <w:t>interspecies</w:t>
            </w:r>
            <w:r w:rsidR="00737145" w:rsidRPr="00737145">
              <w:rPr>
                <w:rFonts w:cs="Arial"/>
              </w:rPr>
              <w:t xml:space="preserve"> differences</w:t>
            </w:r>
            <w:r w:rsidR="000A16D2">
              <w:rPr>
                <w:rFonts w:cs="Arial"/>
              </w:rPr>
              <w:t xml:space="preserve"> and</w:t>
            </w:r>
            <w:r w:rsidR="00737145" w:rsidRPr="00737145">
              <w:rPr>
                <w:rFonts w:cs="Arial"/>
              </w:rPr>
              <w:t xml:space="preserve"> human variability </w:t>
            </w:r>
            <w:r w:rsidR="00D43B7A">
              <w:rPr>
                <w:rFonts w:cs="Arial"/>
              </w:rPr>
              <w:t>to afford</w:t>
            </w:r>
            <w:r w:rsidR="00737145" w:rsidRPr="00737145">
              <w:rPr>
                <w:rFonts w:cs="Arial"/>
              </w:rPr>
              <w:t xml:space="preserve"> </w:t>
            </w:r>
            <w:proofErr w:type="spellStart"/>
            <w:r w:rsidR="00737145" w:rsidRPr="00737145">
              <w:rPr>
                <w:rFonts w:cs="Arial"/>
              </w:rPr>
              <w:t>IDLH</w:t>
            </w:r>
            <w:proofErr w:type="spellEnd"/>
            <w:r w:rsidR="00737145" w:rsidRPr="00737145">
              <w:rPr>
                <w:rFonts w:cs="Arial"/>
              </w:rPr>
              <w:t xml:space="preserve"> </w:t>
            </w:r>
            <w:r w:rsidR="00D43B7A">
              <w:rPr>
                <w:rFonts w:cs="Arial"/>
              </w:rPr>
              <w:t>of 0.4</w:t>
            </w:r>
            <w:r w:rsidR="0055722E">
              <w:rPr>
                <w:rFonts w:cs="Arial"/>
              </w:rPr>
              <w:t> </w:t>
            </w:r>
            <w:r w:rsidR="00D43B7A">
              <w:rPr>
                <w:rFonts w:cs="Arial"/>
              </w:rPr>
              <w:t>ppm</w:t>
            </w:r>
            <w:r w:rsidR="004F3AC4">
              <w:rPr>
                <w:rFonts w:cs="Arial"/>
              </w:rPr>
              <w:t>.</w:t>
            </w:r>
          </w:p>
        </w:tc>
      </w:tr>
    </w:tbl>
    <w:bookmarkEnd w:id="0"/>
    <w:p w14:paraId="640E2C2C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1F1DECA" w14:textId="77777777" w:rsidTr="00737145">
        <w:trPr>
          <w:trHeight w:val="454"/>
          <w:tblHeader/>
        </w:trPr>
        <w:tc>
          <w:tcPr>
            <w:tcW w:w="6597" w:type="dxa"/>
            <w:vAlign w:val="center"/>
          </w:tcPr>
          <w:p w14:paraId="0EC17CB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FDB0F97" w14:textId="758F3FBC" w:rsidR="002E0D61" w:rsidRDefault="0073714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2FDAEBB" w14:textId="77777777" w:rsidTr="00737145">
        <w:trPr>
          <w:trHeight w:val="454"/>
        </w:trPr>
        <w:tc>
          <w:tcPr>
            <w:tcW w:w="6597" w:type="dxa"/>
            <w:vAlign w:val="center"/>
          </w:tcPr>
          <w:p w14:paraId="36FC911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2564765" w14:textId="4260A529" w:rsidR="008A36CF" w:rsidRDefault="0073714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DE520A" w14:paraId="0A70AE25" w14:textId="77777777" w:rsidTr="00441821">
        <w:trPr>
          <w:trHeight w:val="454"/>
        </w:trPr>
        <w:sdt>
          <w:sdtPr>
            <w:rPr>
              <w:b/>
            </w:rPr>
            <w:id w:val="1830936485"/>
            <w:placeholder>
              <w:docPart w:val="BDE3066996D14B0784C6AD5548288F0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CD2B4D9" w14:textId="66FA4553" w:rsidR="00DE520A" w:rsidRDefault="00DE520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2D723B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804E69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281714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AE3962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2E139C8" w14:textId="77777777" w:rsidTr="00812887">
        <w:trPr>
          <w:cantSplit/>
        </w:trPr>
        <w:tc>
          <w:tcPr>
            <w:tcW w:w="3227" w:type="dxa"/>
          </w:tcPr>
          <w:p w14:paraId="0F0FB33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85BBFFD" w14:textId="6B0C1253" w:rsidR="00687890" w:rsidRPr="00DD2F9B" w:rsidRDefault="00C709CF" w:rsidP="00DD2F9B">
            <w:pPr>
              <w:pStyle w:val="Tablefont"/>
            </w:pPr>
            <w:r w:rsidRPr="00C709CF">
              <w:t>—</w:t>
            </w:r>
          </w:p>
        </w:tc>
      </w:tr>
      <w:tr w:rsidR="007925F0" w:rsidRPr="004C23F4" w14:paraId="20D090DB" w14:textId="77777777" w:rsidTr="00812887">
        <w:trPr>
          <w:cantSplit/>
        </w:trPr>
        <w:tc>
          <w:tcPr>
            <w:tcW w:w="3227" w:type="dxa"/>
          </w:tcPr>
          <w:p w14:paraId="35728493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0554C9DB" w14:textId="0A413CE8" w:rsidR="007925F0" w:rsidRPr="00DD2F9B" w:rsidRDefault="00C709C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3A2783A" w14:textId="77777777" w:rsidTr="00812887">
        <w:trPr>
          <w:cantSplit/>
        </w:trPr>
        <w:tc>
          <w:tcPr>
            <w:tcW w:w="3227" w:type="dxa"/>
          </w:tcPr>
          <w:p w14:paraId="7C51E12B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C3836FD" w14:textId="7D534E79" w:rsidR="00AF483F" w:rsidRPr="00DD2F9B" w:rsidRDefault="00C709C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1AB8B12" w14:textId="77777777" w:rsidTr="00812887">
        <w:trPr>
          <w:cantSplit/>
        </w:trPr>
        <w:tc>
          <w:tcPr>
            <w:tcW w:w="3227" w:type="dxa"/>
          </w:tcPr>
          <w:p w14:paraId="4AEB2DB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B4503B2" w14:textId="2428CB52" w:rsidR="00687890" w:rsidRPr="00DD2F9B" w:rsidRDefault="00C709C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392053E" w14:textId="77777777" w:rsidTr="00812887">
        <w:trPr>
          <w:cantSplit/>
        </w:trPr>
        <w:tc>
          <w:tcPr>
            <w:tcW w:w="3227" w:type="dxa"/>
          </w:tcPr>
          <w:p w14:paraId="0D030F5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970B30E" w14:textId="575571CA" w:rsidR="00E41A26" w:rsidRPr="00DD2F9B" w:rsidRDefault="00680C2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FA293D8" w14:textId="77777777" w:rsidTr="00812887">
        <w:trPr>
          <w:cantSplit/>
        </w:trPr>
        <w:tc>
          <w:tcPr>
            <w:tcW w:w="3227" w:type="dxa"/>
          </w:tcPr>
          <w:p w14:paraId="13DFD73F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D513673" w14:textId="1A11CDD2" w:rsidR="002E0D61" w:rsidRPr="00DD2F9B" w:rsidRDefault="00C709CF" w:rsidP="00DD2F9B">
            <w:pPr>
              <w:pStyle w:val="Tablefont"/>
            </w:pPr>
            <w:r w:rsidRPr="00C709CF">
              <w:t>—</w:t>
            </w:r>
          </w:p>
        </w:tc>
      </w:tr>
      <w:tr w:rsidR="002E0D61" w:rsidRPr="004C23F4" w14:paraId="6D891774" w14:textId="77777777" w:rsidTr="00812887">
        <w:trPr>
          <w:cantSplit/>
        </w:trPr>
        <w:tc>
          <w:tcPr>
            <w:tcW w:w="3227" w:type="dxa"/>
          </w:tcPr>
          <w:p w14:paraId="1B0EBCE8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F71D871" w14:textId="777EDE71" w:rsidR="002E0D61" w:rsidRPr="00DD2F9B" w:rsidRDefault="00C709CF" w:rsidP="00DD2F9B">
            <w:pPr>
              <w:pStyle w:val="Tablefont"/>
            </w:pPr>
            <w:r w:rsidRPr="00C709CF">
              <w:t>H (skin)</w:t>
            </w:r>
          </w:p>
        </w:tc>
      </w:tr>
      <w:tr w:rsidR="002E0D61" w:rsidRPr="004C23F4" w14:paraId="40A33FCB" w14:textId="77777777" w:rsidTr="00812887">
        <w:trPr>
          <w:cantSplit/>
        </w:trPr>
        <w:tc>
          <w:tcPr>
            <w:tcW w:w="3227" w:type="dxa"/>
          </w:tcPr>
          <w:p w14:paraId="3F55A404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5382166D" w14:textId="1044BF31" w:rsidR="002E0D61" w:rsidRPr="00DD2F9B" w:rsidRDefault="00C709C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0356076" w14:textId="77777777" w:rsidTr="00812887">
        <w:trPr>
          <w:cantSplit/>
        </w:trPr>
        <w:tc>
          <w:tcPr>
            <w:tcW w:w="3227" w:type="dxa"/>
          </w:tcPr>
          <w:p w14:paraId="51D333AC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E724106" w14:textId="04A8F826" w:rsidR="002E0D61" w:rsidRPr="00DD2F9B" w:rsidRDefault="005D0F78" w:rsidP="00DD2F9B">
            <w:pPr>
              <w:pStyle w:val="Tablefont"/>
            </w:pPr>
            <w:r w:rsidRPr="00C709CF">
              <w:t>—</w:t>
            </w:r>
          </w:p>
        </w:tc>
      </w:tr>
      <w:tr w:rsidR="00386093" w:rsidRPr="004C23F4" w14:paraId="36B95E07" w14:textId="77777777" w:rsidTr="00812887">
        <w:trPr>
          <w:cantSplit/>
        </w:trPr>
        <w:tc>
          <w:tcPr>
            <w:tcW w:w="3227" w:type="dxa"/>
          </w:tcPr>
          <w:p w14:paraId="4AC2948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5C94DC6" w14:textId="1CA60966" w:rsidR="00386093" w:rsidRPr="00DD2F9B" w:rsidRDefault="00C709C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9F0B4D7" w14:textId="77777777" w:rsidTr="00812887">
        <w:trPr>
          <w:cantSplit/>
        </w:trPr>
        <w:tc>
          <w:tcPr>
            <w:tcW w:w="3227" w:type="dxa"/>
          </w:tcPr>
          <w:p w14:paraId="0058F5C2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FD8C454" w14:textId="6E21A270" w:rsidR="00386093" w:rsidRPr="00DD2F9B" w:rsidRDefault="00C709C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2567AB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AAF8E4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F8CA64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BF34AE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C11980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61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680C2F" w:rsidRPr="00680C2F" w14:paraId="48019AA1" w14:textId="77777777" w:rsidTr="00680C2F">
              <w:trPr>
                <w:trHeight w:val="2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6BDDD3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29E41B" w14:textId="77777777" w:rsidR="00680C2F" w:rsidRPr="00680C2F" w:rsidRDefault="00680C2F" w:rsidP="00680C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20D4C7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8F782A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0C2F" w:rsidRPr="00680C2F" w14:paraId="17CD6456" w14:textId="77777777" w:rsidTr="00680C2F">
              <w:trPr>
                <w:trHeight w:val="2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95F53F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3EE34CD" w14:textId="77777777" w:rsidR="00680C2F" w:rsidRPr="00680C2F" w:rsidRDefault="00680C2F" w:rsidP="00680C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C57D1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71CCDF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0C2F" w:rsidRPr="00680C2F" w14:paraId="0B0D725E" w14:textId="77777777" w:rsidTr="00680C2F">
              <w:trPr>
                <w:trHeight w:val="2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8F06D1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055605" w14:textId="77777777" w:rsidR="00680C2F" w:rsidRPr="00680C2F" w:rsidRDefault="00680C2F" w:rsidP="00680C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C1CC57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C90D3C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0C2F" w:rsidRPr="00680C2F" w14:paraId="7F8AF9B4" w14:textId="77777777" w:rsidTr="00680C2F">
              <w:trPr>
                <w:trHeight w:val="2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E94323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8C15807" w14:textId="77777777" w:rsidR="00680C2F" w:rsidRPr="00680C2F" w:rsidRDefault="00680C2F" w:rsidP="00680C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5AD4DE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A517B2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0C2F" w:rsidRPr="00680C2F" w14:paraId="518A306A" w14:textId="77777777" w:rsidTr="00680C2F">
              <w:trPr>
                <w:trHeight w:val="2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9A59C4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272EA" w14:textId="77777777" w:rsidR="00680C2F" w:rsidRPr="00680C2F" w:rsidRDefault="00680C2F" w:rsidP="00680C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AF7C7B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477616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0C2F" w:rsidRPr="00680C2F" w14:paraId="37A71D44" w14:textId="77777777" w:rsidTr="00680C2F">
              <w:trPr>
                <w:trHeight w:val="2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702741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9EACCD" w14:textId="77777777" w:rsidR="00680C2F" w:rsidRPr="00680C2F" w:rsidRDefault="00680C2F" w:rsidP="00680C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57F32F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19538E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80C2F" w:rsidRPr="00680C2F" w14:paraId="3D6983E1" w14:textId="77777777" w:rsidTr="00680C2F">
              <w:trPr>
                <w:trHeight w:val="2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1A99C3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89A270" w14:textId="77777777" w:rsidR="00680C2F" w:rsidRPr="00680C2F" w:rsidRDefault="00680C2F" w:rsidP="00680C2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2958EF" w14:textId="77777777" w:rsidR="00680C2F" w:rsidRPr="00680C2F" w:rsidRDefault="00680C2F" w:rsidP="00680C2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45B624" w14:textId="77777777" w:rsidR="00680C2F" w:rsidRPr="00680C2F" w:rsidRDefault="00680C2F" w:rsidP="00680C2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80C2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1D4CEE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A0336C3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836BA4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858C35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04A94AF" w14:textId="0D6C9E2C" w:rsidR="00EB3D1B" w:rsidRDefault="005D0F7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694A17E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59E8FB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0409A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8F261CC" w14:textId="3999EC90" w:rsidR="001B79E5" w:rsidRDefault="005D0F78" w:rsidP="001B79E5">
                <w:pPr>
                  <w:pStyle w:val="Tablefont"/>
                </w:pPr>
                <w:r w:rsidRPr="005D0F78">
                  <w:t>195.9</w:t>
                </w:r>
              </w:p>
            </w:tc>
          </w:sdtContent>
        </w:sdt>
      </w:tr>
      <w:tr w:rsidR="00A31D99" w:rsidRPr="004C23F4" w14:paraId="631AABE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FB8F88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3BE3596" w14:textId="1BB1B3B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37145">
                  <w:t>8.15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sdt>
                  <w:sdtPr>
                    <w:id w:val="-886482122"/>
                    <w:placeholder>
                      <w:docPart w:val="DE2AC0ED9FFA431B9CD4860E024EE52A"/>
                    </w:placeholder>
                  </w:sdtPr>
                  <w:sdtEndPr/>
                  <w:sdtContent>
                    <w:r w:rsidR="00737145">
                      <w:t>0.123</w:t>
                    </w:r>
                  </w:sdtContent>
                </w:sdt>
              </w:sdtContent>
            </w:sdt>
            <w:r>
              <w:t xml:space="preserve"> ppm</w:t>
            </w:r>
          </w:p>
        </w:tc>
      </w:tr>
      <w:tr w:rsidR="00687890" w:rsidRPr="004C23F4" w14:paraId="7C25DB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40E8A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290EB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EC4F434" w14:textId="77777777" w:rsidTr="00EA6243">
        <w:trPr>
          <w:cantSplit/>
        </w:trPr>
        <w:tc>
          <w:tcPr>
            <w:tcW w:w="4077" w:type="dxa"/>
            <w:vAlign w:val="center"/>
          </w:tcPr>
          <w:p w14:paraId="535AA62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A5629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201FCC" w14:textId="77777777" w:rsidTr="00EA6243">
        <w:trPr>
          <w:cantSplit/>
        </w:trPr>
        <w:tc>
          <w:tcPr>
            <w:tcW w:w="4077" w:type="dxa"/>
            <w:vAlign w:val="center"/>
          </w:tcPr>
          <w:p w14:paraId="64D9608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5A168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F220A0B" w14:textId="77777777" w:rsidTr="00EA6243">
        <w:trPr>
          <w:cantSplit/>
        </w:trPr>
        <w:tc>
          <w:tcPr>
            <w:tcW w:w="4077" w:type="dxa"/>
            <w:vAlign w:val="center"/>
          </w:tcPr>
          <w:p w14:paraId="4C70C9A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DF3DAEA" w14:textId="77777777" w:rsidR="00E06F40" w:rsidRPr="00A006A0" w:rsidRDefault="0084579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7E802F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4B6013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AC695B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F69B0F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3C4F68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55A6C6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8FCC2A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631B1A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B78C74D" w14:textId="7A5D0455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5D7C2F0F" w14:textId="54B31F91" w:rsidR="005D0F78" w:rsidRDefault="005D0F78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(2012) </w:t>
      </w:r>
      <w:proofErr w:type="spellStart"/>
      <w:r w:rsidRPr="005D0F78">
        <w:t>Eisenpentacarbonyl</w:t>
      </w:r>
      <w:proofErr w:type="spellEnd"/>
      <w:r>
        <w:t xml:space="preserve"> – MAK value documentatio</w:t>
      </w:r>
      <w:r w:rsidR="00737145">
        <w:t>n, German language edition</w:t>
      </w:r>
      <w:r>
        <w:t>.</w:t>
      </w:r>
    </w:p>
    <w:p w14:paraId="784732EC" w14:textId="56D4163E" w:rsidR="00D43B7A" w:rsidRDefault="00D43B7A" w:rsidP="00D43B7A">
      <w:r>
        <w:t xml:space="preserve">European Chemicals Agency (ECHA) (2019) </w:t>
      </w:r>
      <w:proofErr w:type="spellStart"/>
      <w:r w:rsidRPr="00084461">
        <w:t>Pentacarbonyliron</w:t>
      </w:r>
      <w:proofErr w:type="spellEnd"/>
      <w:r>
        <w:t xml:space="preserve"> – REACH assessment.</w:t>
      </w:r>
    </w:p>
    <w:p w14:paraId="54D2ABCC" w14:textId="26EEB917" w:rsidR="005D0F78" w:rsidRDefault="005D0F78" w:rsidP="0008485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(2002) </w:t>
      </w:r>
      <w:proofErr w:type="spellStart"/>
      <w:r w:rsidRPr="005D0F78">
        <w:t>Pentacarbonyliron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Pr="005D0F78">
        <w:t>2000/</w:t>
      </w:r>
      <w:proofErr w:type="spellStart"/>
      <w:r w:rsidRPr="005D0F78">
        <w:t>15OSH</w:t>
      </w:r>
      <w:proofErr w:type="spellEnd"/>
      <w:r w:rsidRPr="005D0F78">
        <w:t>/036</w:t>
      </w:r>
      <w:r>
        <w:t>.</w:t>
      </w:r>
    </w:p>
    <w:p w14:paraId="40666D1F" w14:textId="7554A778" w:rsidR="00D43B7A" w:rsidRDefault="00D43B7A" w:rsidP="00084859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(2016) </w:t>
      </w:r>
      <w:r w:rsidRPr="00737145">
        <w:t>Iron carbonyl (</w:t>
      </w:r>
      <w:proofErr w:type="gramStart"/>
      <w:r w:rsidRPr="00737145">
        <w:t>Fe(</w:t>
      </w:r>
      <w:proofErr w:type="gramEnd"/>
      <w:r w:rsidRPr="00737145">
        <w:t>CO)5), (TB-5-11)-</w:t>
      </w:r>
      <w:r w:rsidRPr="0071660C">
        <w:t xml:space="preserve">: Human health </w:t>
      </w:r>
      <w:r>
        <w:t xml:space="preserve">tier I </w:t>
      </w:r>
      <w:r w:rsidRPr="0071660C">
        <w:t>assessment</w:t>
      </w:r>
      <w:r>
        <w:t xml:space="preserve"> – IMAP report.</w:t>
      </w:r>
    </w:p>
    <w:p w14:paraId="7FB1BEFF" w14:textId="77777777" w:rsidR="004F3AC4" w:rsidRPr="00D43B7A" w:rsidRDefault="004F3AC4" w:rsidP="004F3AC4">
      <w:pPr>
        <w:rPr>
          <w:color w:val="000000"/>
        </w:rPr>
      </w:pPr>
      <w:r w:rsidRPr="00D86E03">
        <w:t>UK Health and Safety Executive</w:t>
      </w:r>
      <w:r>
        <w:t xml:space="preserve"> (HSE) (2002) </w:t>
      </w:r>
      <w:proofErr w:type="spellStart"/>
      <w:r w:rsidRPr="00485AE6">
        <w:t>EH40</w:t>
      </w:r>
      <w:proofErr w:type="spellEnd"/>
      <w:r w:rsidRPr="00485AE6">
        <w:t>/2005 Workplace exposure limits</w:t>
      </w:r>
      <w:r>
        <w:t>.</w:t>
      </w:r>
    </w:p>
    <w:p w14:paraId="02FA5C05" w14:textId="27EC7863" w:rsidR="005D0F78" w:rsidRPr="00351FE0" w:rsidRDefault="005D0F78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(2016) Immediately dangerous to life or health concentrations – </w:t>
      </w:r>
      <w:r w:rsidRPr="005D0F78">
        <w:t>Iron Pentacarbonyl</w:t>
      </w:r>
      <w:r>
        <w:t>.</w:t>
      </w:r>
    </w:p>
    <w:sectPr w:rsidR="005D0F7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FEDA3" w14:textId="77777777" w:rsidR="008E4E74" w:rsidRDefault="008E4E74" w:rsidP="00F43AD5">
      <w:pPr>
        <w:spacing w:after="0" w:line="240" w:lineRule="auto"/>
      </w:pPr>
      <w:r>
        <w:separator/>
      </w:r>
    </w:p>
  </w:endnote>
  <w:endnote w:type="continuationSeparator" w:id="0">
    <w:p w14:paraId="5D164502" w14:textId="77777777" w:rsidR="008E4E74" w:rsidRDefault="008E4E7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C838F1" w14:textId="77777777" w:rsidR="00B23F4B" w:rsidRPr="00B23F4B" w:rsidRDefault="00B23F4B" w:rsidP="00B23F4B">
        <w:pPr>
          <w:pStyle w:val="Footer"/>
          <w:rPr>
            <w:b/>
            <w:sz w:val="18"/>
            <w:szCs w:val="18"/>
          </w:rPr>
        </w:pPr>
      </w:p>
      <w:p w14:paraId="012F9983" w14:textId="013D3E29" w:rsidR="008A36CF" w:rsidRDefault="00B23F4B" w:rsidP="00B23F4B">
        <w:pPr>
          <w:pStyle w:val="Footer"/>
          <w:rPr>
            <w:sz w:val="18"/>
            <w:szCs w:val="18"/>
          </w:rPr>
        </w:pPr>
        <w:r w:rsidRPr="00B23F4B">
          <w:rPr>
            <w:b/>
            <w:sz w:val="18"/>
            <w:szCs w:val="18"/>
          </w:rPr>
          <w:t>Iron pentacarbonyl (as Fe)</w:t>
        </w:r>
        <w:r w:rsidR="008A36CF">
          <w:rPr>
            <w:b/>
            <w:sz w:val="18"/>
            <w:szCs w:val="18"/>
          </w:rPr>
          <w:t xml:space="preserve"> (</w:t>
        </w:r>
        <w:r w:rsidRPr="00B23F4B">
          <w:rPr>
            <w:b/>
            <w:sz w:val="18"/>
            <w:szCs w:val="18"/>
          </w:rPr>
          <w:t>13463-40-6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A20EFC3" w14:textId="61C1778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3278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65C36" w14:textId="77777777" w:rsidR="008E4E74" w:rsidRDefault="008E4E74" w:rsidP="00F43AD5">
      <w:pPr>
        <w:spacing w:after="0" w:line="240" w:lineRule="auto"/>
      </w:pPr>
      <w:r>
        <w:separator/>
      </w:r>
    </w:p>
  </w:footnote>
  <w:footnote w:type="continuationSeparator" w:id="0">
    <w:p w14:paraId="1B27FA00" w14:textId="77777777" w:rsidR="008E4E74" w:rsidRDefault="008E4E7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63E07" w14:textId="0234E374" w:rsidR="00932782" w:rsidRDefault="00932782" w:rsidP="00932782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21325E" wp14:editId="51A8F9BC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F6F643" w14:textId="42E9D24C" w:rsidR="008A36CF" w:rsidRPr="00932782" w:rsidRDefault="008A36CF" w:rsidP="009327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4CBE0" w14:textId="20549996" w:rsidR="00932782" w:rsidRDefault="0084579B" w:rsidP="00932782">
    <w:pPr>
      <w:pStyle w:val="Header"/>
      <w:jc w:val="right"/>
    </w:pPr>
    <w:sdt>
      <w:sdtPr>
        <w:id w:val="-1971502075"/>
        <w:docPartObj>
          <w:docPartGallery w:val="Watermarks"/>
          <w:docPartUnique/>
        </w:docPartObj>
      </w:sdtPr>
      <w:sdtEndPr/>
      <w:sdtContent/>
    </w:sdt>
    <w:r w:rsidR="00932782">
      <w:rPr>
        <w:noProof/>
        <w:lang w:eastAsia="en-AU"/>
      </w:rPr>
      <w:drawing>
        <wp:inline distT="0" distB="0" distL="0" distR="0" wp14:anchorId="35AA6EFE" wp14:editId="0FEAFDFF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640F3B" w14:textId="313E90C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5E20A4"/>
    <w:multiLevelType w:val="hybridMultilevel"/>
    <w:tmpl w:val="801AE7A4"/>
    <w:lvl w:ilvl="0" w:tplc="70225F2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437FCA"/>
    <w:multiLevelType w:val="hybridMultilevel"/>
    <w:tmpl w:val="C86090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E1556"/>
    <w:multiLevelType w:val="hybridMultilevel"/>
    <w:tmpl w:val="5F887266"/>
    <w:lvl w:ilvl="0" w:tplc="0B40149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044E6"/>
    <w:multiLevelType w:val="hybridMultilevel"/>
    <w:tmpl w:val="CCD49944"/>
    <w:lvl w:ilvl="0" w:tplc="404AB59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C2F66"/>
    <w:multiLevelType w:val="hybridMultilevel"/>
    <w:tmpl w:val="A9E8D854"/>
    <w:lvl w:ilvl="0" w:tplc="6724419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646954">
    <w:abstractNumId w:val="2"/>
  </w:num>
  <w:num w:numId="2" w16cid:durableId="531576543">
    <w:abstractNumId w:val="4"/>
  </w:num>
  <w:num w:numId="3" w16cid:durableId="240650174">
    <w:abstractNumId w:val="0"/>
  </w:num>
  <w:num w:numId="4" w16cid:durableId="2086148816">
    <w:abstractNumId w:val="3"/>
  </w:num>
  <w:num w:numId="5" w16cid:durableId="368651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5798A"/>
    <w:rsid w:val="00060B48"/>
    <w:rsid w:val="00067F32"/>
    <w:rsid w:val="00071807"/>
    <w:rsid w:val="000803E1"/>
    <w:rsid w:val="00084461"/>
    <w:rsid w:val="00084513"/>
    <w:rsid w:val="00084859"/>
    <w:rsid w:val="00092D94"/>
    <w:rsid w:val="000A16D2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0F31"/>
    <w:rsid w:val="001269A7"/>
    <w:rsid w:val="00131092"/>
    <w:rsid w:val="00140E6A"/>
    <w:rsid w:val="00142E0E"/>
    <w:rsid w:val="00146545"/>
    <w:rsid w:val="00146B75"/>
    <w:rsid w:val="0015266D"/>
    <w:rsid w:val="0015288A"/>
    <w:rsid w:val="00160F47"/>
    <w:rsid w:val="00160F93"/>
    <w:rsid w:val="00177CA1"/>
    <w:rsid w:val="00183823"/>
    <w:rsid w:val="00183942"/>
    <w:rsid w:val="001934E8"/>
    <w:rsid w:val="001A009E"/>
    <w:rsid w:val="001A1287"/>
    <w:rsid w:val="001A3859"/>
    <w:rsid w:val="001A3C9D"/>
    <w:rsid w:val="001A43F8"/>
    <w:rsid w:val="001B79E5"/>
    <w:rsid w:val="001D34E2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3ED2"/>
    <w:rsid w:val="002366C7"/>
    <w:rsid w:val="0023782A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528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59C8"/>
    <w:rsid w:val="003A0E32"/>
    <w:rsid w:val="003A2B94"/>
    <w:rsid w:val="003B387D"/>
    <w:rsid w:val="003C0D58"/>
    <w:rsid w:val="003D4FA3"/>
    <w:rsid w:val="003E0807"/>
    <w:rsid w:val="003E5013"/>
    <w:rsid w:val="003E51FB"/>
    <w:rsid w:val="003E6B39"/>
    <w:rsid w:val="003F07E1"/>
    <w:rsid w:val="00400623"/>
    <w:rsid w:val="004030BC"/>
    <w:rsid w:val="00403F7D"/>
    <w:rsid w:val="00406785"/>
    <w:rsid w:val="004079B4"/>
    <w:rsid w:val="00411C9F"/>
    <w:rsid w:val="00417A56"/>
    <w:rsid w:val="00420957"/>
    <w:rsid w:val="00422A10"/>
    <w:rsid w:val="00430179"/>
    <w:rsid w:val="004414B5"/>
    <w:rsid w:val="00444482"/>
    <w:rsid w:val="00444B42"/>
    <w:rsid w:val="00445E44"/>
    <w:rsid w:val="00447879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1316"/>
    <w:rsid w:val="00493A35"/>
    <w:rsid w:val="0049527A"/>
    <w:rsid w:val="004966BF"/>
    <w:rsid w:val="00497984"/>
    <w:rsid w:val="004A5088"/>
    <w:rsid w:val="004B4854"/>
    <w:rsid w:val="004B5AFC"/>
    <w:rsid w:val="004C1E3F"/>
    <w:rsid w:val="004C23F4"/>
    <w:rsid w:val="004C3475"/>
    <w:rsid w:val="004C58B6"/>
    <w:rsid w:val="004D04BC"/>
    <w:rsid w:val="004D16A3"/>
    <w:rsid w:val="004D4AA1"/>
    <w:rsid w:val="004D6D68"/>
    <w:rsid w:val="004E5EDD"/>
    <w:rsid w:val="004F3AC4"/>
    <w:rsid w:val="004F448A"/>
    <w:rsid w:val="004F493D"/>
    <w:rsid w:val="004F65E8"/>
    <w:rsid w:val="0050005E"/>
    <w:rsid w:val="00502B88"/>
    <w:rsid w:val="005072CD"/>
    <w:rsid w:val="005142C4"/>
    <w:rsid w:val="0051509C"/>
    <w:rsid w:val="00517264"/>
    <w:rsid w:val="005272E2"/>
    <w:rsid w:val="0053108F"/>
    <w:rsid w:val="00532B56"/>
    <w:rsid w:val="00534B10"/>
    <w:rsid w:val="005446A2"/>
    <w:rsid w:val="00544D2F"/>
    <w:rsid w:val="00550107"/>
    <w:rsid w:val="00551BD8"/>
    <w:rsid w:val="0055722E"/>
    <w:rsid w:val="005756A0"/>
    <w:rsid w:val="00581055"/>
    <w:rsid w:val="0058490B"/>
    <w:rsid w:val="00591E38"/>
    <w:rsid w:val="00592EA5"/>
    <w:rsid w:val="005A19C5"/>
    <w:rsid w:val="005A3034"/>
    <w:rsid w:val="005A462D"/>
    <w:rsid w:val="005B253B"/>
    <w:rsid w:val="005B771D"/>
    <w:rsid w:val="005C5D16"/>
    <w:rsid w:val="005D0F78"/>
    <w:rsid w:val="005D3193"/>
    <w:rsid w:val="005D4A6E"/>
    <w:rsid w:val="005E6979"/>
    <w:rsid w:val="005E75CB"/>
    <w:rsid w:val="006013C1"/>
    <w:rsid w:val="0060669E"/>
    <w:rsid w:val="00610F2E"/>
    <w:rsid w:val="00611399"/>
    <w:rsid w:val="00613AF4"/>
    <w:rsid w:val="00624C4E"/>
    <w:rsid w:val="00625200"/>
    <w:rsid w:val="0062784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0C2F"/>
    <w:rsid w:val="006867F3"/>
    <w:rsid w:val="00687890"/>
    <w:rsid w:val="006901A2"/>
    <w:rsid w:val="00690368"/>
    <w:rsid w:val="0069079C"/>
    <w:rsid w:val="00690B53"/>
    <w:rsid w:val="00695B72"/>
    <w:rsid w:val="006A4B74"/>
    <w:rsid w:val="006B160A"/>
    <w:rsid w:val="006B4E6C"/>
    <w:rsid w:val="006B50B6"/>
    <w:rsid w:val="006B70A0"/>
    <w:rsid w:val="006D79EA"/>
    <w:rsid w:val="006E5D05"/>
    <w:rsid w:val="00701053"/>
    <w:rsid w:val="007012B6"/>
    <w:rsid w:val="00701507"/>
    <w:rsid w:val="00701C4B"/>
    <w:rsid w:val="00714021"/>
    <w:rsid w:val="00716A0F"/>
    <w:rsid w:val="00717D45"/>
    <w:rsid w:val="007208F7"/>
    <w:rsid w:val="007218AF"/>
    <w:rsid w:val="007365D1"/>
    <w:rsid w:val="00737145"/>
    <w:rsid w:val="00740E0E"/>
    <w:rsid w:val="00750212"/>
    <w:rsid w:val="00754779"/>
    <w:rsid w:val="0075716D"/>
    <w:rsid w:val="007638F1"/>
    <w:rsid w:val="00765F14"/>
    <w:rsid w:val="00770E31"/>
    <w:rsid w:val="007770F1"/>
    <w:rsid w:val="00783FB1"/>
    <w:rsid w:val="00785CDD"/>
    <w:rsid w:val="00791847"/>
    <w:rsid w:val="007925F0"/>
    <w:rsid w:val="007939B3"/>
    <w:rsid w:val="00794EEB"/>
    <w:rsid w:val="0079509C"/>
    <w:rsid w:val="00796708"/>
    <w:rsid w:val="007B1B42"/>
    <w:rsid w:val="007C30EB"/>
    <w:rsid w:val="007D6BE9"/>
    <w:rsid w:val="007E063C"/>
    <w:rsid w:val="007E2A4B"/>
    <w:rsid w:val="007E307D"/>
    <w:rsid w:val="007E6A4E"/>
    <w:rsid w:val="007E6C94"/>
    <w:rsid w:val="007E6F3D"/>
    <w:rsid w:val="007F1005"/>
    <w:rsid w:val="007F25E0"/>
    <w:rsid w:val="007F5328"/>
    <w:rsid w:val="00804F5A"/>
    <w:rsid w:val="00810C6D"/>
    <w:rsid w:val="00812887"/>
    <w:rsid w:val="008153D4"/>
    <w:rsid w:val="00826F21"/>
    <w:rsid w:val="0083346C"/>
    <w:rsid w:val="00834CC8"/>
    <w:rsid w:val="00835E00"/>
    <w:rsid w:val="00837113"/>
    <w:rsid w:val="008414E4"/>
    <w:rsid w:val="00843E21"/>
    <w:rsid w:val="0084508E"/>
    <w:rsid w:val="0084579B"/>
    <w:rsid w:val="00854E8E"/>
    <w:rsid w:val="00857A8A"/>
    <w:rsid w:val="008630EE"/>
    <w:rsid w:val="00864D13"/>
    <w:rsid w:val="00871CD5"/>
    <w:rsid w:val="008732E2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11F"/>
    <w:rsid w:val="008C2511"/>
    <w:rsid w:val="008C492C"/>
    <w:rsid w:val="008D026D"/>
    <w:rsid w:val="008D23AB"/>
    <w:rsid w:val="008D4B8B"/>
    <w:rsid w:val="008D5A78"/>
    <w:rsid w:val="008E068C"/>
    <w:rsid w:val="008E4E74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782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0E04"/>
    <w:rsid w:val="009B1D0C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72B7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51DE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599"/>
    <w:rsid w:val="00B00A25"/>
    <w:rsid w:val="00B1422A"/>
    <w:rsid w:val="00B1765C"/>
    <w:rsid w:val="00B213C4"/>
    <w:rsid w:val="00B22A15"/>
    <w:rsid w:val="00B23F4B"/>
    <w:rsid w:val="00B40C60"/>
    <w:rsid w:val="00B479A9"/>
    <w:rsid w:val="00B52EDF"/>
    <w:rsid w:val="00B54F3E"/>
    <w:rsid w:val="00B71188"/>
    <w:rsid w:val="00B76A41"/>
    <w:rsid w:val="00B81A93"/>
    <w:rsid w:val="00B87D4C"/>
    <w:rsid w:val="00B93646"/>
    <w:rsid w:val="00BA0B38"/>
    <w:rsid w:val="00BA16E3"/>
    <w:rsid w:val="00BA1DBB"/>
    <w:rsid w:val="00BA4510"/>
    <w:rsid w:val="00BA529A"/>
    <w:rsid w:val="00BB612A"/>
    <w:rsid w:val="00BD499F"/>
    <w:rsid w:val="00BD56DE"/>
    <w:rsid w:val="00BF2406"/>
    <w:rsid w:val="00C06E43"/>
    <w:rsid w:val="00C11CD7"/>
    <w:rsid w:val="00C16315"/>
    <w:rsid w:val="00C21E02"/>
    <w:rsid w:val="00C3091E"/>
    <w:rsid w:val="00C40FF1"/>
    <w:rsid w:val="00C419E2"/>
    <w:rsid w:val="00C5020E"/>
    <w:rsid w:val="00C5659A"/>
    <w:rsid w:val="00C57452"/>
    <w:rsid w:val="00C61EDF"/>
    <w:rsid w:val="00C6239D"/>
    <w:rsid w:val="00C6594B"/>
    <w:rsid w:val="00C677B2"/>
    <w:rsid w:val="00C67FFB"/>
    <w:rsid w:val="00C709CF"/>
    <w:rsid w:val="00C7155E"/>
    <w:rsid w:val="00C71D1E"/>
    <w:rsid w:val="00C71D7D"/>
    <w:rsid w:val="00C74833"/>
    <w:rsid w:val="00C850A0"/>
    <w:rsid w:val="00C85A86"/>
    <w:rsid w:val="00C973D4"/>
    <w:rsid w:val="00C978F0"/>
    <w:rsid w:val="00CA58FE"/>
    <w:rsid w:val="00CB1CB1"/>
    <w:rsid w:val="00CB2732"/>
    <w:rsid w:val="00CB6BC1"/>
    <w:rsid w:val="00CB6CB8"/>
    <w:rsid w:val="00CC1A68"/>
    <w:rsid w:val="00CC2123"/>
    <w:rsid w:val="00CD2BFD"/>
    <w:rsid w:val="00CE5AD6"/>
    <w:rsid w:val="00CE617F"/>
    <w:rsid w:val="00CE61E1"/>
    <w:rsid w:val="00CE78EF"/>
    <w:rsid w:val="00CF32BC"/>
    <w:rsid w:val="00D048F7"/>
    <w:rsid w:val="00D0517E"/>
    <w:rsid w:val="00D140FC"/>
    <w:rsid w:val="00D21240"/>
    <w:rsid w:val="00D21D8C"/>
    <w:rsid w:val="00D31357"/>
    <w:rsid w:val="00D33220"/>
    <w:rsid w:val="00D334D1"/>
    <w:rsid w:val="00D43B7A"/>
    <w:rsid w:val="00D44C89"/>
    <w:rsid w:val="00D516CD"/>
    <w:rsid w:val="00D656D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0577"/>
    <w:rsid w:val="00DD1BF6"/>
    <w:rsid w:val="00DD2F9B"/>
    <w:rsid w:val="00DE2513"/>
    <w:rsid w:val="00DE26E8"/>
    <w:rsid w:val="00DE520A"/>
    <w:rsid w:val="00DF6F36"/>
    <w:rsid w:val="00E0084C"/>
    <w:rsid w:val="00E025AB"/>
    <w:rsid w:val="00E02B23"/>
    <w:rsid w:val="00E06F40"/>
    <w:rsid w:val="00E07CE8"/>
    <w:rsid w:val="00E11118"/>
    <w:rsid w:val="00E20674"/>
    <w:rsid w:val="00E26A07"/>
    <w:rsid w:val="00E2798D"/>
    <w:rsid w:val="00E32595"/>
    <w:rsid w:val="00E37CFD"/>
    <w:rsid w:val="00E41A26"/>
    <w:rsid w:val="00E42979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0A4B"/>
    <w:rsid w:val="00EB3D1B"/>
    <w:rsid w:val="00EC1350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5BC0"/>
    <w:rsid w:val="00F10C97"/>
    <w:rsid w:val="00F11C71"/>
    <w:rsid w:val="00F14659"/>
    <w:rsid w:val="00F16019"/>
    <w:rsid w:val="00F20E68"/>
    <w:rsid w:val="00F22093"/>
    <w:rsid w:val="00F236DF"/>
    <w:rsid w:val="00F43AD5"/>
    <w:rsid w:val="00F4402E"/>
    <w:rsid w:val="00F465EB"/>
    <w:rsid w:val="00F5412D"/>
    <w:rsid w:val="00F56DD0"/>
    <w:rsid w:val="00F6491C"/>
    <w:rsid w:val="00F67BBB"/>
    <w:rsid w:val="00F72E0D"/>
    <w:rsid w:val="00F87D92"/>
    <w:rsid w:val="00F90AA7"/>
    <w:rsid w:val="00F92498"/>
    <w:rsid w:val="00F9496B"/>
    <w:rsid w:val="00F970C9"/>
    <w:rsid w:val="00FA06A8"/>
    <w:rsid w:val="00FA3DF5"/>
    <w:rsid w:val="00FA65B7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854E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4E8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4E8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4E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4E8E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6B70A0"/>
    <w:pPr>
      <w:ind w:left="720"/>
      <w:contextualSpacing/>
    </w:pPr>
  </w:style>
  <w:style w:type="paragraph" w:styleId="Revision">
    <w:name w:val="Revision"/>
    <w:hidden/>
    <w:uiPriority w:val="99"/>
    <w:semiHidden/>
    <w:rsid w:val="00A75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E2AC0ED9FFA431B9CD4860E024EE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5D05D-D7AA-49DD-835C-95D9373911A0}"/>
      </w:docPartPr>
      <w:docPartBody>
        <w:p w:rsidR="000A4AE5" w:rsidRDefault="00BD3CD9" w:rsidP="00BD3CD9">
          <w:pPr>
            <w:pStyle w:val="DE2AC0ED9FFA431B9CD4860E024EE52A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4E35374857774A368CBA9B2582B585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43BFB4-9DE2-4E9C-AA45-37A15F7430A0}"/>
      </w:docPartPr>
      <w:docPartBody>
        <w:p w:rsidR="00D256F7" w:rsidRDefault="001271DB" w:rsidP="001271DB">
          <w:pPr>
            <w:pStyle w:val="4E35374857774A368CBA9B2582B5851B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DE3066996D14B0784C6AD5548288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B10E14-C763-41DD-9C9E-A59FEFC889CB}"/>
      </w:docPartPr>
      <w:docPartBody>
        <w:p w:rsidR="00D442B3" w:rsidRDefault="00FA48B9" w:rsidP="00FA48B9">
          <w:pPr>
            <w:pStyle w:val="BDE3066996D14B0784C6AD5548288F0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4AE5"/>
    <w:rsid w:val="001271DB"/>
    <w:rsid w:val="008B4C18"/>
    <w:rsid w:val="00AF7599"/>
    <w:rsid w:val="00BD3CD9"/>
    <w:rsid w:val="00D21A9F"/>
    <w:rsid w:val="00D256F7"/>
    <w:rsid w:val="00D35DA0"/>
    <w:rsid w:val="00D442B3"/>
    <w:rsid w:val="00FA48B9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A48B9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E2AC0ED9FFA431B9CD4860E024EE52A">
    <w:name w:val="DE2AC0ED9FFA431B9CD4860E024EE52A"/>
    <w:rsid w:val="00BD3CD9"/>
  </w:style>
  <w:style w:type="paragraph" w:customStyle="1" w:styleId="4E35374857774A368CBA9B2582B5851B">
    <w:name w:val="4E35374857774A368CBA9B2582B5851B"/>
    <w:rsid w:val="001271DB"/>
  </w:style>
  <w:style w:type="paragraph" w:customStyle="1" w:styleId="BDE3066996D14B0784C6AD5548288F08">
    <w:name w:val="BDE3066996D14B0784C6AD5548288F08"/>
    <w:rsid w:val="00FA48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D7A41-8DC2-410C-8663-78A2A66C3450}">
  <ds:schemaRefs>
    <ds:schemaRef ds:uri="http://purl.org/dc/dcmitype/"/>
    <ds:schemaRef ds:uri="http://schemas.microsoft.com/office/infopath/2007/PartnerControls"/>
    <ds:schemaRef ds:uri="1c567317-0c4d-4a62-8516-c22afd1b5354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a0509f21-ed56-4150-9955-96be669e5f2d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D3EC46-6859-48C3-AD70-A8394A4F75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4EB250-6C41-4590-9DE6-C357D2B120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48BAAD-79B2-4783-9CC3-82BFA203C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1620</Words>
  <Characters>9434</Characters>
  <Application>Microsoft Office Word</Application>
  <DocSecurity>0</DocSecurity>
  <Lines>314</Lines>
  <Paragraphs>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2019-12-15T23:32:00Z</dcterms:created>
  <dcterms:modified xsi:type="dcterms:W3CDTF">2026-01-09T01:22:00Z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2025-12-23T03:51:58Z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86ef610b-ed91-4a91-8553-bcc8b3dfc5c5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