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E355EB" w14:textId="1C71355C" w:rsidR="00BD499F" w:rsidRPr="004C23F4" w:rsidRDefault="0086653A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F528DD" w:rsidRPr="009F2725">
            <w:rPr>
              <w:rFonts w:ascii="Arial" w:hAnsi="Arial" w:cs="Arial"/>
            </w:rPr>
            <w:t>Iron oxide fume</w:t>
          </w:r>
          <w:r w:rsidR="0018581F">
            <w:rPr>
              <w:rFonts w:ascii="Arial" w:hAnsi="Arial" w:cs="Arial"/>
            </w:rPr>
            <w:t xml:space="preserve"> and DUST</w:t>
          </w:r>
          <w:r w:rsidR="00F528DD" w:rsidRPr="009F2725">
            <w:rPr>
              <w:rFonts w:ascii="Arial" w:hAnsi="Arial" w:cs="Arial"/>
            </w:rPr>
            <w:t xml:space="preserve"> (</w:t>
          </w:r>
          <w:proofErr w:type="spellStart"/>
          <w:r w:rsidR="009F2725" w:rsidRPr="009F2725">
            <w:rPr>
              <w:rFonts w:ascii="Arial" w:hAnsi="Arial" w:cs="Arial"/>
              <w:caps w:val="0"/>
            </w:rPr>
            <w:t>FE2O3</w:t>
          </w:r>
          <w:proofErr w:type="spellEnd"/>
          <w:r w:rsidR="00F528DD" w:rsidRPr="009F2725">
            <w:rPr>
              <w:rFonts w:ascii="Arial" w:hAnsi="Arial" w:cs="Arial"/>
            </w:rPr>
            <w:t>) (as Fe)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3E9F14E7" w14:textId="77777777" w:rsidTr="00636429">
        <w:trPr>
          <w:cantSplit/>
          <w:tblHeader/>
        </w:trPr>
        <w:tc>
          <w:tcPr>
            <w:tcW w:w="3989" w:type="dxa"/>
          </w:tcPr>
          <w:p w14:paraId="3E63FEC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1D32BD91" w14:textId="0FD350B0" w:rsidR="00F43AD5" w:rsidRPr="00717D45" w:rsidRDefault="004114F0" w:rsidP="00B76A41">
            <w:pPr>
              <w:pStyle w:val="Tablefont"/>
            </w:pPr>
            <w:r w:rsidRPr="004114F0">
              <w:t>1309-37-1</w:t>
            </w:r>
          </w:p>
        </w:tc>
      </w:tr>
      <w:tr w:rsidR="00F43AD5" w:rsidRPr="004C23F4" w14:paraId="5F92C15A" w14:textId="77777777" w:rsidTr="00636429">
        <w:trPr>
          <w:cantSplit/>
        </w:trPr>
        <w:tc>
          <w:tcPr>
            <w:tcW w:w="3989" w:type="dxa"/>
          </w:tcPr>
          <w:p w14:paraId="77F1C8B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7" w:type="dxa"/>
          </w:tcPr>
          <w:p w14:paraId="11AE1CC7" w14:textId="2C0E8BD7" w:rsidR="00F43AD5" w:rsidRPr="00717D45" w:rsidRDefault="004114F0" w:rsidP="00B76A41">
            <w:pPr>
              <w:pStyle w:val="Tablefont"/>
            </w:pPr>
            <w:r>
              <w:t>Ferric oxide, h</w:t>
            </w:r>
            <w:r w:rsidR="0059142D">
              <w:t>a</w:t>
            </w:r>
            <w:r>
              <w:t xml:space="preserve">ematite, burnt umber, </w:t>
            </w:r>
            <w:r w:rsidR="0059142D">
              <w:t>rouge</w:t>
            </w:r>
            <w:r w:rsidR="0018581F">
              <w:t xml:space="preserve"> dust</w:t>
            </w:r>
          </w:p>
        </w:tc>
      </w:tr>
      <w:tr w:rsidR="00F43AD5" w:rsidRPr="004C23F4" w14:paraId="3E4CC6A0" w14:textId="77777777" w:rsidTr="00636429">
        <w:trPr>
          <w:cantSplit/>
        </w:trPr>
        <w:tc>
          <w:tcPr>
            <w:tcW w:w="3989" w:type="dxa"/>
          </w:tcPr>
          <w:p w14:paraId="1C10895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41719ACF" w14:textId="19CAF593" w:rsidR="00F43AD5" w:rsidRPr="00717D45" w:rsidRDefault="004114F0" w:rsidP="00B76A41">
            <w:pPr>
              <w:pStyle w:val="Tablefont"/>
            </w:pPr>
            <w:proofErr w:type="spellStart"/>
            <w:r>
              <w:t>Fe</w:t>
            </w:r>
            <w:r w:rsidRPr="004114F0">
              <w:rPr>
                <w:vertAlign w:val="subscript"/>
              </w:rPr>
              <w:t>2</w:t>
            </w:r>
            <w:r>
              <w:t>O</w:t>
            </w:r>
            <w:r w:rsidRPr="004114F0">
              <w:rPr>
                <w:vertAlign w:val="subscript"/>
              </w:rPr>
              <w:t>3</w:t>
            </w:r>
            <w:proofErr w:type="spellEnd"/>
          </w:p>
        </w:tc>
      </w:tr>
    </w:tbl>
    <w:p w14:paraId="62110D92" w14:textId="2D7BF1C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02393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083C84EB" w14:textId="77777777" w:rsidTr="0018581F">
        <w:trPr>
          <w:cantSplit/>
          <w:tblHeader/>
        </w:trPr>
        <w:tc>
          <w:tcPr>
            <w:tcW w:w="3997" w:type="dxa"/>
            <w:vAlign w:val="center"/>
          </w:tcPr>
          <w:p w14:paraId="43427F4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9" w:type="dxa"/>
          </w:tcPr>
          <w:p w14:paraId="69193CC0" w14:textId="7C882517" w:rsidR="002C7AFE" w:rsidRPr="00921F19" w:rsidRDefault="00F02393" w:rsidP="00017C82">
            <w:pPr>
              <w:pStyle w:val="Tablefont"/>
              <w:rPr>
                <w:b/>
              </w:rPr>
            </w:pPr>
            <w:r w:rsidRPr="00F02393">
              <w:rPr>
                <w:b/>
              </w:rPr>
              <w:t>5 mg/</w:t>
            </w:r>
            <w:proofErr w:type="spellStart"/>
            <w:r w:rsidRPr="00F02393">
              <w:rPr>
                <w:b/>
              </w:rPr>
              <w:t>m</w:t>
            </w:r>
            <w:r w:rsidRPr="00F02393">
              <w:rPr>
                <w:b/>
                <w:vertAlign w:val="superscript"/>
              </w:rPr>
              <w:t>3</w:t>
            </w:r>
            <w:proofErr w:type="spellEnd"/>
            <w:r w:rsidR="00921F19">
              <w:rPr>
                <w:b/>
              </w:rPr>
              <w:t xml:space="preserve"> (as Fe, respirable particulate fraction)</w:t>
            </w:r>
          </w:p>
        </w:tc>
      </w:tr>
      <w:tr w:rsidR="002C7AFE" w:rsidRPr="004C23F4" w14:paraId="4FA03215" w14:textId="77777777" w:rsidTr="0018581F">
        <w:trPr>
          <w:cantSplit/>
        </w:trPr>
        <w:tc>
          <w:tcPr>
            <w:tcW w:w="3997" w:type="dxa"/>
            <w:vAlign w:val="center"/>
          </w:tcPr>
          <w:p w14:paraId="14C3E5D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9" w:type="dxa"/>
          </w:tcPr>
          <w:p w14:paraId="3A54507A" w14:textId="6F6379E6" w:rsidR="002C7AFE" w:rsidRPr="00EB3D1B" w:rsidRDefault="00F0239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BFCEE33" w14:textId="77777777" w:rsidTr="0018581F">
        <w:trPr>
          <w:cantSplit/>
        </w:trPr>
        <w:tc>
          <w:tcPr>
            <w:tcW w:w="3997" w:type="dxa"/>
            <w:vAlign w:val="center"/>
          </w:tcPr>
          <w:p w14:paraId="4FAE40B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9" w:type="dxa"/>
          </w:tcPr>
          <w:p w14:paraId="6AF4CA2C" w14:textId="650600D1" w:rsidR="002C7AFE" w:rsidRPr="00EB3D1B" w:rsidRDefault="00F0239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9B7E7FC" w14:textId="77777777" w:rsidTr="0018581F">
        <w:trPr>
          <w:cantSplit/>
        </w:trPr>
        <w:tc>
          <w:tcPr>
            <w:tcW w:w="3997" w:type="dxa"/>
          </w:tcPr>
          <w:p w14:paraId="414AE9E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9" w:type="dxa"/>
          </w:tcPr>
          <w:p w14:paraId="71FB1DEC" w14:textId="12552ABC" w:rsidR="002C7AFE" w:rsidRPr="00EB3D1B" w:rsidRDefault="00F02393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7730B05" w14:textId="77777777" w:rsidTr="0018581F">
        <w:trPr>
          <w:cantSplit/>
        </w:trPr>
        <w:tc>
          <w:tcPr>
            <w:tcW w:w="3997" w:type="dxa"/>
            <w:vAlign w:val="center"/>
          </w:tcPr>
          <w:p w14:paraId="2F4B9520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9" w:type="dxa"/>
          </w:tcPr>
          <w:p w14:paraId="01A4B9A8" w14:textId="4905E1C7" w:rsidR="002C7AFE" w:rsidRPr="00EB3D1B" w:rsidRDefault="00066F2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8581F" w:rsidRPr="004C23F4" w14:paraId="0A5D96E7" w14:textId="77777777" w:rsidTr="00867705">
        <w:trPr>
          <w:cantSplit/>
        </w:trPr>
        <w:tc>
          <w:tcPr>
            <w:tcW w:w="9026" w:type="dxa"/>
            <w:gridSpan w:val="2"/>
            <w:vAlign w:val="center"/>
          </w:tcPr>
          <w:p w14:paraId="0D8D8CC2" w14:textId="502CFC09" w:rsidR="0018581F" w:rsidRPr="00EB3D1B" w:rsidRDefault="0018581F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B33DFF6E10640B8B32075FDF0B150A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372E26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D68DC29" w14:textId="45B1BEBF" w:rsidR="0087568A" w:rsidRDefault="00F02393" w:rsidP="000C139A">
      <w:pPr>
        <w:rPr>
          <w:rFonts w:cs="Arial"/>
        </w:rPr>
      </w:pPr>
      <w:r w:rsidRPr="00F02393">
        <w:rPr>
          <w:rFonts w:cs="Arial"/>
        </w:rPr>
        <w:t>A</w:t>
      </w:r>
      <w:r w:rsidR="00636429">
        <w:rPr>
          <w:rFonts w:cs="Arial"/>
        </w:rPr>
        <w:t>n interim</w:t>
      </w:r>
      <w:r w:rsidRPr="00F02393">
        <w:rPr>
          <w:rFonts w:cs="Arial"/>
        </w:rPr>
        <w:t xml:space="preserve"> TWA of </w:t>
      </w:r>
      <w:r>
        <w:rPr>
          <w:rFonts w:cs="Arial"/>
        </w:rPr>
        <w:t xml:space="preserve">5 </w:t>
      </w:r>
      <w:r w:rsidRPr="00F02393">
        <w:rPr>
          <w:rFonts w:cs="Arial"/>
        </w:rPr>
        <w:t>mg/</w:t>
      </w:r>
      <w:proofErr w:type="spellStart"/>
      <w:r w:rsidRPr="00F02393">
        <w:rPr>
          <w:rFonts w:cs="Arial"/>
        </w:rPr>
        <w:t>m</w:t>
      </w:r>
      <w:r w:rsidRPr="00F02393">
        <w:rPr>
          <w:rFonts w:cs="Arial"/>
          <w:vertAlign w:val="superscript"/>
        </w:rPr>
        <w:t>3</w:t>
      </w:r>
      <w:proofErr w:type="spellEnd"/>
      <w:r w:rsidRPr="00F02393">
        <w:rPr>
          <w:rFonts w:cs="Arial"/>
        </w:rPr>
        <w:t xml:space="preserve"> </w:t>
      </w:r>
      <w:r w:rsidR="00921F19">
        <w:rPr>
          <w:rFonts w:cs="Arial"/>
        </w:rPr>
        <w:t xml:space="preserve">for respirable particulate matter </w:t>
      </w:r>
      <w:r w:rsidRPr="00F02393">
        <w:rPr>
          <w:rFonts w:cs="Arial"/>
        </w:rPr>
        <w:t xml:space="preserve">is recommended to protect </w:t>
      </w:r>
      <w:r>
        <w:rPr>
          <w:rFonts w:cs="Arial"/>
        </w:rPr>
        <w:t xml:space="preserve">for lung inflammation and pulmonary siderosis in exposed workers. </w:t>
      </w:r>
    </w:p>
    <w:p w14:paraId="1F1500F8" w14:textId="7FF176D6" w:rsidR="00F02393" w:rsidRPr="004C23F4" w:rsidRDefault="00F02393" w:rsidP="000C139A">
      <w:pPr>
        <w:rPr>
          <w:rFonts w:cs="Arial"/>
        </w:rPr>
      </w:pPr>
      <w:r w:rsidRPr="007E45DB">
        <w:rPr>
          <w:rFonts w:cs="Arial"/>
        </w:rPr>
        <w:t>A priority review of the data for the chemical in the next scheduled review of the workplace exposure standards is recommended.</w:t>
      </w:r>
    </w:p>
    <w:p w14:paraId="762BCF6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AA9CAF6" w14:textId="634EFA1B" w:rsidR="00636429" w:rsidRDefault="00C13B0C" w:rsidP="006639B4">
      <w:pPr>
        <w:rPr>
          <w:rFonts w:cs="Arial"/>
        </w:rPr>
      </w:pPr>
      <w:r>
        <w:rPr>
          <w:rFonts w:cs="Arial"/>
        </w:rPr>
        <w:t xml:space="preserve">Iron oxide is used as a polish, </w:t>
      </w:r>
      <w:r w:rsidR="00C62620">
        <w:rPr>
          <w:rFonts w:cs="Arial"/>
        </w:rPr>
        <w:t xml:space="preserve">a </w:t>
      </w:r>
      <w:r>
        <w:rPr>
          <w:rFonts w:cs="Arial"/>
        </w:rPr>
        <w:t xml:space="preserve">pigment, </w:t>
      </w:r>
      <w:r w:rsidR="005034BA">
        <w:rPr>
          <w:rFonts w:cs="Arial"/>
        </w:rPr>
        <w:t xml:space="preserve">a </w:t>
      </w:r>
      <w:r w:rsidR="0085278E">
        <w:rPr>
          <w:rFonts w:cs="Arial"/>
        </w:rPr>
        <w:t xml:space="preserve">component of cement and as a </w:t>
      </w:r>
      <w:r>
        <w:rPr>
          <w:rFonts w:cs="Arial"/>
        </w:rPr>
        <w:t>catalyst</w:t>
      </w:r>
      <w:r w:rsidR="0085278E">
        <w:rPr>
          <w:rFonts w:cs="Arial"/>
        </w:rPr>
        <w:t xml:space="preserve">. It is also used in </w:t>
      </w:r>
      <w:r w:rsidR="00C62620">
        <w:rPr>
          <w:rFonts w:cs="Arial"/>
        </w:rPr>
        <w:t xml:space="preserve">electronics </w:t>
      </w:r>
      <w:r>
        <w:rPr>
          <w:rFonts w:cs="Arial"/>
        </w:rPr>
        <w:t xml:space="preserve">and may be present in welding fumes. </w:t>
      </w:r>
    </w:p>
    <w:p w14:paraId="0465AC05" w14:textId="11BA7B49" w:rsidR="00C13B0C" w:rsidRDefault="00C13B0C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636429">
        <w:rPr>
          <w:rFonts w:cs="Arial"/>
        </w:rPr>
        <w:t xml:space="preserve">of exposure </w:t>
      </w:r>
      <w:r>
        <w:rPr>
          <w:rFonts w:cs="Arial"/>
        </w:rPr>
        <w:t>are inflammatory responses in the lungs and pulmonary siderosis.</w:t>
      </w:r>
      <w:r w:rsidR="00636429">
        <w:rPr>
          <w:rFonts w:cs="Arial"/>
        </w:rPr>
        <w:t xml:space="preserve"> </w:t>
      </w:r>
      <w:r>
        <w:rPr>
          <w:rFonts w:cs="Arial"/>
        </w:rPr>
        <w:t>Findings of the available epidemiological data are frequently confounded by mixed exposures to silica, diesel exhaust, radioactive materials</w:t>
      </w:r>
      <w:r w:rsidR="0063269C">
        <w:rPr>
          <w:rFonts w:cs="Arial"/>
        </w:rPr>
        <w:t xml:space="preserve"> in mining-related exposures</w:t>
      </w:r>
      <w:r>
        <w:rPr>
          <w:rFonts w:cs="Arial"/>
        </w:rPr>
        <w:t xml:space="preserve"> </w:t>
      </w:r>
      <w:r w:rsidR="0063269C">
        <w:rPr>
          <w:rFonts w:cs="Arial"/>
        </w:rPr>
        <w:t>or</w:t>
      </w:r>
      <w:r>
        <w:rPr>
          <w:rFonts w:cs="Arial"/>
        </w:rPr>
        <w:t xml:space="preserve"> other </w:t>
      </w:r>
      <w:r w:rsidR="0063269C">
        <w:rPr>
          <w:rFonts w:cs="Arial"/>
        </w:rPr>
        <w:t>metal</w:t>
      </w:r>
      <w:r w:rsidR="006B2875">
        <w:rPr>
          <w:rFonts w:cs="Arial"/>
        </w:rPr>
        <w:t>s</w:t>
      </w:r>
      <w:r w:rsidR="0063269C">
        <w:rPr>
          <w:rFonts w:cs="Arial"/>
        </w:rPr>
        <w:t xml:space="preserve"> in</w:t>
      </w:r>
      <w:r>
        <w:rPr>
          <w:rFonts w:cs="Arial"/>
        </w:rPr>
        <w:t xml:space="preserve"> </w:t>
      </w:r>
      <w:r w:rsidR="006B2875">
        <w:rPr>
          <w:rFonts w:cs="Arial"/>
        </w:rPr>
        <w:t>studies of</w:t>
      </w:r>
      <w:r w:rsidR="0063269C">
        <w:rPr>
          <w:rFonts w:cs="Arial"/>
        </w:rPr>
        <w:t xml:space="preserve"> </w:t>
      </w:r>
      <w:r>
        <w:rPr>
          <w:rFonts w:cs="Arial"/>
        </w:rPr>
        <w:t>welding</w:t>
      </w:r>
      <w:r w:rsidR="0063269C">
        <w:rPr>
          <w:rFonts w:cs="Arial"/>
        </w:rPr>
        <w:t xml:space="preserve"> </w:t>
      </w:r>
      <w:r w:rsidR="006B2875">
        <w:rPr>
          <w:rFonts w:cs="Arial"/>
        </w:rPr>
        <w:t>fume exposures</w:t>
      </w:r>
      <w:r>
        <w:rPr>
          <w:rFonts w:cs="Arial"/>
        </w:rPr>
        <w:t>.</w:t>
      </w:r>
      <w:r w:rsidR="00CE1362">
        <w:rPr>
          <w:rFonts w:cs="Arial"/>
        </w:rPr>
        <w:t xml:space="preserve"> Chronic </w:t>
      </w:r>
      <w:r w:rsidR="006B2875">
        <w:rPr>
          <w:rFonts w:cs="Arial"/>
        </w:rPr>
        <w:t>inhalation</w:t>
      </w:r>
      <w:r w:rsidR="00CE1362">
        <w:rPr>
          <w:rFonts w:cs="Arial"/>
        </w:rPr>
        <w:t xml:space="preserve"> above 10 mg/</w:t>
      </w:r>
      <w:proofErr w:type="spellStart"/>
      <w:r w:rsidR="00CE1362">
        <w:rPr>
          <w:rFonts w:cs="Arial"/>
        </w:rPr>
        <w:t>m</w:t>
      </w:r>
      <w:r w:rsidR="00CE1362">
        <w:rPr>
          <w:rFonts w:cs="Arial"/>
          <w:vertAlign w:val="superscript"/>
        </w:rPr>
        <w:t>3</w:t>
      </w:r>
      <w:proofErr w:type="spellEnd"/>
      <w:r w:rsidR="00636429">
        <w:rPr>
          <w:rFonts w:cs="Arial"/>
        </w:rPr>
        <w:t xml:space="preserve"> is</w:t>
      </w:r>
      <w:r w:rsidR="00CE1362">
        <w:rPr>
          <w:rFonts w:cs="Arial"/>
        </w:rPr>
        <w:t xml:space="preserve"> assoc</w:t>
      </w:r>
      <w:r w:rsidR="008A1CD5">
        <w:rPr>
          <w:rFonts w:cs="Arial"/>
        </w:rPr>
        <w:t xml:space="preserve">iated with the development of a </w:t>
      </w:r>
      <w:r w:rsidR="00CE1362">
        <w:rPr>
          <w:rFonts w:cs="Arial"/>
        </w:rPr>
        <w:t>benign form of pulmonary siderosis that produces radiographic changes in the lungs of exposed workers</w:t>
      </w:r>
      <w:r w:rsidR="008A1CD5">
        <w:rPr>
          <w:rFonts w:cs="Arial"/>
        </w:rPr>
        <w:t xml:space="preserve"> (</w:t>
      </w:r>
      <w:proofErr w:type="spellStart"/>
      <w:r w:rsidR="008A1CD5">
        <w:rPr>
          <w:rFonts w:cs="Arial"/>
        </w:rPr>
        <w:t>ACGIH</w:t>
      </w:r>
      <w:proofErr w:type="spellEnd"/>
      <w:r w:rsidR="008A1CD5">
        <w:rPr>
          <w:rFonts w:cs="Arial"/>
        </w:rPr>
        <w:t>, 2018)</w:t>
      </w:r>
      <w:r w:rsidR="00CE1362">
        <w:rPr>
          <w:rFonts w:cs="Arial"/>
        </w:rPr>
        <w:t>.</w:t>
      </w:r>
      <w:r>
        <w:rPr>
          <w:rFonts w:cs="Arial"/>
        </w:rPr>
        <w:t xml:space="preserve"> A retrospective cohort study showed that </w:t>
      </w:r>
      <w:r w:rsidR="00CE1362">
        <w:rPr>
          <w:rFonts w:cs="Arial"/>
        </w:rPr>
        <w:t xml:space="preserve">elimination of </w:t>
      </w:r>
      <w:r w:rsidR="006B2875">
        <w:rPr>
          <w:rFonts w:cs="Arial"/>
        </w:rPr>
        <w:t>such</w:t>
      </w:r>
      <w:r w:rsidR="00CE1362">
        <w:rPr>
          <w:rFonts w:cs="Arial"/>
        </w:rPr>
        <w:t xml:space="preserve"> co-exposures </w:t>
      </w:r>
      <w:r w:rsidR="0046200B">
        <w:rPr>
          <w:rFonts w:cs="Arial"/>
        </w:rPr>
        <w:t>at</w:t>
      </w:r>
      <w:r w:rsidR="00CE1362">
        <w:rPr>
          <w:rFonts w:cs="Arial"/>
        </w:rPr>
        <w:t xml:space="preserve"> a mining site did </w:t>
      </w:r>
      <w:r w:rsidR="0046200B">
        <w:rPr>
          <w:rFonts w:cs="Arial"/>
        </w:rPr>
        <w:t xml:space="preserve">not lead to excess lung cancers </w:t>
      </w:r>
      <w:r w:rsidR="00CE1362">
        <w:rPr>
          <w:rFonts w:cs="Arial"/>
        </w:rPr>
        <w:t>(</w:t>
      </w:r>
      <w:proofErr w:type="spellStart"/>
      <w:r w:rsidR="00CE1362">
        <w:rPr>
          <w:rFonts w:cs="Arial"/>
        </w:rPr>
        <w:t>ACGIH</w:t>
      </w:r>
      <w:proofErr w:type="spellEnd"/>
      <w:r w:rsidR="00CE1362">
        <w:rPr>
          <w:rFonts w:cs="Arial"/>
        </w:rPr>
        <w:t>, 2018). Experimental human and animal data provide evidence for inflammatory</w:t>
      </w:r>
      <w:r w:rsidR="0046200B">
        <w:rPr>
          <w:rFonts w:cs="Arial"/>
        </w:rPr>
        <w:t xml:space="preserve"> </w:t>
      </w:r>
      <w:r w:rsidR="00066F21">
        <w:rPr>
          <w:rFonts w:cs="Arial"/>
        </w:rPr>
        <w:t>reactions</w:t>
      </w:r>
      <w:r w:rsidR="0046200B">
        <w:rPr>
          <w:rFonts w:cs="Arial"/>
        </w:rPr>
        <w:t xml:space="preserve"> in the lungs, which may be elicited by </w:t>
      </w:r>
      <w:r w:rsidR="00066F21">
        <w:rPr>
          <w:rFonts w:cs="Arial"/>
        </w:rPr>
        <w:t xml:space="preserve">responses to </w:t>
      </w:r>
      <w:r w:rsidR="0046200B">
        <w:rPr>
          <w:rFonts w:cs="Arial"/>
        </w:rPr>
        <w:t xml:space="preserve">both mechanical and chemical </w:t>
      </w:r>
      <w:r w:rsidR="00066F21">
        <w:rPr>
          <w:rFonts w:cs="Arial"/>
        </w:rPr>
        <w:t>toxicity (</w:t>
      </w:r>
      <w:proofErr w:type="spellStart"/>
      <w:r w:rsidR="00066F21">
        <w:rPr>
          <w:rFonts w:cs="Arial"/>
        </w:rPr>
        <w:t>ACGIH</w:t>
      </w:r>
      <w:proofErr w:type="spellEnd"/>
      <w:r w:rsidR="00066F21">
        <w:rPr>
          <w:rFonts w:cs="Arial"/>
        </w:rPr>
        <w:t xml:space="preserve">, 2018; </w:t>
      </w:r>
      <w:proofErr w:type="spellStart"/>
      <w:r w:rsidR="00066F21">
        <w:rPr>
          <w:rFonts w:cs="Arial"/>
        </w:rPr>
        <w:t>DFG</w:t>
      </w:r>
      <w:proofErr w:type="spellEnd"/>
      <w:r w:rsidR="00066F21">
        <w:rPr>
          <w:rFonts w:cs="Arial"/>
        </w:rPr>
        <w:t>, 2011). At high repeated intratracheal doses in animals, these inflammatory responses have been associated with tumorigenicity (</w:t>
      </w:r>
      <w:proofErr w:type="spellStart"/>
      <w:r w:rsidR="00066F21">
        <w:rPr>
          <w:rFonts w:cs="Arial"/>
        </w:rPr>
        <w:t>DFG</w:t>
      </w:r>
      <w:proofErr w:type="spellEnd"/>
      <w:r w:rsidR="00066F21">
        <w:rPr>
          <w:rFonts w:cs="Arial"/>
        </w:rPr>
        <w:t xml:space="preserve">, 2011). </w:t>
      </w:r>
      <w:r w:rsidR="006B2875">
        <w:rPr>
          <w:rFonts w:cs="Arial"/>
        </w:rPr>
        <w:t>However, i</w:t>
      </w:r>
      <w:r w:rsidR="00066F21">
        <w:rPr>
          <w:rFonts w:cs="Arial"/>
        </w:rPr>
        <w:t xml:space="preserve">t is unclear if residual solubility of deposited inhaled particulate matter is sufficient to </w:t>
      </w:r>
      <w:r w:rsidR="008F6DFA">
        <w:rPr>
          <w:rFonts w:cs="Arial"/>
        </w:rPr>
        <w:t>induce</w:t>
      </w:r>
      <w:r w:rsidR="00066F21">
        <w:rPr>
          <w:rFonts w:cs="Arial"/>
        </w:rPr>
        <w:t xml:space="preserve"> oxidative stress in exposed tissue.</w:t>
      </w:r>
    </w:p>
    <w:p w14:paraId="3FD3866E" w14:textId="77724341" w:rsidR="00066F21" w:rsidRPr="004C23F4" w:rsidRDefault="00636429" w:rsidP="00636429">
      <w:pPr>
        <w:rPr>
          <w:rFonts w:cs="Arial"/>
        </w:rPr>
      </w:pPr>
      <w:r>
        <w:rPr>
          <w:rFonts w:cs="Arial"/>
        </w:rPr>
        <w:t>An interim</w:t>
      </w:r>
      <w:r w:rsidR="008F6DFA">
        <w:rPr>
          <w:rFonts w:cs="Arial"/>
        </w:rPr>
        <w:t xml:space="preserve"> TWA of 5 mg/</w:t>
      </w:r>
      <w:proofErr w:type="spellStart"/>
      <w:r w:rsidR="008F6DFA" w:rsidRPr="008F6DFA">
        <w:rPr>
          <w:rFonts w:cs="Arial"/>
        </w:rPr>
        <w:t>m</w:t>
      </w:r>
      <w:r w:rsidR="008F6DFA" w:rsidRPr="008F6DFA">
        <w:rPr>
          <w:rFonts w:cs="Arial"/>
          <w:vertAlign w:val="superscript"/>
        </w:rPr>
        <w:t>3</w:t>
      </w:r>
      <w:proofErr w:type="spellEnd"/>
      <w:r w:rsidR="008F6DFA">
        <w:rPr>
          <w:rFonts w:cs="Arial"/>
        </w:rPr>
        <w:t xml:space="preserve"> </w:t>
      </w:r>
      <w:r w:rsidR="008F6DFA" w:rsidRPr="008F6DFA">
        <w:rPr>
          <w:rFonts w:cs="Arial"/>
        </w:rPr>
        <w:t>is</w:t>
      </w:r>
      <w:r w:rsidR="008F6DFA">
        <w:rPr>
          <w:rFonts w:cs="Arial"/>
        </w:rPr>
        <w:t xml:space="preserve"> </w:t>
      </w:r>
      <w:r>
        <w:rPr>
          <w:rFonts w:cs="Arial"/>
        </w:rPr>
        <w:t>recommended</w:t>
      </w:r>
      <w:r w:rsidR="008F6DFA">
        <w:rPr>
          <w:rFonts w:cs="Arial"/>
        </w:rPr>
        <w:t xml:space="preserve"> as it is expected to protect for inflammatory responses identified in human and animal </w:t>
      </w:r>
      <w:proofErr w:type="gramStart"/>
      <w:r w:rsidR="008F6DFA">
        <w:rPr>
          <w:rFonts w:cs="Arial"/>
        </w:rPr>
        <w:t>experiments, and</w:t>
      </w:r>
      <w:proofErr w:type="gramEnd"/>
      <w:r w:rsidR="008F6DFA">
        <w:rPr>
          <w:rFonts w:cs="Arial"/>
        </w:rPr>
        <w:t xml:space="preserve"> is lower than the concentrations reported in cases of chronic pulmonary siderosis in workers. </w:t>
      </w:r>
      <w:r w:rsidR="00C62620">
        <w:rPr>
          <w:rFonts w:cs="Arial"/>
        </w:rPr>
        <w:t>A p</w:t>
      </w:r>
      <w:r w:rsidR="008F6DFA">
        <w:rPr>
          <w:rFonts w:cs="Arial"/>
        </w:rPr>
        <w:t>rioritised review of the available carcinogenicity data</w:t>
      </w:r>
      <w:r w:rsidR="008A1CD5">
        <w:rPr>
          <w:rFonts w:cs="Arial"/>
        </w:rPr>
        <w:t>,</w:t>
      </w:r>
      <w:r w:rsidR="008F6DFA">
        <w:rPr>
          <w:rFonts w:cs="Arial"/>
        </w:rPr>
        <w:t xml:space="preserve"> and therefore the suitability of the interim TWA</w:t>
      </w:r>
      <w:r w:rsidR="008A1CD5">
        <w:rPr>
          <w:rFonts w:cs="Arial"/>
        </w:rPr>
        <w:t>,</w:t>
      </w:r>
      <w:r w:rsidR="008F6DFA">
        <w:rPr>
          <w:rFonts w:cs="Arial"/>
        </w:rPr>
        <w:t xml:space="preserve"> is recommended during subsequent assessments.</w:t>
      </w:r>
    </w:p>
    <w:p w14:paraId="52C35253" w14:textId="77777777" w:rsidR="004529F0" w:rsidRPr="004C23F4" w:rsidRDefault="004529F0" w:rsidP="00636429">
      <w:pPr>
        <w:pStyle w:val="Heading2"/>
        <w:keepNext w:val="0"/>
      </w:pPr>
      <w:r>
        <w:lastRenderedPageBreak/>
        <w:t>Recommendation for notations</w:t>
      </w:r>
    </w:p>
    <w:p w14:paraId="7F12335E" w14:textId="042F0EA1" w:rsidR="004114F0" w:rsidRDefault="004114F0" w:rsidP="00636429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5034BA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78499A80" w14:textId="05BFCE34" w:rsidR="004114F0" w:rsidRDefault="004114F0" w:rsidP="00636429">
      <w:pPr>
        <w:rPr>
          <w:rFonts w:cs="Arial"/>
        </w:rPr>
      </w:pPr>
      <w:r>
        <w:rPr>
          <w:rFonts w:cs="Arial"/>
        </w:rPr>
        <w:t>Not classified as a skin</w:t>
      </w:r>
      <w:r w:rsidR="005034BA" w:rsidRPr="005034BA">
        <w:rPr>
          <w:rFonts w:cs="Arial"/>
        </w:rPr>
        <w:t xml:space="preserve"> </w:t>
      </w:r>
      <w:r w:rsidR="005034BA">
        <w:rPr>
          <w:rFonts w:cs="Arial"/>
        </w:rPr>
        <w:t>sensitiser</w:t>
      </w:r>
      <w:r>
        <w:rPr>
          <w:rFonts w:cs="Arial"/>
        </w:rPr>
        <w:t xml:space="preserve"> or respiratory sensitiser according to the GHS.</w:t>
      </w:r>
    </w:p>
    <w:p w14:paraId="3AB91C5B" w14:textId="0F70B291" w:rsidR="004114F0" w:rsidRDefault="002C28E7" w:rsidP="00636429">
      <w:pPr>
        <w:rPr>
          <w:rFonts w:cs="Arial"/>
        </w:rPr>
      </w:pPr>
      <w:r>
        <w:rPr>
          <w:rFonts w:cs="Arial"/>
        </w:rPr>
        <w:t>There are</w:t>
      </w:r>
      <w:r w:rsidR="00AC597C">
        <w:rPr>
          <w:rFonts w:cs="Arial"/>
        </w:rPr>
        <w:t xml:space="preserve"> i</w:t>
      </w:r>
      <w:r w:rsidR="004114F0">
        <w:rPr>
          <w:rFonts w:cs="Arial"/>
        </w:rPr>
        <w:t xml:space="preserve">nsufficient </w:t>
      </w:r>
      <w:r w:rsidR="00AC597C">
        <w:rPr>
          <w:rFonts w:cs="Arial"/>
        </w:rPr>
        <w:t xml:space="preserve">data </w:t>
      </w:r>
      <w:r w:rsidR="004114F0">
        <w:rPr>
          <w:rFonts w:cs="Arial"/>
        </w:rPr>
        <w:t>to recommend a skin notation.</w:t>
      </w:r>
    </w:p>
    <w:p w14:paraId="12069E79" w14:textId="77777777" w:rsidR="0025734A" w:rsidRPr="004C23F4" w:rsidRDefault="0025734A">
      <w:pPr>
        <w:rPr>
          <w:rFonts w:cs="Arial"/>
        </w:rPr>
      </w:pPr>
    </w:p>
    <w:p w14:paraId="29D4EA0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8225CC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94E9A3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4D2ABC3" w14:textId="77777777" w:rsidTr="00D20870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77EC18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CC02908" w14:textId="77777777" w:rsidTr="00D20870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1142444" w14:textId="2F4655B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114F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114F0">
                  <w:t>TWA: 5 mg/</w:t>
                </w:r>
                <w:proofErr w:type="spellStart"/>
                <w:r w:rsidR="004114F0">
                  <w:t>m</w:t>
                </w:r>
                <w:r w:rsidR="004114F0" w:rsidRPr="004114F0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4E700FB4" w14:textId="77777777" w:rsidTr="00D20870">
        <w:trPr>
          <w:gridAfter w:val="1"/>
          <w:wAfter w:w="8" w:type="pct"/>
        </w:trPr>
        <w:tc>
          <w:tcPr>
            <w:tcW w:w="4992" w:type="pct"/>
          </w:tcPr>
          <w:p w14:paraId="52F2FA1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44CF2D6" w14:textId="77777777" w:rsidTr="00D2087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C1748B4" w14:textId="6A1CBDC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114F0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114F0">
                  <w:t>TLV-TWA: 5 mg/</w:t>
                </w:r>
                <w:proofErr w:type="spellStart"/>
                <w:r w:rsidR="004114F0">
                  <w:t>m</w:t>
                </w:r>
                <w:r w:rsidR="004114F0" w:rsidRPr="00D47824">
                  <w:rPr>
                    <w:vertAlign w:val="superscript"/>
                  </w:rPr>
                  <w:t>3</w:t>
                </w:r>
                <w:proofErr w:type="spellEnd"/>
              </w:sdtContent>
            </w:sdt>
            <w:r w:rsidR="0046200B">
              <w:t xml:space="preserve"> (respirable particulate fraction)</w:t>
            </w:r>
          </w:p>
        </w:tc>
      </w:tr>
      <w:tr w:rsidR="00C978F0" w:rsidRPr="00DA352E" w14:paraId="44F70972" w14:textId="77777777" w:rsidTr="00D20870">
        <w:trPr>
          <w:gridAfter w:val="1"/>
          <w:wAfter w:w="8" w:type="pct"/>
        </w:trPr>
        <w:tc>
          <w:tcPr>
            <w:tcW w:w="4992" w:type="pct"/>
          </w:tcPr>
          <w:p w14:paraId="10EAF1E4" w14:textId="4DEAF809" w:rsidR="00C978F0" w:rsidRDefault="009E165A" w:rsidP="003365A5">
            <w:pPr>
              <w:pStyle w:val="Tabletextprimarysource"/>
            </w:pPr>
            <w:r>
              <w:t xml:space="preserve">TLV-TWA </w:t>
            </w:r>
            <w:r w:rsidR="00C62620">
              <w:t xml:space="preserve">is </w:t>
            </w:r>
            <w:r>
              <w:t xml:space="preserve">intended to protect for non-specific inflammatory responses and radiographic lung changes from chronic exposures. </w:t>
            </w:r>
          </w:p>
          <w:p w14:paraId="12AB8F87" w14:textId="260D8BA0" w:rsidR="009E165A" w:rsidRDefault="009E165A" w:rsidP="003365A5">
            <w:pPr>
              <w:pStyle w:val="Tabletextprimarysource"/>
            </w:pPr>
            <w:r>
              <w:t>Summary of data:</w:t>
            </w:r>
          </w:p>
          <w:p w14:paraId="70B244E0" w14:textId="2A5649A7" w:rsidR="009E165A" w:rsidRPr="008B2BBF" w:rsidRDefault="009E165A" w:rsidP="003365A5">
            <w:pPr>
              <w:pStyle w:val="Tabletextprimarysource"/>
            </w:pPr>
            <w:r>
              <w:t xml:space="preserve">Chronic exposures lead to clinically benign pulmonary siderosis. The substance alone does not cause fibrotic </w:t>
            </w:r>
            <w:proofErr w:type="gramStart"/>
            <w:r>
              <w:t>changes, but</w:t>
            </w:r>
            <w:proofErr w:type="gramEnd"/>
            <w:r>
              <w:t xml:space="preserve"> causes mild inflammatory responses in the lungs.</w:t>
            </w:r>
            <w:r w:rsidR="0059142D">
              <w:t xml:space="preserve"> </w:t>
            </w:r>
            <w:r w:rsidR="000078B3">
              <w:t>TLV-TWA b</w:t>
            </w:r>
            <w:r w:rsidR="008B2BBF">
              <w:t>ased on weight of evidence that siderosis occurs between 10–700 mg/</w:t>
            </w:r>
            <w:proofErr w:type="spellStart"/>
            <w:r w:rsidR="008B2BBF">
              <w:t>m</w:t>
            </w:r>
            <w:r w:rsidR="008B2BBF">
              <w:rPr>
                <w:vertAlign w:val="superscript"/>
              </w:rPr>
              <w:t>3</w:t>
            </w:r>
            <w:proofErr w:type="spellEnd"/>
            <w:r w:rsidR="008B2BBF">
              <w:t xml:space="preserve"> in humans, and the onset of inflammatory responses occurs near 20 mg/</w:t>
            </w:r>
            <w:proofErr w:type="spellStart"/>
            <w:r w:rsidR="008B2BBF">
              <w:t>m</w:t>
            </w:r>
            <w:r w:rsidR="008B2BBF">
              <w:rPr>
                <w:vertAlign w:val="superscript"/>
              </w:rPr>
              <w:t>3</w:t>
            </w:r>
            <w:proofErr w:type="spellEnd"/>
            <w:r w:rsidR="008B2BBF">
              <w:t xml:space="preserve"> in animals</w:t>
            </w:r>
            <w:r w:rsidR="005034BA">
              <w:t>.</w:t>
            </w:r>
          </w:p>
          <w:p w14:paraId="44DB1A44" w14:textId="460AE1DA" w:rsidR="009E165A" w:rsidRDefault="009E165A" w:rsidP="003365A5">
            <w:pPr>
              <w:pStyle w:val="Tabletextprimarysource"/>
            </w:pPr>
            <w:r>
              <w:t>Human data:</w:t>
            </w:r>
          </w:p>
          <w:p w14:paraId="56D64B09" w14:textId="6A67FE26" w:rsidR="0059142D" w:rsidRPr="00F84683" w:rsidRDefault="00F84683" w:rsidP="000078B3">
            <w:pPr>
              <w:pStyle w:val="Tabletextprimarysource"/>
              <w:numPr>
                <w:ilvl w:val="0"/>
                <w:numId w:val="2"/>
              </w:numPr>
              <w:ind w:hanging="357"/>
            </w:pPr>
            <w:r w:rsidRPr="00F84683">
              <w:t xml:space="preserve">Transient alveolar inflammation in </w:t>
            </w:r>
            <w:r w:rsidR="00636429">
              <w:t>BAL</w:t>
            </w:r>
            <w:r w:rsidRPr="00F84683">
              <w:t xml:space="preserve"> </w:t>
            </w:r>
            <w:r w:rsidR="00636429">
              <w:t xml:space="preserve">fluid </w:t>
            </w:r>
            <w:r w:rsidR="00CB24E6">
              <w:t>at</w:t>
            </w:r>
            <w:r w:rsidRPr="00F84683">
              <w:t xml:space="preserve"> 5 mg instilled in lungs of volunteers (n=36), inflammatory response likely due to </w:t>
            </w:r>
            <w:r w:rsidR="00CB24E6">
              <w:t xml:space="preserve">residual </w:t>
            </w:r>
            <w:r w:rsidR="00CB24E6" w:rsidRPr="00F84683">
              <w:t>so</w:t>
            </w:r>
            <w:r w:rsidR="00CB24E6">
              <w:t xml:space="preserve">lubility of iron </w:t>
            </w:r>
          </w:p>
          <w:p w14:paraId="2A87481B" w14:textId="77C74487" w:rsidR="00B47326" w:rsidRDefault="00B47326" w:rsidP="000078B3">
            <w:pPr>
              <w:pStyle w:val="Tabletextprimarysource"/>
              <w:numPr>
                <w:ilvl w:val="0"/>
                <w:numId w:val="2"/>
              </w:numPr>
              <w:ind w:hanging="357"/>
            </w:pPr>
            <w:r>
              <w:t>Concomitant exposure to radon associated</w:t>
            </w:r>
            <w:r w:rsidR="000B48A4">
              <w:t xml:space="preserve"> with increased carcinogenicity</w:t>
            </w:r>
          </w:p>
          <w:p w14:paraId="0B63B225" w14:textId="50E2A183" w:rsidR="009B1033" w:rsidRDefault="009B1033" w:rsidP="000078B3">
            <w:pPr>
              <w:pStyle w:val="Tabletextprimarysource"/>
              <w:numPr>
                <w:ilvl w:val="0"/>
                <w:numId w:val="2"/>
              </w:numPr>
              <w:ind w:hanging="357"/>
            </w:pPr>
            <w:r>
              <w:t>Radiographic changes in lungs of welders not associated with any adverse clinical effects in several case studies (exposure concentrations and durations not specified)</w:t>
            </w:r>
          </w:p>
          <w:p w14:paraId="03440146" w14:textId="6777583E" w:rsidR="000B48A4" w:rsidRDefault="003B23DD" w:rsidP="00A2232A">
            <w:pPr>
              <w:pStyle w:val="Tabletextprimarysource"/>
              <w:numPr>
                <w:ilvl w:val="1"/>
                <w:numId w:val="2"/>
              </w:numPr>
              <w:ind w:left="1156" w:hanging="357"/>
            </w:pPr>
            <w:r>
              <w:t>w</w:t>
            </w:r>
            <w:r w:rsidR="000B48A4">
              <w:t xml:space="preserve">elders exposed to mixtures of welding </w:t>
            </w:r>
            <w:r w:rsidR="00CD377A">
              <w:t>fumes (</w:t>
            </w:r>
            <w:r w:rsidR="000B48A4">
              <w:t xml:space="preserve">primarily </w:t>
            </w:r>
            <w:proofErr w:type="spellStart"/>
            <w:r w:rsidR="00636429">
              <w:t>Fe</w:t>
            </w:r>
            <w:r w:rsidR="00636429" w:rsidRPr="004114F0">
              <w:rPr>
                <w:vertAlign w:val="subscript"/>
              </w:rPr>
              <w:t>2</w:t>
            </w:r>
            <w:r w:rsidR="00636429">
              <w:t>O</w:t>
            </w:r>
            <w:r w:rsidR="00636429" w:rsidRPr="004114F0">
              <w:rPr>
                <w:vertAlign w:val="subscript"/>
              </w:rPr>
              <w:t>3</w:t>
            </w:r>
            <w:proofErr w:type="spellEnd"/>
            <w:r w:rsidR="00CD377A">
              <w:t>)</w:t>
            </w:r>
            <w:r w:rsidR="000B48A4">
              <w:t xml:space="preserve"> at 1</w:t>
            </w:r>
            <w:r w:rsidR="00C62620">
              <w:t>–</w:t>
            </w:r>
            <w:r w:rsidR="000B48A4">
              <w:t>294</w:t>
            </w:r>
            <w:r w:rsidR="00C62620">
              <w:t> </w:t>
            </w:r>
            <w:r w:rsidR="000B48A4">
              <w:t>mg/</w:t>
            </w:r>
            <w:proofErr w:type="spellStart"/>
            <w:r w:rsidR="000B48A4">
              <w:t>m</w:t>
            </w:r>
            <w:r w:rsidR="000B48A4" w:rsidRPr="00CD377A">
              <w:rPr>
                <w:vertAlign w:val="superscript"/>
              </w:rPr>
              <w:t>3</w:t>
            </w:r>
            <w:proofErr w:type="spellEnd"/>
            <w:r w:rsidR="000B48A4">
              <w:t xml:space="preserve"> developed siderosis, study concluded that </w:t>
            </w:r>
            <w:proofErr w:type="spellStart"/>
            <w:r w:rsidR="00636429">
              <w:t>Fe</w:t>
            </w:r>
            <w:r w:rsidR="00636429" w:rsidRPr="004114F0">
              <w:rPr>
                <w:vertAlign w:val="subscript"/>
              </w:rPr>
              <w:t>2</w:t>
            </w:r>
            <w:r w:rsidR="00636429">
              <w:t>O</w:t>
            </w:r>
            <w:r w:rsidR="00636429" w:rsidRPr="004114F0">
              <w:rPr>
                <w:vertAlign w:val="subscript"/>
              </w:rPr>
              <w:t>3</w:t>
            </w:r>
            <w:proofErr w:type="spellEnd"/>
            <w:r w:rsidR="00636429" w:rsidRPr="00636429">
              <w:t xml:space="preserve"> </w:t>
            </w:r>
            <w:r w:rsidR="000B48A4">
              <w:t>exposure does not lead to fibrotic pulmonary changes</w:t>
            </w:r>
            <w:r w:rsidR="005034BA">
              <w:t>.</w:t>
            </w:r>
          </w:p>
          <w:p w14:paraId="2B506BCA" w14:textId="3FBF5B74" w:rsidR="0059142D" w:rsidRDefault="009B1033" w:rsidP="000078B3">
            <w:pPr>
              <w:pStyle w:val="Tabletextprimarysource"/>
              <w:numPr>
                <w:ilvl w:val="0"/>
                <w:numId w:val="2"/>
              </w:numPr>
              <w:ind w:hanging="357"/>
            </w:pPr>
            <w:r>
              <w:t>Co-exposures to silica,</w:t>
            </w:r>
            <w:r w:rsidR="00636429">
              <w:t xml:space="preserve"> radon</w:t>
            </w:r>
            <w:r w:rsidR="00583A92">
              <w:t xml:space="preserve"> or diesel exhaust</w:t>
            </w:r>
            <w:r>
              <w:t xml:space="preserve"> e.g. in haematite mining, or exposure to freshly formed substance may lead to pneumoconiosis</w:t>
            </w:r>
            <w:r w:rsidR="00583A92">
              <w:t xml:space="preserve"> and fibrotic changes in </w:t>
            </w:r>
            <w:proofErr w:type="gramStart"/>
            <w:r w:rsidR="00583A92">
              <w:t>lungs</w:t>
            </w:r>
            <w:r w:rsidR="000B48A4">
              <w:t>;</w:t>
            </w:r>
            <w:proofErr w:type="gramEnd"/>
            <w:r w:rsidR="000B48A4">
              <w:t xml:space="preserve"> </w:t>
            </w:r>
          </w:p>
          <w:p w14:paraId="24551D78" w14:textId="34B061F0" w:rsidR="009B1033" w:rsidRDefault="0059142D" w:rsidP="00D20870">
            <w:pPr>
              <w:pStyle w:val="Tabletextprimarysource"/>
              <w:numPr>
                <w:ilvl w:val="1"/>
                <w:numId w:val="2"/>
              </w:numPr>
              <w:ind w:left="1156" w:hanging="357"/>
            </w:pPr>
            <w:r>
              <w:t>chronic (6–10</w:t>
            </w:r>
            <w:r w:rsidR="005034BA">
              <w:t xml:space="preserve"> </w:t>
            </w:r>
            <w:r>
              <w:t xml:space="preserve">yr) exposure to </w:t>
            </w:r>
            <w:proofErr w:type="spellStart"/>
            <w:r w:rsidR="00636429">
              <w:t>Fe</w:t>
            </w:r>
            <w:r w:rsidR="00636429" w:rsidRPr="004114F0">
              <w:rPr>
                <w:vertAlign w:val="subscript"/>
              </w:rPr>
              <w:t>2</w:t>
            </w:r>
            <w:r w:rsidR="00636429">
              <w:t>O</w:t>
            </w:r>
            <w:r w:rsidR="00636429" w:rsidRPr="004114F0">
              <w:rPr>
                <w:vertAlign w:val="subscript"/>
              </w:rPr>
              <w:t>3</w:t>
            </w:r>
            <w:proofErr w:type="spellEnd"/>
            <w:r w:rsidR="00636429" w:rsidRPr="00636429">
              <w:t xml:space="preserve"> </w:t>
            </w:r>
            <w:r>
              <w:t>alone cause</w:t>
            </w:r>
            <w:r w:rsidR="00583A92">
              <w:t>d</w:t>
            </w:r>
            <w:r>
              <w:t xml:space="preserve"> </w:t>
            </w:r>
            <w:r w:rsidR="00636429">
              <w:t>Fe</w:t>
            </w:r>
            <w:r w:rsidR="000B48A4">
              <w:t xml:space="preserve"> deposition (siderosis) </w:t>
            </w:r>
            <w:r>
              <w:t>and</w:t>
            </w:r>
            <w:r w:rsidR="000B48A4">
              <w:t xml:space="preserve"> produces radiographic changes in the lungs without adverse clinical effects</w:t>
            </w:r>
          </w:p>
          <w:p w14:paraId="154B1E71" w14:textId="5F3354DF" w:rsidR="00B13C3D" w:rsidRDefault="00B13C3D" w:rsidP="000078B3">
            <w:pPr>
              <w:pStyle w:val="Tabletextprimarysource"/>
              <w:numPr>
                <w:ilvl w:val="0"/>
                <w:numId w:val="2"/>
              </w:numPr>
              <w:ind w:hanging="357"/>
            </w:pPr>
            <w:r>
              <w:t>Several e</w:t>
            </w:r>
            <w:r w:rsidR="0059142D" w:rsidRPr="00B13C3D">
              <w:t>pidemiological studies</w:t>
            </w:r>
            <w:r>
              <w:t xml:space="preserve"> support </w:t>
            </w:r>
            <w:r w:rsidR="005034BA">
              <w:t xml:space="preserve">a </w:t>
            </w:r>
            <w:r>
              <w:t>conclusion that exposure is not causal in development of chronic adverse effects</w:t>
            </w:r>
            <w:r w:rsidR="00583A92">
              <w:t>, but confounding factors such as mixed exposures, e.g. to general welding fumes, complicate the use of some studies in the agency’s evaluation</w:t>
            </w:r>
            <w:r w:rsidR="00AE205F">
              <w:t>.</w:t>
            </w:r>
          </w:p>
          <w:p w14:paraId="027C9278" w14:textId="42013DDB" w:rsidR="000078B3" w:rsidRPr="00B13C3D" w:rsidRDefault="000078B3" w:rsidP="000078B3">
            <w:pPr>
              <w:pStyle w:val="Tabletextprimarysource"/>
              <w:numPr>
                <w:ilvl w:val="0"/>
                <w:numId w:val="2"/>
              </w:numPr>
              <w:ind w:hanging="357"/>
            </w:pPr>
            <w:r>
              <w:t xml:space="preserve">Deficits in mortality and no excess of lung cancer reported in retrospective cohort study (n=10,403) of haematite miners in a US mine with good occupational hygiene </w:t>
            </w:r>
            <w:proofErr w:type="gramStart"/>
            <w:r>
              <w:t>practices;</w:t>
            </w:r>
            <w:proofErr w:type="gramEnd"/>
            <w:r>
              <w:t xml:space="preserve"> i.e. no diesel exhausts, low co-exposure to radon and silica and non-smoking workplace</w:t>
            </w:r>
            <w:r w:rsidR="005034BA">
              <w:t>.</w:t>
            </w:r>
            <w:r>
              <w:t xml:space="preserve"> </w:t>
            </w:r>
          </w:p>
          <w:p w14:paraId="3FB49AD4" w14:textId="7CB20DAF" w:rsidR="009E165A" w:rsidRDefault="009E165A" w:rsidP="003365A5">
            <w:pPr>
              <w:pStyle w:val="Tabletextprimarysource"/>
            </w:pPr>
            <w:r>
              <w:t>Animal data:</w:t>
            </w:r>
          </w:p>
          <w:p w14:paraId="7D1014BD" w14:textId="77777777" w:rsidR="00636429" w:rsidRDefault="00D73E08" w:rsidP="000078B3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>No evidence for irreversible lung damage, but inflammatory response noted, from single or repeat intratracheal instillations of 3 mg (ha</w:t>
            </w:r>
            <w:r w:rsidR="00636429">
              <w:t>msters) or 50 mg (guinea pigs)</w:t>
            </w:r>
          </w:p>
          <w:p w14:paraId="1FC459B9" w14:textId="73E5A273" w:rsidR="00D73E08" w:rsidRDefault="00636429" w:rsidP="00636429">
            <w:pPr>
              <w:pStyle w:val="Tabletextprimarysource"/>
              <w:numPr>
                <w:ilvl w:val="1"/>
                <w:numId w:val="1"/>
              </w:numPr>
              <w:ind w:left="1156" w:hanging="357"/>
            </w:pPr>
            <w:r>
              <w:t xml:space="preserve">particles </w:t>
            </w:r>
            <w:r w:rsidR="00D73E08">
              <w:t>rapidly cleared by mucociliary action</w:t>
            </w:r>
          </w:p>
          <w:p w14:paraId="55C3FD91" w14:textId="7E677F5C" w:rsidR="00D73E08" w:rsidRDefault="00D73E08" w:rsidP="000078B3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 xml:space="preserve">Transient </w:t>
            </w:r>
            <w:r w:rsidR="00384104">
              <w:t>inflammatory responses at 274 mg/</w:t>
            </w:r>
            <w:proofErr w:type="spellStart"/>
            <w:r w:rsidR="00384104">
              <w:t>m</w:t>
            </w:r>
            <w:r w:rsidR="00384104">
              <w:rPr>
                <w:vertAlign w:val="superscript"/>
              </w:rPr>
              <w:t>3</w:t>
            </w:r>
            <w:proofErr w:type="spellEnd"/>
            <w:r w:rsidR="00384104">
              <w:t xml:space="preserve"> (hamsters, rabbits, 2 h)</w:t>
            </w:r>
          </w:p>
          <w:p w14:paraId="64C70B14" w14:textId="2173ABF1" w:rsidR="00384104" w:rsidRDefault="003B23DD" w:rsidP="00D20870">
            <w:pPr>
              <w:pStyle w:val="Tabletextprimarysource"/>
              <w:numPr>
                <w:ilvl w:val="1"/>
                <w:numId w:val="1"/>
              </w:numPr>
              <w:ind w:left="1156" w:hanging="357"/>
            </w:pPr>
            <w:r>
              <w:t>n</w:t>
            </w:r>
            <w:r w:rsidR="00384104">
              <w:t>o significant changes in concentrations of inflammatory response cells in lung lavage at 20 mg/</w:t>
            </w:r>
            <w:proofErr w:type="spellStart"/>
            <w:r w:rsidR="00384104">
              <w:t>m</w:t>
            </w:r>
            <w:r w:rsidR="00384104">
              <w:rPr>
                <w:vertAlign w:val="superscript"/>
              </w:rPr>
              <w:t>3</w:t>
            </w:r>
            <w:proofErr w:type="spellEnd"/>
            <w:r w:rsidR="00384104">
              <w:t xml:space="preserve"> (2 h)</w:t>
            </w:r>
            <w:r w:rsidR="000078B3">
              <w:t>, but increased phagocytic activity observed</w:t>
            </w:r>
          </w:p>
          <w:p w14:paraId="311EF004" w14:textId="3375E09F" w:rsidR="00384104" w:rsidRDefault="00384104" w:rsidP="000078B3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 xml:space="preserve">No evidence for carcinogenicity in several chronic inhalation and intratracheal instillation studies (mice, hamsters, </w:t>
            </w:r>
            <w:r w:rsidR="00C13B0C">
              <w:t>and guinea pigs, concentrations and</w:t>
            </w:r>
            <w:r>
              <w:t xml:space="preserve"> duration not specified)</w:t>
            </w:r>
          </w:p>
          <w:p w14:paraId="1215EBAB" w14:textId="037C5A51" w:rsidR="00384104" w:rsidRDefault="003B23DD" w:rsidP="00D20870">
            <w:pPr>
              <w:pStyle w:val="Tabletextprimarysource"/>
              <w:numPr>
                <w:ilvl w:val="1"/>
                <w:numId w:val="1"/>
              </w:numPr>
              <w:ind w:left="1156" w:hanging="357"/>
            </w:pPr>
            <w:r>
              <w:t>n</w:t>
            </w:r>
            <w:r w:rsidR="00B47326">
              <w:t>o carcin</w:t>
            </w:r>
            <w:r w:rsidR="00636429">
              <w:t>ogenicity, chronic inflammation</w:t>
            </w:r>
            <w:r w:rsidR="00B47326">
              <w:t xml:space="preserve"> or necrosis observed when substance used as a vehicle control in chronic studies with known carcinogens</w:t>
            </w:r>
          </w:p>
          <w:p w14:paraId="2DEB247E" w14:textId="3FCCDBE9" w:rsidR="00B47326" w:rsidRDefault="003B23DD" w:rsidP="00D20870">
            <w:pPr>
              <w:pStyle w:val="Tabletextprimarysource"/>
              <w:numPr>
                <w:ilvl w:val="1"/>
                <w:numId w:val="1"/>
              </w:numPr>
              <w:ind w:left="1156" w:hanging="357"/>
            </w:pPr>
            <w:r>
              <w:t>i</w:t>
            </w:r>
            <w:r w:rsidR="00B47326">
              <w:t>ncrea</w:t>
            </w:r>
            <w:r w:rsidR="00636429">
              <w:t xml:space="preserve">ses metabolism of </w:t>
            </w:r>
            <w:r w:rsidR="008A4D13">
              <w:t>B(a)P</w:t>
            </w:r>
            <w:r w:rsidR="00B47326">
              <w:t>, which forms more carcinogenic metabolites in the presence of iron oxide</w:t>
            </w:r>
          </w:p>
          <w:p w14:paraId="403C956B" w14:textId="05886C7C" w:rsidR="00B47326" w:rsidRDefault="003B23DD" w:rsidP="00D20870">
            <w:pPr>
              <w:pStyle w:val="Tabletextprimarysource"/>
              <w:numPr>
                <w:ilvl w:val="1"/>
                <w:numId w:val="1"/>
              </w:numPr>
              <w:ind w:left="1156" w:hanging="357"/>
            </w:pPr>
            <w:r>
              <w:lastRenderedPageBreak/>
              <w:t>i</w:t>
            </w:r>
            <w:r w:rsidR="00B47326">
              <w:t>njection of high concentrations (not specified) caused increased incidence of sarcomas</w:t>
            </w:r>
            <w:r w:rsidR="00C13B0C">
              <w:t xml:space="preserve"> at</w:t>
            </w:r>
            <w:r w:rsidR="00B47326">
              <w:t xml:space="preserve"> injection </w:t>
            </w:r>
            <w:proofErr w:type="gramStart"/>
            <w:r w:rsidR="00B47326">
              <w:t>site, but</w:t>
            </w:r>
            <w:proofErr w:type="gramEnd"/>
            <w:r w:rsidR="00B47326">
              <w:t xml:space="preserve"> considered irrelevant to occupational exposure</w:t>
            </w:r>
            <w:r w:rsidR="005034BA">
              <w:t>.</w:t>
            </w:r>
          </w:p>
          <w:p w14:paraId="12F8D711" w14:textId="20D6C5D8" w:rsidR="00AC597C" w:rsidRDefault="00AC597C" w:rsidP="00AC597C">
            <w:pPr>
              <w:pStyle w:val="Tabletextprimarysource"/>
            </w:pPr>
            <w:r>
              <w:t xml:space="preserve">Negative results for carcinogenicity in animal experiments suggest the substance is not carcinogenic. </w:t>
            </w:r>
          </w:p>
          <w:p w14:paraId="710C7AE6" w14:textId="77777777" w:rsidR="00AC597C" w:rsidRDefault="00AC597C" w:rsidP="00AC597C">
            <w:pPr>
              <w:pStyle w:val="Tabletextprimarysource"/>
            </w:pPr>
            <w:r>
              <w:t>Insufficient data available to assign a TLV-STEL or notation for skin absorption.</w:t>
            </w:r>
          </w:p>
          <w:p w14:paraId="448576E1" w14:textId="77777777" w:rsidR="00AC597C" w:rsidRDefault="00AC597C" w:rsidP="003365A5">
            <w:pPr>
              <w:pStyle w:val="Tabletextprimarysource"/>
            </w:pPr>
            <w:r>
              <w:t>A sensitiser notation is not warranted due to low incidence of sensitisation in human studies.</w:t>
            </w:r>
          </w:p>
          <w:p w14:paraId="770CE696" w14:textId="43844630" w:rsidR="00636429" w:rsidRPr="00DA352E" w:rsidRDefault="00636429" w:rsidP="003365A5">
            <w:pPr>
              <w:pStyle w:val="Tabletextprimarysource"/>
            </w:pPr>
          </w:p>
        </w:tc>
      </w:tr>
      <w:tr w:rsidR="00C978F0" w:rsidRPr="00DA352E" w14:paraId="22C6CD69" w14:textId="77777777" w:rsidTr="00D2087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432251E" w14:textId="3433779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47824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47824">
                  <w:t>Not assigned</w:t>
                </w:r>
              </w:sdtContent>
            </w:sdt>
          </w:p>
        </w:tc>
      </w:tr>
      <w:tr w:rsidR="00C978F0" w:rsidRPr="00DA352E" w14:paraId="3756BFE9" w14:textId="77777777" w:rsidTr="00D20870">
        <w:trPr>
          <w:gridAfter w:val="1"/>
          <w:wAfter w:w="8" w:type="pct"/>
        </w:trPr>
        <w:tc>
          <w:tcPr>
            <w:tcW w:w="4992" w:type="pct"/>
          </w:tcPr>
          <w:p w14:paraId="4FB9BA39" w14:textId="18E2493A" w:rsidR="006C0430" w:rsidRDefault="006C0430" w:rsidP="003365A5">
            <w:pPr>
              <w:pStyle w:val="Tabletextprimarysource"/>
            </w:pPr>
            <w:r>
              <w:t>Summary of additional information:</w:t>
            </w:r>
          </w:p>
          <w:p w14:paraId="28803070" w14:textId="03AF5BA2" w:rsidR="00C978F0" w:rsidRDefault="0046200B" w:rsidP="003365A5">
            <w:pPr>
              <w:pStyle w:val="Tabletextprimarysource"/>
            </w:pPr>
            <w:r>
              <w:t>MAK evaluated for particles in inhalable fraction</w:t>
            </w:r>
            <w:r w:rsidR="00921F19">
              <w:t xml:space="preserve"> and as grouped assessment of </w:t>
            </w:r>
            <w:proofErr w:type="gramStart"/>
            <w:r w:rsidR="00921F19">
              <w:t>Fe(</w:t>
            </w:r>
            <w:proofErr w:type="gramEnd"/>
            <w:r w:rsidR="00921F19">
              <w:t xml:space="preserve">II), </w:t>
            </w:r>
            <w:proofErr w:type="gramStart"/>
            <w:r w:rsidR="00921F19">
              <w:t>Fe(</w:t>
            </w:r>
            <w:proofErr w:type="gramEnd"/>
            <w:r w:rsidR="00921F19">
              <w:t>III), and mixed oxides</w:t>
            </w:r>
            <w:r>
              <w:t xml:space="preserve">. </w:t>
            </w:r>
            <w:r w:rsidR="006C0430">
              <w:t xml:space="preserve">MAK not established due to potential for genotoxic carcinogenicity caused by generation of ROS associated with </w:t>
            </w:r>
            <w:r w:rsidR="003B23DD">
              <w:t xml:space="preserve">excess </w:t>
            </w:r>
            <w:r w:rsidR="0013233D">
              <w:t xml:space="preserve">soluble </w:t>
            </w:r>
            <w:r w:rsidR="00636429">
              <w:t>Fe</w:t>
            </w:r>
            <w:r w:rsidR="0013233D">
              <w:t xml:space="preserve"> ions </w:t>
            </w:r>
            <w:r w:rsidR="006C0430">
              <w:t>above homeostatic levels. It is unclear if endogenous</w:t>
            </w:r>
            <w:r w:rsidR="00636429">
              <w:t xml:space="preserve"> Fe</w:t>
            </w:r>
            <w:r w:rsidR="006C0430">
              <w:t xml:space="preserve"> elimination pathways are sufficient to pr</w:t>
            </w:r>
            <w:r w:rsidR="00636429">
              <w:t>event the formation of free Fe</w:t>
            </w:r>
            <w:r w:rsidR="006C0430">
              <w:t xml:space="preserve"> ions and no </w:t>
            </w:r>
            <w:proofErr w:type="spellStart"/>
            <w:r w:rsidR="006C0430">
              <w:t>NOAEL</w:t>
            </w:r>
            <w:proofErr w:type="spellEnd"/>
            <w:r w:rsidR="006C0430">
              <w:t xml:space="preserve"> is reported for this effect; a MAK can therefore not be derived.</w:t>
            </w:r>
            <w:r w:rsidR="008A4D13">
              <w:t xml:space="preserve"> </w:t>
            </w:r>
          </w:p>
          <w:p w14:paraId="0EB8B69B" w14:textId="52FA532D" w:rsidR="008A4D13" w:rsidRDefault="008A4D13" w:rsidP="003365A5">
            <w:pPr>
              <w:pStyle w:val="Tabletextprimarysource"/>
            </w:pPr>
            <w:r>
              <w:t>Sensitiser notation not warranted due to rare occurrence of contact dermatitis in humans, positive results in thes</w:t>
            </w:r>
            <w:r w:rsidR="00636429">
              <w:t>e tests are attributed to Ni</w:t>
            </w:r>
            <w:r>
              <w:t xml:space="preserve"> impurities and non-specific reactions to the test formulation.</w:t>
            </w:r>
          </w:p>
          <w:p w14:paraId="2ADAFF3D" w14:textId="5D9E1B57" w:rsidR="009F79D8" w:rsidRDefault="009F79D8" w:rsidP="003365A5">
            <w:pPr>
              <w:pStyle w:val="Tabletextprimarysource"/>
            </w:pPr>
            <w:r>
              <w:t>Human data:</w:t>
            </w:r>
          </w:p>
          <w:p w14:paraId="158BC0D5" w14:textId="226E2CEE" w:rsidR="009F79D8" w:rsidRDefault="009F79D8" w:rsidP="009F79D8">
            <w:pPr>
              <w:pStyle w:val="Tabletextprimarysource"/>
              <w:numPr>
                <w:ilvl w:val="0"/>
                <w:numId w:val="1"/>
              </w:numPr>
            </w:pPr>
            <w:r>
              <w:t>Epidemiological studies regarding co-exposures, e.g. to B(a)P and silica, not consider</w:t>
            </w:r>
            <w:r w:rsidR="008F601B">
              <w:t xml:space="preserve">ed </w:t>
            </w:r>
            <w:r w:rsidR="00CE1B8C">
              <w:t xml:space="preserve">in agency’s evaluation </w:t>
            </w:r>
            <w:r w:rsidR="008F601B">
              <w:t>due to confounding co-exposures</w:t>
            </w:r>
          </w:p>
          <w:p w14:paraId="0BE2877F" w14:textId="03713545" w:rsidR="00CE1B8C" w:rsidRDefault="00CE1B8C" w:rsidP="00CE1B8C">
            <w:pPr>
              <w:pStyle w:val="Tabletextprimarysource"/>
              <w:numPr>
                <w:ilvl w:val="0"/>
                <w:numId w:val="1"/>
              </w:numPr>
            </w:pPr>
            <w:r>
              <w:t>Large epidemiological studies (no details provided) indicate hig</w:t>
            </w:r>
            <w:r w:rsidR="00636429">
              <w:t>h oral iron intake and high Fe</w:t>
            </w:r>
            <w:r>
              <w:t xml:space="preserve"> storage levels are associated with increased tumorigenicity due to increased potential for oxidative stress; </w:t>
            </w:r>
            <w:r w:rsidR="00636429">
              <w:t>Fe</w:t>
            </w:r>
            <w:r>
              <w:t xml:space="preserve"> is also a limiting nutrient in proliferative cell growth</w:t>
            </w:r>
          </w:p>
          <w:p w14:paraId="7D9F1C37" w14:textId="14DF2D66" w:rsidR="009F79D8" w:rsidRDefault="00F84683" w:rsidP="009F79D8">
            <w:pPr>
              <w:pStyle w:val="Tabletextprimarysource"/>
              <w:numPr>
                <w:ilvl w:val="0"/>
                <w:numId w:val="1"/>
              </w:numPr>
            </w:pPr>
            <w:r>
              <w:t>No effects on blood and u</w:t>
            </w:r>
            <w:r w:rsidR="000D2C64">
              <w:t>rine parameters, blood pressure</w:t>
            </w:r>
            <w:r>
              <w:t xml:space="preserve"> or signs of intolerance in oral and iv infusion volunteer studies; no ef</w:t>
            </w:r>
            <w:r w:rsidR="00A718F3">
              <w:t>fects on lung function at 12.7 mg/</w:t>
            </w:r>
            <w:proofErr w:type="spellStart"/>
            <w:r w:rsidR="00A718F3">
              <w:t>m</w:t>
            </w:r>
            <w:r w:rsidR="00A718F3">
              <w:rPr>
                <w:vertAlign w:val="superscript"/>
              </w:rPr>
              <w:t>3</w:t>
            </w:r>
            <w:proofErr w:type="spellEnd"/>
            <w:r w:rsidR="00A718F3">
              <w:t xml:space="preserve"> in inhalational study (n=16, 30 min)</w:t>
            </w:r>
          </w:p>
          <w:p w14:paraId="45147216" w14:textId="658E2C4D" w:rsidR="00F84683" w:rsidRDefault="00CE1B8C" w:rsidP="009F79D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Oedema reported in 1/62 patients treated with an </w:t>
            </w:r>
            <w:proofErr w:type="spellStart"/>
            <w:r w:rsidR="000D2C64">
              <w:t>Fe</w:t>
            </w:r>
            <w:r w:rsidR="000D2C64" w:rsidRPr="004114F0">
              <w:rPr>
                <w:vertAlign w:val="subscript"/>
              </w:rPr>
              <w:t>2</w:t>
            </w:r>
            <w:r w:rsidR="000D2C64">
              <w:t>O</w:t>
            </w:r>
            <w:r w:rsidR="000D2C64" w:rsidRPr="004114F0">
              <w:rPr>
                <w:vertAlign w:val="subscript"/>
              </w:rPr>
              <w:t>3</w:t>
            </w:r>
            <w:proofErr w:type="spellEnd"/>
            <w:r>
              <w:t>-containing formulation for treatment of scar pigmentation on scalp</w:t>
            </w:r>
          </w:p>
          <w:p w14:paraId="08D58E55" w14:textId="64128F43" w:rsidR="00CE1B8C" w:rsidRDefault="00CE1B8C" w:rsidP="008B2BB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Positive sensitisation after 3 d in 6/126 and 1/64 patients in patch test with 2% </w:t>
            </w:r>
            <w:proofErr w:type="spellStart"/>
            <w:r w:rsidR="000D2C64">
              <w:t>Fe</w:t>
            </w:r>
            <w:r w:rsidR="000D2C64" w:rsidRPr="004114F0">
              <w:rPr>
                <w:vertAlign w:val="subscript"/>
              </w:rPr>
              <w:t>2</w:t>
            </w:r>
            <w:r w:rsidR="000D2C64">
              <w:t>O</w:t>
            </w:r>
            <w:r w:rsidR="000D2C64" w:rsidRPr="004114F0">
              <w:rPr>
                <w:vertAlign w:val="subscript"/>
              </w:rPr>
              <w:t>3</w:t>
            </w:r>
            <w:proofErr w:type="spellEnd"/>
            <w:r w:rsidR="005034BA">
              <w:t>.</w:t>
            </w:r>
          </w:p>
          <w:p w14:paraId="34C24B6D" w14:textId="77777777" w:rsidR="006C0430" w:rsidRDefault="003B23DD" w:rsidP="003365A5">
            <w:pPr>
              <w:pStyle w:val="Tabletextprimarysource"/>
            </w:pPr>
            <w:r>
              <w:t>Animal data:</w:t>
            </w:r>
          </w:p>
          <w:p w14:paraId="4DA0CF37" w14:textId="09EF724C" w:rsidR="008A4D13" w:rsidRDefault="008A4D13" w:rsidP="003B23DD">
            <w:pPr>
              <w:pStyle w:val="Tabletextprimarysource"/>
              <w:numPr>
                <w:ilvl w:val="0"/>
                <w:numId w:val="1"/>
              </w:numPr>
            </w:pPr>
            <w:r>
              <w:t>Non-irritating to eyes (rabbits), mechanical effects caused irritation in eyes of rats</w:t>
            </w:r>
          </w:p>
          <w:p w14:paraId="42008BBA" w14:textId="1BD64D50" w:rsidR="00CB24E6" w:rsidRDefault="00CB24E6" w:rsidP="003B23DD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Elevated concentrations of inflammatory response </w:t>
            </w:r>
            <w:r w:rsidR="008B2BBF">
              <w:t>indicators</w:t>
            </w:r>
            <w:r>
              <w:t xml:space="preserve"> in BAL</w:t>
            </w:r>
            <w:r w:rsidR="000D2C64">
              <w:t xml:space="preserve"> fluid</w:t>
            </w:r>
            <w:r>
              <w:t xml:space="preserve"> at </w:t>
            </w:r>
            <w:r w:rsidR="00AC597C">
              <w:t>~</w:t>
            </w:r>
            <w:r>
              <w:t>200</w:t>
            </w:r>
            <w:r w:rsidR="005034BA">
              <w:t xml:space="preserve"> </w:t>
            </w:r>
            <w:r>
              <w:t>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(2</w:t>
            </w:r>
            <w:r w:rsidR="000D2C64">
              <w:t> </w:t>
            </w:r>
            <w:proofErr w:type="spellStart"/>
            <w:r>
              <w:t>wk</w:t>
            </w:r>
            <w:proofErr w:type="spellEnd"/>
            <w:r>
              <w:t>) or 10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(4 </w:t>
            </w:r>
            <w:proofErr w:type="spellStart"/>
            <w:r>
              <w:t>wk</w:t>
            </w:r>
            <w:proofErr w:type="spellEnd"/>
            <w:r>
              <w:t xml:space="preserve">) </w:t>
            </w:r>
            <w:r w:rsidR="00C13B0C">
              <w:t>4.7 mg/</w:t>
            </w:r>
            <w:proofErr w:type="spellStart"/>
            <w:r w:rsidR="00C13B0C">
              <w:t>m</w:t>
            </w:r>
            <w:r w:rsidR="00C13B0C">
              <w:rPr>
                <w:vertAlign w:val="superscript"/>
              </w:rPr>
              <w:t>3</w:t>
            </w:r>
            <w:proofErr w:type="spellEnd"/>
            <w:r w:rsidR="00C13B0C">
              <w:t xml:space="preserve"> (90 d) </w:t>
            </w:r>
            <w:r>
              <w:t xml:space="preserve">of different </w:t>
            </w:r>
            <w:proofErr w:type="spellStart"/>
            <w:r w:rsidR="000D2C64">
              <w:t>Fe</w:t>
            </w:r>
            <w:r w:rsidR="000D2C64" w:rsidRPr="004114F0">
              <w:rPr>
                <w:vertAlign w:val="subscript"/>
              </w:rPr>
              <w:t>2</w:t>
            </w:r>
            <w:r w:rsidR="000D2C64">
              <w:t>O</w:t>
            </w:r>
            <w:r w:rsidR="000D2C64" w:rsidRPr="004114F0">
              <w:rPr>
                <w:vertAlign w:val="subscript"/>
              </w:rPr>
              <w:t>3</w:t>
            </w:r>
            <w:proofErr w:type="spellEnd"/>
            <w:r>
              <w:t xml:space="preserve"> morph</w:t>
            </w:r>
            <w:r w:rsidR="00C13B0C">
              <w:t>ologies (rats, 6 h/d, 5</w:t>
            </w:r>
            <w:r w:rsidR="00CD377A">
              <w:t> </w:t>
            </w:r>
            <w:r w:rsidR="00C13B0C">
              <w:t>d/</w:t>
            </w:r>
            <w:proofErr w:type="spellStart"/>
            <w:r w:rsidR="00C13B0C">
              <w:t>wk</w:t>
            </w:r>
            <w:proofErr w:type="spellEnd"/>
            <w:r w:rsidR="00C13B0C">
              <w:t xml:space="preserve">, 2, </w:t>
            </w:r>
            <w:r>
              <w:t xml:space="preserve">4 </w:t>
            </w:r>
            <w:proofErr w:type="spellStart"/>
            <w:r>
              <w:t>wk</w:t>
            </w:r>
            <w:proofErr w:type="spellEnd"/>
            <w:r w:rsidR="00C13B0C">
              <w:t>, or 90 d</w:t>
            </w:r>
            <w:r>
              <w:t>); responses reversed within 107–197 d observation period</w:t>
            </w:r>
          </w:p>
          <w:p w14:paraId="6E0AD302" w14:textId="56B3DEBB" w:rsidR="0013233D" w:rsidRDefault="00CB24E6" w:rsidP="00D20870">
            <w:pPr>
              <w:pStyle w:val="Tabletextprimarysource"/>
              <w:numPr>
                <w:ilvl w:val="1"/>
                <w:numId w:val="1"/>
              </w:numPr>
              <w:ind w:left="1298"/>
            </w:pPr>
            <w:r>
              <w:t xml:space="preserve">comparison to </w:t>
            </w:r>
            <w:proofErr w:type="spellStart"/>
            <w:r w:rsidR="000D2C64">
              <w:t>TiO</w:t>
            </w:r>
            <w:r w:rsidR="000D2C64" w:rsidRPr="000D2C64">
              <w:rPr>
                <w:vertAlign w:val="subscript"/>
              </w:rPr>
              <w:t>2</w:t>
            </w:r>
            <w:proofErr w:type="spellEnd"/>
            <w:r>
              <w:t xml:space="preserve"> (poorly soluble particle) suggests inflammatory response may be due to particle/clearance overload </w:t>
            </w:r>
            <w:r w:rsidR="002A2BE4">
              <w:t xml:space="preserve">and greater particle surface area </w:t>
            </w:r>
            <w:r>
              <w:t xml:space="preserve">rather than inherent chemical toxicity of </w:t>
            </w:r>
            <w:proofErr w:type="spellStart"/>
            <w:r w:rsidR="000D2C64">
              <w:t>Fe</w:t>
            </w:r>
            <w:r w:rsidR="000D2C64" w:rsidRPr="004114F0">
              <w:rPr>
                <w:vertAlign w:val="subscript"/>
              </w:rPr>
              <w:t>2</w:t>
            </w:r>
            <w:r w:rsidR="000D2C64">
              <w:t>O</w:t>
            </w:r>
            <w:r w:rsidR="000D2C64" w:rsidRPr="004114F0">
              <w:rPr>
                <w:vertAlign w:val="subscript"/>
              </w:rPr>
              <w:t>3</w:t>
            </w:r>
            <w:proofErr w:type="spellEnd"/>
          </w:p>
          <w:p w14:paraId="2C3CB73A" w14:textId="77777777" w:rsidR="0085278E" w:rsidRDefault="00933D7D" w:rsidP="00334BB5">
            <w:pPr>
              <w:pStyle w:val="Tabletextprimarysource"/>
              <w:numPr>
                <w:ilvl w:val="0"/>
                <w:numId w:val="1"/>
              </w:numPr>
            </w:pPr>
            <w:r>
              <w:t>Increased incidence of lung tumours in chronic intratracheal instillation studies at</w:t>
            </w:r>
            <w:r w:rsidR="000D2C64">
              <w:t xml:space="preserve"> </w:t>
            </w:r>
          </w:p>
          <w:p w14:paraId="20F77528" w14:textId="3DF64834" w:rsidR="00933D7D" w:rsidRDefault="00904B4A" w:rsidP="0085278E">
            <w:pPr>
              <w:pStyle w:val="Tabletextprimarysource"/>
              <w:ind w:left="720"/>
            </w:pPr>
            <w:r>
              <w:t>1</w:t>
            </w:r>
            <w:r w:rsidR="00933D7D">
              <w:t>5–</w:t>
            </w:r>
            <w:r>
              <w:t>1</w:t>
            </w:r>
            <w:r w:rsidR="00C13B0C">
              <w:t>50</w:t>
            </w:r>
            <w:r w:rsidR="000D2C64">
              <w:t> </w:t>
            </w:r>
            <w:r w:rsidR="00933D7D">
              <w:t xml:space="preserve">mg </w:t>
            </w:r>
            <w:r w:rsidR="0013233D">
              <w:t xml:space="preserve">in saline </w:t>
            </w:r>
            <w:r w:rsidR="00933D7D">
              <w:t xml:space="preserve">(rats, 15 doses, </w:t>
            </w:r>
            <w:r w:rsidR="0013233D">
              <w:t>2–</w:t>
            </w:r>
            <w:r w:rsidR="00933D7D">
              <w:t>2.5 yr</w:t>
            </w:r>
            <w:proofErr w:type="gramStart"/>
            <w:r w:rsidR="00933D7D">
              <w:t>)</w:t>
            </w:r>
            <w:r w:rsidR="0013233D">
              <w:t>;</w:t>
            </w:r>
            <w:proofErr w:type="gramEnd"/>
          </w:p>
          <w:p w14:paraId="08AA5FA3" w14:textId="001D75DC" w:rsidR="0013233D" w:rsidRDefault="0013233D" w:rsidP="00D20870">
            <w:pPr>
              <w:pStyle w:val="Tabletextprimarysource"/>
              <w:numPr>
                <w:ilvl w:val="1"/>
                <w:numId w:val="1"/>
              </w:numPr>
              <w:ind w:left="1298"/>
            </w:pPr>
            <w:r>
              <w:t xml:space="preserve">no increased tumour incidence </w:t>
            </w:r>
            <w:r w:rsidR="00904B4A">
              <w:t>with hamsters chronically exposed up to 50</w:t>
            </w:r>
            <w:r w:rsidR="005034BA">
              <w:t xml:space="preserve"> </w:t>
            </w:r>
            <w:r>
              <w:t>mg</w:t>
            </w:r>
            <w:r w:rsidR="00AC597C">
              <w:t xml:space="preserve"> </w:t>
            </w:r>
            <w:r w:rsidR="00C13B0C">
              <w:t>by intratracheal instillation</w:t>
            </w:r>
          </w:p>
          <w:p w14:paraId="38BFBD42" w14:textId="77777777" w:rsidR="000D2C64" w:rsidRDefault="000D2C64" w:rsidP="00D20870">
            <w:pPr>
              <w:pStyle w:val="Tabletextprimarysource"/>
            </w:pPr>
          </w:p>
          <w:p w14:paraId="64FF3E0D" w14:textId="74E2B828" w:rsidR="003B23DD" w:rsidRDefault="008B30B4" w:rsidP="00D20870">
            <w:pPr>
              <w:pStyle w:val="Tabletextprimarysource"/>
            </w:pPr>
            <w:r>
              <w:t xml:space="preserve">Non-genotoxic in bacteria </w:t>
            </w:r>
            <w:proofErr w:type="gramStart"/>
            <w:r>
              <w:rPr>
                <w:i/>
              </w:rPr>
              <w:t>in vitro</w:t>
            </w:r>
            <w:r>
              <w:t>, but</w:t>
            </w:r>
            <w:proofErr w:type="gramEnd"/>
            <w:r>
              <w:t xml:space="preserve"> induced DNA repair in </w:t>
            </w:r>
            <w:r w:rsidR="008A4D13">
              <w:t xml:space="preserve">combination with B(a)P </w:t>
            </w:r>
            <w:r w:rsidR="008A4D13">
              <w:rPr>
                <w:i/>
              </w:rPr>
              <w:t>in vivo</w:t>
            </w:r>
            <w:r w:rsidR="005034BA">
              <w:t>.</w:t>
            </w:r>
          </w:p>
          <w:p w14:paraId="3FC302FF" w14:textId="1D4B18B3" w:rsidR="00CD377A" w:rsidRPr="00DA352E" w:rsidRDefault="00CD377A" w:rsidP="00D20870">
            <w:pPr>
              <w:pStyle w:val="Tabletextprimarysource"/>
            </w:pPr>
          </w:p>
        </w:tc>
      </w:tr>
      <w:tr w:rsidR="00C978F0" w:rsidRPr="00DA352E" w14:paraId="12B34615" w14:textId="77777777" w:rsidTr="00D2087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60D2E3B" w14:textId="217E90C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4782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D47824">
                  <w:t>NA</w:t>
                </w:r>
                <w:proofErr w:type="spellEnd"/>
              </w:sdtContent>
            </w:sdt>
          </w:p>
        </w:tc>
      </w:tr>
      <w:tr w:rsidR="00C978F0" w:rsidRPr="00DA352E" w14:paraId="0F501346" w14:textId="77777777" w:rsidTr="00D20870">
        <w:trPr>
          <w:gridAfter w:val="1"/>
          <w:wAfter w:w="8" w:type="pct"/>
        </w:trPr>
        <w:tc>
          <w:tcPr>
            <w:tcW w:w="4992" w:type="pct"/>
          </w:tcPr>
          <w:p w14:paraId="02945366" w14:textId="26FA5033" w:rsidR="00C978F0" w:rsidRPr="00DA352E" w:rsidRDefault="00D47824" w:rsidP="003365A5">
            <w:pPr>
              <w:pStyle w:val="Tabletextprimarysource"/>
            </w:pPr>
            <w:r>
              <w:t>No report</w:t>
            </w:r>
            <w:r w:rsidR="005034BA">
              <w:t>.</w:t>
            </w:r>
          </w:p>
        </w:tc>
      </w:tr>
      <w:tr w:rsidR="00DA352E" w:rsidRPr="00DA352E" w14:paraId="36C42F63" w14:textId="77777777" w:rsidTr="00D2087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E002626" w14:textId="514AD79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4782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47824">
                  <w:t>NA</w:t>
                </w:r>
                <w:proofErr w:type="spellEnd"/>
              </w:sdtContent>
            </w:sdt>
          </w:p>
        </w:tc>
      </w:tr>
      <w:tr w:rsidR="00DA352E" w:rsidRPr="00DA352E" w14:paraId="74277616" w14:textId="77777777" w:rsidTr="00D20870">
        <w:trPr>
          <w:gridAfter w:val="1"/>
          <w:wAfter w:w="8" w:type="pct"/>
        </w:trPr>
        <w:tc>
          <w:tcPr>
            <w:tcW w:w="4992" w:type="pct"/>
          </w:tcPr>
          <w:p w14:paraId="1F5AA98E" w14:textId="1DEBDA5C" w:rsidR="00DA352E" w:rsidRPr="00DA352E" w:rsidRDefault="00D47824" w:rsidP="003365A5">
            <w:pPr>
              <w:pStyle w:val="Tabletextprimarysource"/>
            </w:pPr>
            <w:r>
              <w:t>No report</w:t>
            </w:r>
            <w:r w:rsidR="005034BA">
              <w:t>.</w:t>
            </w:r>
          </w:p>
        </w:tc>
      </w:tr>
      <w:tr w:rsidR="00DA352E" w:rsidRPr="00DA352E" w14:paraId="3B78654B" w14:textId="77777777" w:rsidTr="00D2087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8EA3177" w14:textId="3153483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4782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D47824">
                  <w:t>NA</w:t>
                </w:r>
                <w:proofErr w:type="spellEnd"/>
              </w:sdtContent>
            </w:sdt>
          </w:p>
        </w:tc>
      </w:tr>
      <w:tr w:rsidR="00DA352E" w:rsidRPr="00DA352E" w14:paraId="72D7823E" w14:textId="77777777" w:rsidTr="00D20870">
        <w:trPr>
          <w:gridAfter w:val="1"/>
          <w:wAfter w:w="8" w:type="pct"/>
        </w:trPr>
        <w:tc>
          <w:tcPr>
            <w:tcW w:w="4992" w:type="pct"/>
          </w:tcPr>
          <w:p w14:paraId="14D2B787" w14:textId="7C24B51D" w:rsidR="00DA352E" w:rsidRPr="00DA352E" w:rsidRDefault="00D47824" w:rsidP="003365A5">
            <w:pPr>
              <w:pStyle w:val="Tabletextprimarysource"/>
            </w:pPr>
            <w:r>
              <w:t>No report</w:t>
            </w:r>
            <w:r w:rsidR="005034BA">
              <w:t>.</w:t>
            </w:r>
          </w:p>
        </w:tc>
      </w:tr>
    </w:tbl>
    <w:p w14:paraId="50AC7A4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627524" w:rsidRPr="00263255" w14:paraId="5F711934" w14:textId="77777777" w:rsidTr="00D20870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03DD1739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3D0961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41B970D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317E904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DCC9425" w14:textId="77777777" w:rsidTr="00D20870">
        <w:trPr>
          <w:cantSplit/>
        </w:trPr>
        <w:tc>
          <w:tcPr>
            <w:tcW w:w="1492" w:type="dxa"/>
          </w:tcPr>
          <w:p w14:paraId="22E14D87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2" w:type="dxa"/>
          </w:tcPr>
          <w:p w14:paraId="3867EB91" w14:textId="36AB4D5C" w:rsidR="004966BF" w:rsidRPr="00CE617F" w:rsidRDefault="0086653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F4FF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5C4E402" w14:textId="61C31A73" w:rsidR="004966BF" w:rsidRPr="004C23F4" w:rsidRDefault="001F4FF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1" w:type="dxa"/>
          </w:tcPr>
          <w:p w14:paraId="6D6BDB65" w14:textId="474F7359" w:rsidR="004966BF" w:rsidRPr="004C23F4" w:rsidRDefault="00B84FBD" w:rsidP="00D20870">
            <w:pPr>
              <w:pStyle w:val="ListBullet"/>
              <w:tabs>
                <w:tab w:val="clear" w:pos="360"/>
              </w:tabs>
              <w:ind w:left="717"/>
              <w:rPr>
                <w:rStyle w:val="checkbox"/>
                <w:rFonts w:ascii="Arial" w:hAnsi="Arial" w:cs="Arial"/>
              </w:rPr>
            </w:pPr>
            <w:r>
              <w:t xml:space="preserve">Tier I assessment: </w:t>
            </w:r>
            <w:r w:rsidRPr="00B84FBD">
              <w:t>Chemical identified as low concern to human health by application of expert validated rules</w:t>
            </w:r>
            <w:r w:rsidR="00636429">
              <w:t>.</w:t>
            </w:r>
          </w:p>
        </w:tc>
      </w:tr>
      <w:tr w:rsidR="004966BF" w:rsidRPr="004C23F4" w14:paraId="792409A4" w14:textId="77777777" w:rsidTr="00D20870">
        <w:trPr>
          <w:cantSplit/>
        </w:trPr>
        <w:tc>
          <w:tcPr>
            <w:tcW w:w="1492" w:type="dxa"/>
          </w:tcPr>
          <w:p w14:paraId="3EF2002D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2" w:type="dxa"/>
          </w:tcPr>
          <w:p w14:paraId="64FDA5E6" w14:textId="1F20235A" w:rsidR="004966BF" w:rsidRPr="00CE617F" w:rsidRDefault="0086653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B667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1D24371" w14:textId="783B3945" w:rsidR="004966BF" w:rsidRPr="004C23F4" w:rsidRDefault="00CB667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1972</w:t>
            </w:r>
          </w:p>
        </w:tc>
        <w:tc>
          <w:tcPr>
            <w:tcW w:w="6451" w:type="dxa"/>
          </w:tcPr>
          <w:p w14:paraId="2B80E726" w14:textId="49DB270F" w:rsidR="006327AA" w:rsidRDefault="006327AA" w:rsidP="00717D45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 w:rsidRPr="006327AA">
              <w:rPr>
                <w:rFonts w:cs="Arial"/>
              </w:rPr>
              <w:t xml:space="preserve">Survey of literature does not indicate elevated risk of lung cancer in exposed welders (n=300); unlikely </w:t>
            </w:r>
            <w:proofErr w:type="spellStart"/>
            <w:r w:rsidR="000D2C64">
              <w:t>Fe</w:t>
            </w:r>
            <w:r w:rsidR="000D2C64" w:rsidRPr="004114F0">
              <w:rPr>
                <w:vertAlign w:val="subscript"/>
              </w:rPr>
              <w:t>2</w:t>
            </w:r>
            <w:r w:rsidR="000D2C64">
              <w:t>O</w:t>
            </w:r>
            <w:r w:rsidR="000D2C64" w:rsidRPr="004114F0">
              <w:rPr>
                <w:vertAlign w:val="subscript"/>
              </w:rPr>
              <w:t>3</w:t>
            </w:r>
            <w:proofErr w:type="spellEnd"/>
            <w:r w:rsidRPr="006327AA">
              <w:rPr>
                <w:rFonts w:cs="Arial"/>
              </w:rPr>
              <w:t xml:space="preserve"> is solely responsible for diseases reported in exposed welders</w:t>
            </w:r>
          </w:p>
          <w:p w14:paraId="59721CE5" w14:textId="40820DD4" w:rsidR="00CB667C" w:rsidRPr="006327AA" w:rsidRDefault="006327AA" w:rsidP="00717D45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Non-</w:t>
            </w:r>
            <w:r w:rsidR="00CB667C" w:rsidRPr="006327AA">
              <w:rPr>
                <w:rFonts w:cs="Arial"/>
              </w:rPr>
              <w:t>carcinogenic in</w:t>
            </w:r>
            <w:r>
              <w:rPr>
                <w:rFonts w:cs="Arial"/>
              </w:rPr>
              <w:t xml:space="preserve"> animals given intratracheal instillations</w:t>
            </w:r>
            <w:r w:rsidR="00CB667C" w:rsidRPr="006327AA">
              <w:rPr>
                <w:rFonts w:cs="Arial"/>
              </w:rPr>
              <w:t xml:space="preserve"> </w:t>
            </w:r>
          </w:p>
          <w:p w14:paraId="2A722C8E" w14:textId="00B4FF41" w:rsidR="004966BF" w:rsidRPr="004C23F4" w:rsidRDefault="002A4D6D" w:rsidP="006327AA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H</w:t>
            </w:r>
            <w:r w:rsidR="00CB667C" w:rsidRPr="00CB667C">
              <w:rPr>
                <w:rFonts w:cs="Arial"/>
              </w:rPr>
              <w:t>aematite dust may increas</w:t>
            </w:r>
            <w:r>
              <w:rPr>
                <w:rFonts w:cs="Arial"/>
              </w:rPr>
              <w:t>e</w:t>
            </w:r>
            <w:r w:rsidR="00CB667C" w:rsidRPr="00CB667C">
              <w:rPr>
                <w:rFonts w:cs="Arial"/>
              </w:rPr>
              <w:t xml:space="preserve"> the risk of lung cancer development in underground workers but not surface workers, </w:t>
            </w:r>
            <w:r w:rsidR="00AC597C">
              <w:rPr>
                <w:rFonts w:cs="Arial"/>
              </w:rPr>
              <w:t xml:space="preserve">possibly </w:t>
            </w:r>
            <w:r w:rsidR="00CB667C" w:rsidRPr="00CB667C">
              <w:rPr>
                <w:rFonts w:cs="Arial"/>
              </w:rPr>
              <w:t xml:space="preserve">due to </w:t>
            </w:r>
            <w:r>
              <w:rPr>
                <w:rFonts w:cs="Arial"/>
              </w:rPr>
              <w:t>confounders such as airborne silica or radioactive</w:t>
            </w:r>
            <w:r w:rsidR="00CB667C" w:rsidRPr="00CB667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dust</w:t>
            </w:r>
            <w:r w:rsidR="005034BA">
              <w:rPr>
                <w:rFonts w:cs="Arial"/>
              </w:rPr>
              <w:t>.</w:t>
            </w:r>
          </w:p>
        </w:tc>
      </w:tr>
      <w:tr w:rsidR="004966BF" w:rsidRPr="004C23F4" w14:paraId="6C832B30" w14:textId="77777777" w:rsidTr="00D20870">
        <w:trPr>
          <w:cantSplit/>
        </w:trPr>
        <w:tc>
          <w:tcPr>
            <w:tcW w:w="1492" w:type="dxa"/>
          </w:tcPr>
          <w:p w14:paraId="75075ABA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363078E6" w14:textId="474CCCB6" w:rsidR="004966BF" w:rsidRPr="00CE617F" w:rsidRDefault="0086653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F3E5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C9AD59C" w14:textId="157E0280" w:rsidR="004966BF" w:rsidRPr="004C23F4" w:rsidRDefault="003F3E5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1" w:type="dxa"/>
          </w:tcPr>
          <w:p w14:paraId="4671FC3A" w14:textId="2B441117" w:rsidR="00627524" w:rsidRPr="002A4D6D" w:rsidRDefault="00627524" w:rsidP="00627524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Grouped assessment of </w:t>
            </w:r>
            <w:proofErr w:type="gramStart"/>
            <w:r>
              <w:rPr>
                <w:rFonts w:cs="Arial"/>
              </w:rPr>
              <w:t>Fe(</w:t>
            </w:r>
            <w:proofErr w:type="gramEnd"/>
            <w:r>
              <w:rPr>
                <w:rFonts w:cs="Arial"/>
              </w:rPr>
              <w:t xml:space="preserve">II) and </w:t>
            </w:r>
            <w:proofErr w:type="gramStart"/>
            <w:r>
              <w:rPr>
                <w:rFonts w:cs="Arial"/>
              </w:rPr>
              <w:t>Fe(</w:t>
            </w:r>
            <w:proofErr w:type="gramEnd"/>
            <w:r>
              <w:rPr>
                <w:rFonts w:cs="Arial"/>
              </w:rPr>
              <w:t xml:space="preserve">III) oxides; </w:t>
            </w:r>
            <w:proofErr w:type="spellStart"/>
            <w:r w:rsidRPr="001F4FF7">
              <w:rPr>
                <w:rFonts w:cs="Arial"/>
              </w:rPr>
              <w:t>NOAEC</w:t>
            </w:r>
            <w:proofErr w:type="spellEnd"/>
            <w:r w:rsidRPr="001F4FF7">
              <w:rPr>
                <w:rFonts w:cs="Arial"/>
              </w:rPr>
              <w:t xml:space="preserve"> of </w:t>
            </w:r>
            <w:r>
              <w:rPr>
                <w:rFonts w:cs="Arial"/>
              </w:rPr>
              <w:t>4.7 mg/</w:t>
            </w:r>
            <w:proofErr w:type="spellStart"/>
            <w:r>
              <w:rPr>
                <w:rFonts w:cs="Arial"/>
              </w:rPr>
              <w:t>m</w:t>
            </w:r>
            <w:r>
              <w:rPr>
                <w:rFonts w:cs="Arial"/>
                <w:vertAlign w:val="superscript"/>
              </w:rPr>
              <w:t>3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 w:rsidR="0063269C">
              <w:rPr>
                <w:rFonts w:cs="Arial"/>
              </w:rPr>
              <w:t>Fe</w:t>
            </w:r>
            <w:r w:rsidR="00785736">
              <w:rPr>
                <w:rFonts w:cs="Arial"/>
                <w:vertAlign w:val="subscript"/>
              </w:rPr>
              <w:t>3</w:t>
            </w:r>
            <w:r w:rsidR="0063269C">
              <w:rPr>
                <w:rFonts w:cs="Arial"/>
              </w:rPr>
              <w:t>O</w:t>
            </w:r>
            <w:r w:rsidR="0063269C">
              <w:rPr>
                <w:rFonts w:cs="Arial"/>
                <w:vertAlign w:val="subscript"/>
              </w:rPr>
              <w:t>4</w:t>
            </w:r>
            <w:proofErr w:type="spellEnd"/>
            <w:r w:rsidR="0063269C">
              <w:rPr>
                <w:rFonts w:cs="Arial"/>
              </w:rPr>
              <w:t xml:space="preserve"> </w:t>
            </w:r>
            <w:r>
              <w:rPr>
                <w:rFonts w:cs="Arial"/>
              </w:rPr>
              <w:t>for increased inflammatory response markers in BAL</w:t>
            </w:r>
            <w:r w:rsidR="000D2C64">
              <w:rPr>
                <w:rFonts w:cs="Arial"/>
              </w:rPr>
              <w:t xml:space="preserve"> fluid</w:t>
            </w:r>
            <w:r>
              <w:rPr>
                <w:rFonts w:cs="Arial"/>
              </w:rPr>
              <w:t xml:space="preserve"> in inhalational </w:t>
            </w:r>
            <w:r w:rsidR="000D2C64">
              <w:rPr>
                <w:rFonts w:cs="Arial"/>
              </w:rPr>
              <w:t xml:space="preserve">studies used to support </w:t>
            </w:r>
            <w:proofErr w:type="spellStart"/>
            <w:r>
              <w:rPr>
                <w:rFonts w:cs="Arial"/>
              </w:rPr>
              <w:t>DNEL</w:t>
            </w:r>
            <w:proofErr w:type="spellEnd"/>
            <w:r>
              <w:rPr>
                <w:rFonts w:cs="Arial"/>
              </w:rPr>
              <w:t xml:space="preserve"> (</w:t>
            </w:r>
            <w:r>
              <w:t xml:space="preserve">cited by </w:t>
            </w:r>
            <w:proofErr w:type="spellStart"/>
            <w:r>
              <w:t>DFG</w:t>
            </w:r>
            <w:proofErr w:type="spellEnd"/>
            <w:r>
              <w:t>, 2011)</w:t>
            </w:r>
          </w:p>
          <w:p w14:paraId="004FDE17" w14:textId="1786D166" w:rsidR="00627524" w:rsidRDefault="00627524" w:rsidP="00627524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>
              <w:t xml:space="preserve">Grouped substances treated as dust without specific </w:t>
            </w:r>
            <w:proofErr w:type="gramStart"/>
            <w:r>
              <w:t>toxicity;,</w:t>
            </w:r>
            <w:proofErr w:type="gramEnd"/>
            <w:r>
              <w:t xml:space="preserve"> </w:t>
            </w:r>
            <w:proofErr w:type="spellStart"/>
            <w:r>
              <w:t>DFG</w:t>
            </w:r>
            <w:proofErr w:type="spellEnd"/>
            <w:r>
              <w:t xml:space="preserve"> general dust limit for respirable particles adopted as recommended OEL (3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); </w:t>
            </w:r>
            <w:proofErr w:type="spellStart"/>
            <w:r>
              <w:t>NOAEC</w:t>
            </w:r>
            <w:proofErr w:type="spellEnd"/>
            <w:r>
              <w:t xml:space="preserve"> of 4.7</w:t>
            </w:r>
            <w:r w:rsidR="005034BA">
              <w:t xml:space="preserve"> </w:t>
            </w:r>
            <w:r>
              <w:t>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is higher than the respirable dust limit</w:t>
            </w:r>
          </w:p>
          <w:p w14:paraId="75D5004C" w14:textId="77777777" w:rsidR="002A4D6D" w:rsidRDefault="001F4FF7" w:rsidP="002A4D6D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r w:rsidRPr="001F4FF7">
              <w:rPr>
                <w:rFonts w:cs="Arial"/>
              </w:rPr>
              <w:t>Non-specific toxicity consistent with a ‘poorly soluble particle’ and no specific toxicity observed at higher concentrations</w:t>
            </w:r>
          </w:p>
          <w:p w14:paraId="5B01BB81" w14:textId="62472782" w:rsidR="004966BF" w:rsidRPr="00627524" w:rsidRDefault="002A4D6D" w:rsidP="00717D45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N</w:t>
            </w:r>
            <w:r w:rsidR="001F4FF7" w:rsidRPr="001F4FF7">
              <w:rPr>
                <w:rFonts w:cs="Arial"/>
              </w:rPr>
              <w:t>o evidence of systemic toxicity, g</w:t>
            </w:r>
            <w:r w:rsidR="00627524">
              <w:rPr>
                <w:rFonts w:cs="Arial"/>
              </w:rPr>
              <w:t>enotoxicity or carcinogenicity.</w:t>
            </w:r>
          </w:p>
        </w:tc>
      </w:tr>
      <w:tr w:rsidR="004966BF" w:rsidRPr="004C23F4" w14:paraId="35013AA9" w14:textId="77777777" w:rsidTr="00D20870">
        <w:trPr>
          <w:cantSplit/>
        </w:trPr>
        <w:tc>
          <w:tcPr>
            <w:tcW w:w="1492" w:type="dxa"/>
          </w:tcPr>
          <w:p w14:paraId="466C49A4" w14:textId="77777777" w:rsidR="004966BF" w:rsidRDefault="004966BF" w:rsidP="00224EE2">
            <w:pPr>
              <w:pStyle w:val="Tablefont"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422" w:type="dxa"/>
          </w:tcPr>
          <w:p w14:paraId="4351FC62" w14:textId="37A473B6" w:rsidR="004966BF" w:rsidRDefault="0086653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66F2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B4C1358" w14:textId="461808C4" w:rsidR="004966BF" w:rsidRPr="004C23F4" w:rsidRDefault="00066F2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1" w:type="dxa"/>
          </w:tcPr>
          <w:p w14:paraId="2A3B91A3" w14:textId="3BE8780E" w:rsidR="004966BF" w:rsidRDefault="00066F21" w:rsidP="00B84FBD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proofErr w:type="spellStart"/>
            <w:r w:rsidRPr="00066F21">
              <w:rPr>
                <w:rFonts w:cs="Arial"/>
              </w:rPr>
              <w:t>IDLH</w:t>
            </w:r>
            <w:proofErr w:type="spellEnd"/>
            <w:r w:rsidRPr="00066F21">
              <w:rPr>
                <w:rFonts w:cs="Arial"/>
              </w:rPr>
              <w:t xml:space="preserve"> for </w:t>
            </w:r>
            <w:proofErr w:type="spellStart"/>
            <w:r w:rsidR="000D2C64">
              <w:t>Fe</w:t>
            </w:r>
            <w:r w:rsidR="000D2C64" w:rsidRPr="004114F0">
              <w:rPr>
                <w:vertAlign w:val="subscript"/>
              </w:rPr>
              <w:t>2</w:t>
            </w:r>
            <w:r w:rsidR="000D2C64">
              <w:t>O</w:t>
            </w:r>
            <w:r w:rsidR="000D2C64" w:rsidRPr="004114F0">
              <w:rPr>
                <w:vertAlign w:val="subscript"/>
              </w:rPr>
              <w:t>3</w:t>
            </w:r>
            <w:proofErr w:type="spellEnd"/>
            <w:r>
              <w:rPr>
                <w:rFonts w:cs="Arial"/>
              </w:rPr>
              <w:t xml:space="preserve"> dust and fume is 2,500 mg</w:t>
            </w:r>
            <w:r w:rsidRPr="00066F21">
              <w:rPr>
                <w:rFonts w:cs="Arial"/>
              </w:rPr>
              <w:t>/</w:t>
            </w:r>
            <w:proofErr w:type="spellStart"/>
            <w:r w:rsidRPr="00066F21">
              <w:rPr>
                <w:rFonts w:cs="Arial"/>
              </w:rPr>
              <w:t>m</w:t>
            </w:r>
            <w:r w:rsidRPr="00066F21">
              <w:rPr>
                <w:rFonts w:cs="Arial"/>
                <w:vertAlign w:val="superscript"/>
              </w:rPr>
              <w:t>3</w:t>
            </w:r>
            <w:proofErr w:type="spellEnd"/>
            <w:r w:rsidR="005034BA">
              <w:rPr>
                <w:rFonts w:cs="Arial"/>
              </w:rPr>
              <w:t xml:space="preserve"> </w:t>
            </w:r>
            <w:r w:rsidRPr="00066F21">
              <w:rPr>
                <w:rFonts w:cs="Arial"/>
              </w:rPr>
              <w:t xml:space="preserve">based on being </w:t>
            </w:r>
            <w:r>
              <w:rPr>
                <w:rFonts w:cs="Arial"/>
              </w:rPr>
              <w:t xml:space="preserve">500 times the </w:t>
            </w:r>
            <w:proofErr w:type="spellStart"/>
            <w:r>
              <w:rPr>
                <w:rFonts w:cs="Arial"/>
              </w:rPr>
              <w:t>NIOSH</w:t>
            </w:r>
            <w:proofErr w:type="spellEnd"/>
            <w:r>
              <w:rPr>
                <w:rFonts w:cs="Arial"/>
              </w:rPr>
              <w:t xml:space="preserve"> REL of 5 mg</w:t>
            </w:r>
            <w:r w:rsidRPr="00066F21">
              <w:rPr>
                <w:rFonts w:cs="Arial"/>
              </w:rPr>
              <w:t>/</w:t>
            </w:r>
            <w:proofErr w:type="spellStart"/>
            <w:r w:rsidRPr="00066F21">
              <w:rPr>
                <w:rFonts w:cs="Arial"/>
              </w:rPr>
              <w:t>m</w:t>
            </w:r>
            <w:r w:rsidRPr="00066F21">
              <w:rPr>
                <w:rFonts w:cs="Arial"/>
                <w:vertAlign w:val="superscript"/>
              </w:rPr>
              <w:t>3</w:t>
            </w:r>
            <w:proofErr w:type="spellEnd"/>
          </w:p>
          <w:p w14:paraId="708EE557" w14:textId="7E8AC971" w:rsidR="00B84FBD" w:rsidRPr="004C23F4" w:rsidRDefault="00B84FBD" w:rsidP="00B84FBD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Value not adopted due to lack of experimental basis</w:t>
            </w:r>
            <w:r w:rsidR="005034BA">
              <w:rPr>
                <w:rFonts w:cs="Arial"/>
              </w:rPr>
              <w:t>.</w:t>
            </w:r>
          </w:p>
        </w:tc>
      </w:tr>
    </w:tbl>
    <w:bookmarkEnd w:id="0"/>
    <w:p w14:paraId="6B1D987D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4389C11" w14:textId="77777777" w:rsidTr="003F3E58">
        <w:trPr>
          <w:trHeight w:val="454"/>
          <w:tblHeader/>
        </w:trPr>
        <w:tc>
          <w:tcPr>
            <w:tcW w:w="6597" w:type="dxa"/>
            <w:vAlign w:val="center"/>
          </w:tcPr>
          <w:p w14:paraId="696FE32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4693C3D" w14:textId="0341909F" w:rsidR="002E0D61" w:rsidRDefault="00B84FB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715D214D" w14:textId="77777777" w:rsidTr="003F3E58">
        <w:trPr>
          <w:trHeight w:val="454"/>
        </w:trPr>
        <w:tc>
          <w:tcPr>
            <w:tcW w:w="6597" w:type="dxa"/>
            <w:vAlign w:val="center"/>
          </w:tcPr>
          <w:p w14:paraId="1AC822F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AF197E7" w14:textId="52CD1C0E" w:rsidR="008A36CF" w:rsidRDefault="003F3E5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0D2C64" w14:paraId="42D4634E" w14:textId="77777777" w:rsidTr="00B11F86">
        <w:trPr>
          <w:trHeight w:val="454"/>
        </w:trPr>
        <w:sdt>
          <w:sdtPr>
            <w:rPr>
              <w:b/>
            </w:rPr>
            <w:id w:val="1830936485"/>
            <w:placeholder>
              <w:docPart w:val="6D8A01A7F1364C60BCAD2AC0C6B5AAE9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7968C181" w14:textId="1DAFCC16" w:rsidR="000D2C64" w:rsidRDefault="000D2C6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48BE30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498874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590CBC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EE7258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C86654C" w14:textId="77777777" w:rsidTr="00812887">
        <w:trPr>
          <w:cantSplit/>
        </w:trPr>
        <w:tc>
          <w:tcPr>
            <w:tcW w:w="3227" w:type="dxa"/>
          </w:tcPr>
          <w:p w14:paraId="6A89E4B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7171B7D" w14:textId="496B7AD2" w:rsidR="00687890" w:rsidRPr="00DD2F9B" w:rsidRDefault="00D47824" w:rsidP="00DD2F9B">
            <w:pPr>
              <w:pStyle w:val="Tablefont"/>
            </w:pPr>
            <w:r w:rsidRPr="00D47824">
              <w:t>—</w:t>
            </w:r>
          </w:p>
        </w:tc>
      </w:tr>
      <w:tr w:rsidR="007925F0" w:rsidRPr="004C23F4" w14:paraId="720B93B0" w14:textId="77777777" w:rsidTr="00812887">
        <w:trPr>
          <w:cantSplit/>
        </w:trPr>
        <w:tc>
          <w:tcPr>
            <w:tcW w:w="3227" w:type="dxa"/>
          </w:tcPr>
          <w:p w14:paraId="2AE8FB1D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46F64D98" w14:textId="4F31CF02" w:rsidR="007925F0" w:rsidRPr="00DD2F9B" w:rsidRDefault="00D47824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6CC3488" w14:textId="77777777" w:rsidTr="00812887">
        <w:trPr>
          <w:cantSplit/>
        </w:trPr>
        <w:tc>
          <w:tcPr>
            <w:tcW w:w="3227" w:type="dxa"/>
          </w:tcPr>
          <w:p w14:paraId="412DAE1D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107D6D06" w14:textId="113494F7" w:rsidR="00AF483F" w:rsidRPr="00DD2F9B" w:rsidRDefault="00785736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62A94DF3" w14:textId="77777777" w:rsidTr="00812887">
        <w:trPr>
          <w:cantSplit/>
        </w:trPr>
        <w:tc>
          <w:tcPr>
            <w:tcW w:w="3227" w:type="dxa"/>
          </w:tcPr>
          <w:p w14:paraId="5308057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5C6B20B" w14:textId="70F7D279" w:rsidR="00687890" w:rsidRPr="00DD2F9B" w:rsidRDefault="00D4782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381A868" w14:textId="77777777" w:rsidTr="00812887">
        <w:trPr>
          <w:cantSplit/>
        </w:trPr>
        <w:tc>
          <w:tcPr>
            <w:tcW w:w="3227" w:type="dxa"/>
          </w:tcPr>
          <w:p w14:paraId="14204A2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5C9A312" w14:textId="78831F82" w:rsidR="00E41A26" w:rsidRPr="00DD2F9B" w:rsidRDefault="00D4782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9FC0B94" w14:textId="77777777" w:rsidTr="00812887">
        <w:trPr>
          <w:cantSplit/>
        </w:trPr>
        <w:tc>
          <w:tcPr>
            <w:tcW w:w="3227" w:type="dxa"/>
          </w:tcPr>
          <w:p w14:paraId="70266077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0B4FA866" w14:textId="3240C626" w:rsidR="002E0D61" w:rsidRPr="00DD2F9B" w:rsidRDefault="00D47824" w:rsidP="00DD2F9B">
            <w:pPr>
              <w:pStyle w:val="Tablefont"/>
            </w:pPr>
            <w:r w:rsidRPr="00D47824">
              <w:t xml:space="preserve">Carcinogenicity – </w:t>
            </w:r>
            <w:proofErr w:type="spellStart"/>
            <w:r w:rsidRPr="00D47824">
              <w:t>A4</w:t>
            </w:r>
            <w:proofErr w:type="spellEnd"/>
          </w:p>
        </w:tc>
      </w:tr>
      <w:tr w:rsidR="002E0D61" w:rsidRPr="004C23F4" w14:paraId="3DC10551" w14:textId="77777777" w:rsidTr="00812887">
        <w:trPr>
          <w:cantSplit/>
        </w:trPr>
        <w:tc>
          <w:tcPr>
            <w:tcW w:w="3227" w:type="dxa"/>
          </w:tcPr>
          <w:p w14:paraId="2554DAEC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435F6561" w14:textId="6DB5991E" w:rsidR="002E0D61" w:rsidRPr="00DD2F9B" w:rsidRDefault="00D47824" w:rsidP="00DD2F9B">
            <w:pPr>
              <w:pStyle w:val="Tablefont"/>
            </w:pPr>
            <w:r w:rsidRPr="00D47824">
              <w:t xml:space="preserve">Carcinogenicity – </w:t>
            </w:r>
            <w:proofErr w:type="spellStart"/>
            <w:r w:rsidRPr="00D47824">
              <w:t>3B</w:t>
            </w:r>
            <w:proofErr w:type="spellEnd"/>
          </w:p>
        </w:tc>
      </w:tr>
      <w:tr w:rsidR="002E0D61" w:rsidRPr="004C23F4" w14:paraId="5564880B" w14:textId="77777777" w:rsidTr="00812887">
        <w:trPr>
          <w:cantSplit/>
        </w:trPr>
        <w:tc>
          <w:tcPr>
            <w:tcW w:w="3227" w:type="dxa"/>
          </w:tcPr>
          <w:p w14:paraId="30F5CE6A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60FC981D" w14:textId="122916D1" w:rsidR="002E0D61" w:rsidRPr="00DD2F9B" w:rsidRDefault="00D4782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B6A5FC5" w14:textId="77777777" w:rsidTr="00812887">
        <w:trPr>
          <w:cantSplit/>
        </w:trPr>
        <w:tc>
          <w:tcPr>
            <w:tcW w:w="3227" w:type="dxa"/>
          </w:tcPr>
          <w:p w14:paraId="0CC40356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56C0BEF3" w14:textId="4CE9A3CC" w:rsidR="002E0D61" w:rsidRPr="00DD2F9B" w:rsidRDefault="00D4782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108A8F0" w14:textId="77777777" w:rsidTr="00812887">
        <w:trPr>
          <w:cantSplit/>
        </w:trPr>
        <w:tc>
          <w:tcPr>
            <w:tcW w:w="3227" w:type="dxa"/>
          </w:tcPr>
          <w:p w14:paraId="7AE8ED3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4E06ED4" w14:textId="13669138" w:rsidR="00386093" w:rsidRPr="00DD2F9B" w:rsidRDefault="00785736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38083238" w14:textId="77777777" w:rsidTr="00812887">
        <w:trPr>
          <w:cantSplit/>
        </w:trPr>
        <w:tc>
          <w:tcPr>
            <w:tcW w:w="3227" w:type="dxa"/>
          </w:tcPr>
          <w:p w14:paraId="0445C493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0392F686" w14:textId="7003B9DD" w:rsidR="00386093" w:rsidRPr="00DD2F9B" w:rsidRDefault="00D4782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D7B696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286A2A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A7CFFD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21BAB0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CBA84E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86F9BD8" w14:textId="6F791AF7" w:rsidR="00932DCE" w:rsidRPr="004C23F4" w:rsidRDefault="00921F19" w:rsidP="00F9496B">
            <w:pPr>
              <w:pStyle w:val="Tablefont"/>
            </w:pPr>
            <w:r>
              <w:t>Insufficient data to assign a skin notation</w:t>
            </w:r>
            <w:r w:rsidR="000D2C64">
              <w:t>.</w:t>
            </w:r>
          </w:p>
        </w:tc>
      </w:tr>
    </w:tbl>
    <w:bookmarkEnd w:id="3"/>
    <w:p w14:paraId="2A89B783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2A36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051E06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01A91A7" w14:textId="6C358989" w:rsidR="00EB3D1B" w:rsidRDefault="00066F2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B52EE85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727C64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795515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65E3518" w14:textId="6600C2D1" w:rsidR="001B79E5" w:rsidRDefault="00D47824" w:rsidP="001B79E5">
                <w:pPr>
                  <w:pStyle w:val="Tablefont"/>
                </w:pPr>
                <w:r w:rsidRPr="00D47824">
                  <w:t>177.7</w:t>
                </w:r>
              </w:p>
            </w:tc>
          </w:sdtContent>
        </w:sdt>
      </w:tr>
      <w:tr w:rsidR="00A31D99" w:rsidRPr="004C23F4" w14:paraId="199EC81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BEEE64A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270583D2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02667D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B6EC1B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3098B00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D28A6BE" w14:textId="77777777" w:rsidTr="00EA6243">
        <w:trPr>
          <w:cantSplit/>
        </w:trPr>
        <w:tc>
          <w:tcPr>
            <w:tcW w:w="4077" w:type="dxa"/>
            <w:vAlign w:val="center"/>
          </w:tcPr>
          <w:p w14:paraId="5C69E7E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5F2C2D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4E5AB10" w14:textId="77777777" w:rsidTr="00EA6243">
        <w:trPr>
          <w:cantSplit/>
        </w:trPr>
        <w:tc>
          <w:tcPr>
            <w:tcW w:w="4077" w:type="dxa"/>
            <w:vAlign w:val="center"/>
          </w:tcPr>
          <w:p w14:paraId="0B918032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7EFC857" w14:textId="3BB2B150" w:rsidR="00687890" w:rsidRPr="004C23F4" w:rsidRDefault="00D20870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2A5C3A65" w14:textId="77777777" w:rsidTr="00EA6243">
        <w:trPr>
          <w:cantSplit/>
        </w:trPr>
        <w:tc>
          <w:tcPr>
            <w:tcW w:w="4077" w:type="dxa"/>
            <w:vAlign w:val="center"/>
          </w:tcPr>
          <w:p w14:paraId="29E06F8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222C13E" w14:textId="77777777" w:rsidR="00E06F40" w:rsidRPr="00A006A0" w:rsidRDefault="0086653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2F390A7C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DA3D94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A54101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5F9078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A7E4B0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1D475C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EB82C0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A12469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A2B7F14" w14:textId="7541220E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5EC46F17" w14:textId="78087D02" w:rsidR="00D47824" w:rsidRDefault="00D47824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(2011) </w:t>
      </w:r>
      <w:r w:rsidRPr="00D47824">
        <w:t>Iron oxides (inhalable fraction)</w:t>
      </w:r>
      <w:r>
        <w:t xml:space="preserve"> – MAK value documentation.</w:t>
      </w:r>
    </w:p>
    <w:p w14:paraId="78B0A9F0" w14:textId="2DC1D97D" w:rsidR="00785736" w:rsidRDefault="00785736" w:rsidP="00084859">
      <w:r>
        <w:t>European Chemicals Agency (ECHA) (2019) Iron oxide – REACH assessment.</w:t>
      </w:r>
    </w:p>
    <w:p w14:paraId="5DEC7A01" w14:textId="5407AFC2" w:rsidR="00785736" w:rsidRDefault="00785736" w:rsidP="00084859">
      <w:r w:rsidRPr="00DB0A36">
        <w:t xml:space="preserve">International Agency for Research on Cancer (IARC) </w:t>
      </w:r>
      <w:r>
        <w:t xml:space="preserve">(1972) </w:t>
      </w:r>
      <w:r w:rsidRPr="00785736">
        <w:t>Some Inorganic Substances, Chlorinated Hydrocarbons, Aromatic Amines, N-Nitroso Compounds, and Natural Products</w:t>
      </w:r>
      <w:r>
        <w:t>. IARC Monographs, volume 1</w:t>
      </w:r>
      <w:r w:rsidRPr="00DB0A36">
        <w:t>.</w:t>
      </w:r>
    </w:p>
    <w:p w14:paraId="53CABBD5" w14:textId="57F7F12F" w:rsidR="00785736" w:rsidRDefault="00785736" w:rsidP="00084859">
      <w:r w:rsidRPr="00DB0A36">
        <w:t>National Industrial Chemicals Notification and Assessment Scheme (</w:t>
      </w:r>
      <w:proofErr w:type="spellStart"/>
      <w:r w:rsidRPr="00DB0A36">
        <w:t>NICNAS</w:t>
      </w:r>
      <w:proofErr w:type="spellEnd"/>
      <w:r w:rsidRPr="00DB0A36">
        <w:t>) (</w:t>
      </w:r>
      <w:r>
        <w:t>2018</w:t>
      </w:r>
      <w:r w:rsidRPr="00DB0A36">
        <w:t xml:space="preserve">) </w:t>
      </w:r>
      <w:r w:rsidRPr="00B84FBD">
        <w:t>Iron oxide (</w:t>
      </w:r>
      <w:proofErr w:type="spellStart"/>
      <w:r w:rsidRPr="00B84FBD">
        <w:t>Fe2O3</w:t>
      </w:r>
      <w:proofErr w:type="spellEnd"/>
      <w:r w:rsidRPr="00B84FBD">
        <w:t>)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>tier I</w:t>
      </w:r>
      <w:r w:rsidRPr="004633BA">
        <w:t xml:space="preserve"> assessment </w:t>
      </w:r>
      <w:r w:rsidRPr="00DB0A36">
        <w:t>– IMAP report.</w:t>
      </w:r>
    </w:p>
    <w:p w14:paraId="6D2F273C" w14:textId="6DC02517" w:rsidR="00D47824" w:rsidRDefault="00D47824" w:rsidP="00084859">
      <w:r w:rsidRPr="00D86E03">
        <w:t>US National Institute for Occupational Safety and Health (</w:t>
      </w:r>
      <w:proofErr w:type="spellStart"/>
      <w:r w:rsidRPr="00D86E03">
        <w:t>NIOSH</w:t>
      </w:r>
      <w:proofErr w:type="spellEnd"/>
      <w:r w:rsidRPr="00D86E03">
        <w:t>)</w:t>
      </w:r>
      <w:r>
        <w:t xml:space="preserve"> (1994) Immediately dangerous to life or health concentrations – </w:t>
      </w:r>
      <w:r w:rsidRPr="00D47824">
        <w:t>Iron oxide dust and fume (as Fe)</w:t>
      </w:r>
      <w:r>
        <w:t>.</w:t>
      </w:r>
    </w:p>
    <w:p w14:paraId="56FEA17D" w14:textId="77777777" w:rsidR="00D47824" w:rsidRPr="00351FE0" w:rsidRDefault="00D47824" w:rsidP="00084859"/>
    <w:sectPr w:rsidR="00D47824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420E8" w14:textId="77777777" w:rsidR="00445FA4" w:rsidRDefault="00445FA4" w:rsidP="00F43AD5">
      <w:pPr>
        <w:spacing w:after="0" w:line="240" w:lineRule="auto"/>
      </w:pPr>
      <w:r>
        <w:separator/>
      </w:r>
    </w:p>
  </w:endnote>
  <w:endnote w:type="continuationSeparator" w:id="0">
    <w:p w14:paraId="37337933" w14:textId="77777777" w:rsidR="00445FA4" w:rsidRDefault="00445FA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8CE2A94" w14:textId="7A14221C" w:rsidR="008A36CF" w:rsidRDefault="004114F0" w:rsidP="0034744C">
        <w:pPr>
          <w:pStyle w:val="Footer"/>
          <w:rPr>
            <w:sz w:val="18"/>
            <w:szCs w:val="18"/>
          </w:rPr>
        </w:pPr>
        <w:r w:rsidRPr="004114F0">
          <w:rPr>
            <w:b/>
            <w:sz w:val="18"/>
            <w:szCs w:val="18"/>
          </w:rPr>
          <w:t>Iron oxide fume</w:t>
        </w:r>
        <w:r w:rsidR="0018581F">
          <w:rPr>
            <w:b/>
            <w:sz w:val="18"/>
            <w:szCs w:val="18"/>
          </w:rPr>
          <w:t xml:space="preserve"> and dust</w:t>
        </w:r>
        <w:r w:rsidRPr="004114F0">
          <w:rPr>
            <w:b/>
            <w:sz w:val="18"/>
            <w:szCs w:val="18"/>
          </w:rPr>
          <w:t xml:space="preserve"> (</w:t>
        </w:r>
        <w:proofErr w:type="spellStart"/>
        <w:r w:rsidRPr="004114F0">
          <w:rPr>
            <w:b/>
            <w:sz w:val="18"/>
            <w:szCs w:val="18"/>
          </w:rPr>
          <w:t>Fe2O3</w:t>
        </w:r>
        <w:proofErr w:type="spellEnd"/>
        <w:r w:rsidRPr="004114F0">
          <w:rPr>
            <w:b/>
            <w:sz w:val="18"/>
            <w:szCs w:val="18"/>
          </w:rPr>
          <w:t>) (as Fe)</w:t>
        </w:r>
        <w:r w:rsidR="008A36CF">
          <w:rPr>
            <w:b/>
            <w:sz w:val="18"/>
            <w:szCs w:val="18"/>
          </w:rPr>
          <w:t xml:space="preserve"> (</w:t>
        </w:r>
        <w:r w:rsidRPr="004114F0">
          <w:rPr>
            <w:b/>
            <w:sz w:val="18"/>
            <w:szCs w:val="18"/>
          </w:rPr>
          <w:t>1309-37-1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8442890" w14:textId="22FBB0B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62153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AAF15" w14:textId="77777777" w:rsidR="00445FA4" w:rsidRDefault="00445FA4" w:rsidP="00F43AD5">
      <w:pPr>
        <w:spacing w:after="0" w:line="240" w:lineRule="auto"/>
      </w:pPr>
      <w:r>
        <w:separator/>
      </w:r>
    </w:p>
  </w:footnote>
  <w:footnote w:type="continuationSeparator" w:id="0">
    <w:p w14:paraId="11937D25" w14:textId="77777777" w:rsidR="00445FA4" w:rsidRDefault="00445FA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21665" w14:textId="10000CF1" w:rsidR="00B62153" w:rsidRDefault="00B62153" w:rsidP="00B62153">
    <w:pPr>
      <w:pStyle w:val="Header"/>
      <w:jc w:val="right"/>
    </w:pPr>
    <w:r>
      <w:rPr>
        <w:noProof/>
        <w:lang w:eastAsia="en-AU"/>
      </w:rPr>
      <w:drawing>
        <wp:inline distT="0" distB="0" distL="0" distR="0" wp14:anchorId="7C402ED8" wp14:editId="693A1CC0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6D6FFB" w14:textId="59B376E7" w:rsidR="008A36CF" w:rsidRPr="00B62153" w:rsidRDefault="008A36CF" w:rsidP="00B621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438C1" w14:textId="0736AC0C" w:rsidR="00B62153" w:rsidRDefault="0086653A" w:rsidP="00B62153">
    <w:pPr>
      <w:pStyle w:val="Header"/>
      <w:jc w:val="right"/>
    </w:pPr>
    <w:sdt>
      <w:sdtPr>
        <w:id w:val="-462660582"/>
        <w:docPartObj>
          <w:docPartGallery w:val="Watermarks"/>
          <w:docPartUnique/>
        </w:docPartObj>
      </w:sdtPr>
      <w:sdtEndPr/>
      <w:sdtContent/>
    </w:sdt>
    <w:r w:rsidR="00B62153">
      <w:rPr>
        <w:noProof/>
        <w:lang w:eastAsia="en-AU"/>
      </w:rPr>
      <w:drawing>
        <wp:inline distT="0" distB="0" distL="0" distR="0" wp14:anchorId="61AC42B2" wp14:editId="50136EF3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2C94EF" w14:textId="70DDD64B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8BE67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1E254E5"/>
    <w:multiLevelType w:val="hybridMultilevel"/>
    <w:tmpl w:val="480C43E2"/>
    <w:lvl w:ilvl="0" w:tplc="18B070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1952CC"/>
    <w:multiLevelType w:val="hybridMultilevel"/>
    <w:tmpl w:val="40B254EA"/>
    <w:lvl w:ilvl="0" w:tplc="A0CC37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351551">
    <w:abstractNumId w:val="2"/>
  </w:num>
  <w:num w:numId="2" w16cid:durableId="633029420">
    <w:abstractNumId w:val="1"/>
  </w:num>
  <w:num w:numId="3" w16cid:durableId="1145776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8B3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6F21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48A4"/>
    <w:rsid w:val="000B7B48"/>
    <w:rsid w:val="000C096D"/>
    <w:rsid w:val="000C139A"/>
    <w:rsid w:val="000C2053"/>
    <w:rsid w:val="000C248C"/>
    <w:rsid w:val="000D291C"/>
    <w:rsid w:val="000D2C64"/>
    <w:rsid w:val="000E5A54"/>
    <w:rsid w:val="000E63D3"/>
    <w:rsid w:val="000E67CF"/>
    <w:rsid w:val="0010461E"/>
    <w:rsid w:val="00106FAA"/>
    <w:rsid w:val="00113443"/>
    <w:rsid w:val="001269A7"/>
    <w:rsid w:val="00131092"/>
    <w:rsid w:val="0013233D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581F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4FF7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A2BE4"/>
    <w:rsid w:val="002A4D6D"/>
    <w:rsid w:val="002B1A2C"/>
    <w:rsid w:val="002C28E7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4104"/>
    <w:rsid w:val="00386093"/>
    <w:rsid w:val="003904A4"/>
    <w:rsid w:val="00391841"/>
    <w:rsid w:val="00391B6D"/>
    <w:rsid w:val="00394922"/>
    <w:rsid w:val="003A0E32"/>
    <w:rsid w:val="003A2B94"/>
    <w:rsid w:val="003B23DD"/>
    <w:rsid w:val="003B387D"/>
    <w:rsid w:val="003C0D58"/>
    <w:rsid w:val="003D4FA3"/>
    <w:rsid w:val="003E0807"/>
    <w:rsid w:val="003E51FB"/>
    <w:rsid w:val="003E6B39"/>
    <w:rsid w:val="003F07E1"/>
    <w:rsid w:val="003F3E58"/>
    <w:rsid w:val="004030BC"/>
    <w:rsid w:val="00403F7D"/>
    <w:rsid w:val="00406785"/>
    <w:rsid w:val="004079B4"/>
    <w:rsid w:val="004114F0"/>
    <w:rsid w:val="00417A56"/>
    <w:rsid w:val="00420957"/>
    <w:rsid w:val="00422A10"/>
    <w:rsid w:val="00430179"/>
    <w:rsid w:val="004414B5"/>
    <w:rsid w:val="00444482"/>
    <w:rsid w:val="00444B42"/>
    <w:rsid w:val="00445E44"/>
    <w:rsid w:val="00445FA4"/>
    <w:rsid w:val="004509E2"/>
    <w:rsid w:val="004515EE"/>
    <w:rsid w:val="004529F0"/>
    <w:rsid w:val="00460A03"/>
    <w:rsid w:val="0046200B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34BA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83A92"/>
    <w:rsid w:val="0059142D"/>
    <w:rsid w:val="00591E38"/>
    <w:rsid w:val="005A19C5"/>
    <w:rsid w:val="005A3034"/>
    <w:rsid w:val="005A462D"/>
    <w:rsid w:val="005B253B"/>
    <w:rsid w:val="005B771D"/>
    <w:rsid w:val="005C5D16"/>
    <w:rsid w:val="005D2E89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7524"/>
    <w:rsid w:val="0063269C"/>
    <w:rsid w:val="006327AA"/>
    <w:rsid w:val="006363A8"/>
    <w:rsid w:val="00636429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2875"/>
    <w:rsid w:val="006B4E6C"/>
    <w:rsid w:val="006B50B6"/>
    <w:rsid w:val="006C0430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26A4"/>
    <w:rsid w:val="007770F1"/>
    <w:rsid w:val="00783FB1"/>
    <w:rsid w:val="00785736"/>
    <w:rsid w:val="00785CDD"/>
    <w:rsid w:val="00791847"/>
    <w:rsid w:val="007925F0"/>
    <w:rsid w:val="007939B3"/>
    <w:rsid w:val="0079509C"/>
    <w:rsid w:val="00796708"/>
    <w:rsid w:val="007B1B42"/>
    <w:rsid w:val="007B4557"/>
    <w:rsid w:val="007C30EB"/>
    <w:rsid w:val="007E063C"/>
    <w:rsid w:val="007E20B1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278E"/>
    <w:rsid w:val="00857A8A"/>
    <w:rsid w:val="008630EE"/>
    <w:rsid w:val="00864D13"/>
    <w:rsid w:val="0086653A"/>
    <w:rsid w:val="00871CD5"/>
    <w:rsid w:val="008745A2"/>
    <w:rsid w:val="0087568A"/>
    <w:rsid w:val="008768A8"/>
    <w:rsid w:val="0088798F"/>
    <w:rsid w:val="00887E4B"/>
    <w:rsid w:val="008915C8"/>
    <w:rsid w:val="008A1CD5"/>
    <w:rsid w:val="008A36CF"/>
    <w:rsid w:val="008A3BC4"/>
    <w:rsid w:val="008A4D13"/>
    <w:rsid w:val="008B2BBF"/>
    <w:rsid w:val="008B30B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8F601B"/>
    <w:rsid w:val="008F6DFA"/>
    <w:rsid w:val="00900951"/>
    <w:rsid w:val="00904B4A"/>
    <w:rsid w:val="009118A6"/>
    <w:rsid w:val="00916909"/>
    <w:rsid w:val="00916EC0"/>
    <w:rsid w:val="00920467"/>
    <w:rsid w:val="00921DE7"/>
    <w:rsid w:val="00921F19"/>
    <w:rsid w:val="0093041A"/>
    <w:rsid w:val="00930714"/>
    <w:rsid w:val="00931B03"/>
    <w:rsid w:val="009323B9"/>
    <w:rsid w:val="00932DCE"/>
    <w:rsid w:val="0093327E"/>
    <w:rsid w:val="00933D7D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1033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165A"/>
    <w:rsid w:val="009E2214"/>
    <w:rsid w:val="009E355A"/>
    <w:rsid w:val="009E54EA"/>
    <w:rsid w:val="009E63E2"/>
    <w:rsid w:val="009F04D2"/>
    <w:rsid w:val="009F05CF"/>
    <w:rsid w:val="009F0F3A"/>
    <w:rsid w:val="009F2725"/>
    <w:rsid w:val="009F79D8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18F3"/>
    <w:rsid w:val="00A84504"/>
    <w:rsid w:val="00A8672F"/>
    <w:rsid w:val="00A87F53"/>
    <w:rsid w:val="00A93057"/>
    <w:rsid w:val="00A968B0"/>
    <w:rsid w:val="00AB2672"/>
    <w:rsid w:val="00AB2817"/>
    <w:rsid w:val="00AB43C4"/>
    <w:rsid w:val="00AC049E"/>
    <w:rsid w:val="00AC32E7"/>
    <w:rsid w:val="00AC3A9F"/>
    <w:rsid w:val="00AC597C"/>
    <w:rsid w:val="00AC6D2F"/>
    <w:rsid w:val="00AE205F"/>
    <w:rsid w:val="00AE2745"/>
    <w:rsid w:val="00AE2F64"/>
    <w:rsid w:val="00AF42CB"/>
    <w:rsid w:val="00AF483F"/>
    <w:rsid w:val="00AF5E07"/>
    <w:rsid w:val="00AF5F06"/>
    <w:rsid w:val="00B00A25"/>
    <w:rsid w:val="00B13C3D"/>
    <w:rsid w:val="00B1422A"/>
    <w:rsid w:val="00B1765C"/>
    <w:rsid w:val="00B213C4"/>
    <w:rsid w:val="00B40C60"/>
    <w:rsid w:val="00B47326"/>
    <w:rsid w:val="00B479A9"/>
    <w:rsid w:val="00B52EDF"/>
    <w:rsid w:val="00B62153"/>
    <w:rsid w:val="00B71188"/>
    <w:rsid w:val="00B76A41"/>
    <w:rsid w:val="00B84FBD"/>
    <w:rsid w:val="00B87D4C"/>
    <w:rsid w:val="00B93646"/>
    <w:rsid w:val="00BA0B38"/>
    <w:rsid w:val="00BA1DBB"/>
    <w:rsid w:val="00BA4510"/>
    <w:rsid w:val="00BA529A"/>
    <w:rsid w:val="00BB612A"/>
    <w:rsid w:val="00BC6FCE"/>
    <w:rsid w:val="00BD499F"/>
    <w:rsid w:val="00BD56DE"/>
    <w:rsid w:val="00BF2406"/>
    <w:rsid w:val="00C06E43"/>
    <w:rsid w:val="00C13B0C"/>
    <w:rsid w:val="00C16315"/>
    <w:rsid w:val="00C3091E"/>
    <w:rsid w:val="00C40FF1"/>
    <w:rsid w:val="00C419E2"/>
    <w:rsid w:val="00C476B3"/>
    <w:rsid w:val="00C5020E"/>
    <w:rsid w:val="00C57452"/>
    <w:rsid w:val="00C61EDF"/>
    <w:rsid w:val="00C6239D"/>
    <w:rsid w:val="00C62620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24E6"/>
    <w:rsid w:val="00CB667C"/>
    <w:rsid w:val="00CB6BC1"/>
    <w:rsid w:val="00CB6CB8"/>
    <w:rsid w:val="00CC1A68"/>
    <w:rsid w:val="00CC2123"/>
    <w:rsid w:val="00CD2BFD"/>
    <w:rsid w:val="00CD377A"/>
    <w:rsid w:val="00CE1362"/>
    <w:rsid w:val="00CE1B8C"/>
    <w:rsid w:val="00CE5AD6"/>
    <w:rsid w:val="00CE617F"/>
    <w:rsid w:val="00CE78EF"/>
    <w:rsid w:val="00D048F7"/>
    <w:rsid w:val="00D0517E"/>
    <w:rsid w:val="00D140FC"/>
    <w:rsid w:val="00D20870"/>
    <w:rsid w:val="00D21D8C"/>
    <w:rsid w:val="00D31357"/>
    <w:rsid w:val="00D33220"/>
    <w:rsid w:val="00D334D1"/>
    <w:rsid w:val="00D44C89"/>
    <w:rsid w:val="00D47824"/>
    <w:rsid w:val="00D516CD"/>
    <w:rsid w:val="00D668E6"/>
    <w:rsid w:val="00D70670"/>
    <w:rsid w:val="00D73E08"/>
    <w:rsid w:val="00D74D80"/>
    <w:rsid w:val="00D76624"/>
    <w:rsid w:val="00D87570"/>
    <w:rsid w:val="00D91CB9"/>
    <w:rsid w:val="00D95FA6"/>
    <w:rsid w:val="00D97989"/>
    <w:rsid w:val="00D97D8D"/>
    <w:rsid w:val="00DA352E"/>
    <w:rsid w:val="00DB1092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97DE9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2393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28DD"/>
    <w:rsid w:val="00F56DD0"/>
    <w:rsid w:val="00F6491C"/>
    <w:rsid w:val="00F67BBB"/>
    <w:rsid w:val="00F84683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Revision">
    <w:name w:val="Revision"/>
    <w:hidden/>
    <w:uiPriority w:val="99"/>
    <w:semiHidden/>
    <w:rsid w:val="00AC597C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C597C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B33DFF6E10640B8B32075FDF0B150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BF80B-C60F-41F2-835A-B74A36F65ADE}"/>
      </w:docPartPr>
      <w:docPartBody>
        <w:p w:rsidR="00934193" w:rsidRDefault="003244C3" w:rsidP="003244C3">
          <w:pPr>
            <w:pStyle w:val="1B33DFF6E10640B8B32075FDF0B150AA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6D8A01A7F1364C60BCAD2AC0C6B5AA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F17AA9-D2E1-4113-8C83-713D8402C78D}"/>
      </w:docPartPr>
      <w:docPartBody>
        <w:p w:rsidR="00A15A1A" w:rsidRDefault="005C151F" w:rsidP="005C151F">
          <w:pPr>
            <w:pStyle w:val="6D8A01A7F1364C60BCAD2AC0C6B5AAE9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244C3"/>
    <w:rsid w:val="00575EFE"/>
    <w:rsid w:val="005A1FC0"/>
    <w:rsid w:val="005C151F"/>
    <w:rsid w:val="007B4557"/>
    <w:rsid w:val="00934193"/>
    <w:rsid w:val="00A15A1A"/>
    <w:rsid w:val="00BC1B44"/>
    <w:rsid w:val="00D21A9F"/>
    <w:rsid w:val="00D81D74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151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B33DFF6E10640B8B32075FDF0B150AA">
    <w:name w:val="1B33DFF6E10640B8B32075FDF0B150AA"/>
    <w:rsid w:val="003244C3"/>
  </w:style>
  <w:style w:type="paragraph" w:customStyle="1" w:styleId="6D8A01A7F1364C60BCAD2AC0C6B5AAE9">
    <w:name w:val="6D8A01A7F1364C60BCAD2AC0C6B5AAE9"/>
    <w:rsid w:val="005C15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B0BA1-A36E-4EAC-8250-674230734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schemas.microsoft.com/office/2006/metadata/properties"/>
    <ds:schemaRef ds:uri="1c567317-0c4d-4a62-8516-c22afd1b5354"/>
    <ds:schemaRef ds:uri="http://www.w3.org/XML/1998/namespace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D5ED4B9-947E-4ADC-BC4C-C60E74A72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7</Pages>
  <Words>1820</Words>
  <Characters>10594</Characters>
  <Application>Microsoft Office Word</Application>
  <DocSecurity>0</DocSecurity>
  <Lines>353</Lines>
  <Paragraphs>288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32</cp:revision>
  <cp:lastPrinted>2018-10-22T22:41:00Z</cp:lastPrinted>
  <dcterms:created xsi:type="dcterms:W3CDTF">2019-09-04T02:50:00Z</dcterms:created>
  <dcterms:modified xsi:type="dcterms:W3CDTF">2026-01-09T01:22:00Z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2025-12-23T03:51:38Z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7b56af51-2d56-4bb3-94d7-1b68c0655d45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