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01EB3" w14:textId="77777777" w:rsidR="00BD499F" w:rsidRPr="004C23F4" w:rsidRDefault="00FB2F8E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4E646C">
            <w:rPr>
              <w:rFonts w:ascii="Arial" w:hAnsi="Arial" w:cs="Arial"/>
            </w:rPr>
            <w:t>Indium and compounds</w:t>
          </w:r>
        </w:sdtContent>
      </w:sdt>
      <w:r w:rsidR="00205E60">
        <w:rPr>
          <w:rFonts w:ascii="Arial" w:hAnsi="Arial" w:cs="Arial"/>
        </w:rPr>
        <w:t xml:space="preserve"> </w:t>
      </w:r>
      <w:r w:rsidR="000E0DDC">
        <w:rPr>
          <w:rFonts w:ascii="Arial" w:hAnsi="Arial" w:cs="Arial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4C453AF5" w14:textId="77777777" w:rsidTr="00B76A41">
        <w:trPr>
          <w:cantSplit/>
          <w:tblHeader/>
        </w:trPr>
        <w:tc>
          <w:tcPr>
            <w:tcW w:w="4077" w:type="dxa"/>
          </w:tcPr>
          <w:p w14:paraId="2026AA5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660D7D8" w14:textId="77777777" w:rsidR="005B222F" w:rsidRPr="00717D45" w:rsidRDefault="004E646C" w:rsidP="005B222F">
            <w:pPr>
              <w:pStyle w:val="Tablefont"/>
            </w:pPr>
            <w:r>
              <w:t>7440-74-6</w:t>
            </w:r>
            <w:r w:rsidR="0019155A">
              <w:t xml:space="preserve"> (elemental)</w:t>
            </w:r>
          </w:p>
        </w:tc>
      </w:tr>
      <w:tr w:rsidR="00F43AD5" w:rsidRPr="004C23F4" w14:paraId="2AD8C23F" w14:textId="77777777" w:rsidTr="00B76A41">
        <w:trPr>
          <w:cantSplit/>
        </w:trPr>
        <w:tc>
          <w:tcPr>
            <w:tcW w:w="4077" w:type="dxa"/>
          </w:tcPr>
          <w:p w14:paraId="16F3996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A50DA70" w14:textId="77777777" w:rsidR="00F43AD5" w:rsidRPr="00717D45" w:rsidRDefault="004E646C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CFB68C2" w14:textId="77777777" w:rsidTr="00B76A41">
        <w:trPr>
          <w:cantSplit/>
        </w:trPr>
        <w:tc>
          <w:tcPr>
            <w:tcW w:w="4077" w:type="dxa"/>
          </w:tcPr>
          <w:p w14:paraId="58A0B0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797288D" w14:textId="77777777" w:rsidR="00F43AD5" w:rsidRPr="00717D45" w:rsidRDefault="004E646C" w:rsidP="005C55B7">
            <w:pPr>
              <w:pStyle w:val="Tablefont"/>
            </w:pPr>
            <w:r>
              <w:t>In</w:t>
            </w:r>
            <w:r w:rsidR="004328FE">
              <w:t xml:space="preserve"> </w:t>
            </w:r>
          </w:p>
        </w:tc>
      </w:tr>
      <w:tr w:rsidR="00F43AD5" w:rsidRPr="004C23F4" w14:paraId="360C339D" w14:textId="77777777" w:rsidTr="00B76A41">
        <w:trPr>
          <w:cantSplit/>
        </w:trPr>
        <w:tc>
          <w:tcPr>
            <w:tcW w:w="4077" w:type="dxa"/>
          </w:tcPr>
          <w:p w14:paraId="03EEDBE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D7614E3" w14:textId="77777777" w:rsidR="00F43AD5" w:rsidRPr="00B40C60" w:rsidRDefault="0005722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D24DE4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9155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0550D57" w14:textId="77777777" w:rsidTr="00915A47">
        <w:trPr>
          <w:cantSplit/>
          <w:tblHeader/>
        </w:trPr>
        <w:tc>
          <w:tcPr>
            <w:tcW w:w="4005" w:type="dxa"/>
            <w:vAlign w:val="center"/>
          </w:tcPr>
          <w:p w14:paraId="5A705E9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3EA09BF" w14:textId="680675F0" w:rsidR="002C7AFE" w:rsidRDefault="006D1D6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Indium and compounds (except indium phosphide): </w:t>
            </w:r>
            <w:r w:rsidR="00EB0084">
              <w:rPr>
                <w:b/>
              </w:rPr>
              <w:t>0.1 mg/</w:t>
            </w:r>
            <w:proofErr w:type="spellStart"/>
            <w:r w:rsidR="00EB0084">
              <w:rPr>
                <w:b/>
              </w:rPr>
              <w:t>m</w:t>
            </w:r>
            <w:r w:rsidR="00EB0084">
              <w:rPr>
                <w:b/>
                <w:vertAlign w:val="superscript"/>
              </w:rPr>
              <w:t>3</w:t>
            </w:r>
            <w:proofErr w:type="spellEnd"/>
            <w:r w:rsidR="00EB0084">
              <w:rPr>
                <w:b/>
              </w:rPr>
              <w:t xml:space="preserve"> (as </w:t>
            </w:r>
            <w:proofErr w:type="gramStart"/>
            <w:r w:rsidR="00EB0084">
              <w:rPr>
                <w:b/>
              </w:rPr>
              <w:t>In</w:t>
            </w:r>
            <w:proofErr w:type="gramEnd"/>
            <w:r w:rsidR="00EB0084">
              <w:rPr>
                <w:b/>
              </w:rPr>
              <w:t>)</w:t>
            </w:r>
          </w:p>
          <w:p w14:paraId="6484A905" w14:textId="77777777" w:rsidR="006D1D6A" w:rsidRPr="00EB0084" w:rsidRDefault="006D1D6A" w:rsidP="00166513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Indium phosphide: </w:t>
            </w:r>
            <w:r w:rsidR="00166513">
              <w:rPr>
                <w:b/>
              </w:rPr>
              <w:t>0.3</w:t>
            </w:r>
            <w:r>
              <w:rPr>
                <w:b/>
              </w:rPr>
              <w:t xml:space="preserve"> </w:t>
            </w:r>
            <w:r w:rsidR="00166513">
              <w:rPr>
                <w:rFonts w:cs="Arial"/>
                <w:b/>
              </w:rPr>
              <w:t>µ</w:t>
            </w:r>
            <w:r w:rsidRPr="006D1D6A">
              <w:rPr>
                <w:rFonts w:cs="Arial"/>
                <w:b/>
              </w:rPr>
              <w:t>g/</w:t>
            </w:r>
            <w:proofErr w:type="spellStart"/>
            <w:r w:rsidRPr="006D1D6A">
              <w:rPr>
                <w:rFonts w:cs="Arial"/>
                <w:b/>
              </w:rPr>
              <w:t>m</w:t>
            </w:r>
            <w:r w:rsidRPr="006D1D6A">
              <w:rPr>
                <w:rFonts w:cs="Arial"/>
                <w:b/>
                <w:vertAlign w:val="superscript"/>
              </w:rPr>
              <w:t>3</w:t>
            </w:r>
            <w:proofErr w:type="spellEnd"/>
            <w:r w:rsidRPr="006D1D6A">
              <w:rPr>
                <w:b/>
                <w:sz w:val="18"/>
              </w:rPr>
              <w:t xml:space="preserve"> (</w:t>
            </w:r>
            <w:r>
              <w:rPr>
                <w:b/>
              </w:rPr>
              <w:t xml:space="preserve">as </w:t>
            </w:r>
            <w:proofErr w:type="gramStart"/>
            <w:r>
              <w:rPr>
                <w:b/>
              </w:rPr>
              <w:t>In</w:t>
            </w:r>
            <w:proofErr w:type="gramEnd"/>
            <w:r>
              <w:rPr>
                <w:b/>
              </w:rPr>
              <w:t>)</w:t>
            </w:r>
          </w:p>
        </w:tc>
      </w:tr>
      <w:tr w:rsidR="002C7AFE" w:rsidRPr="004C23F4" w14:paraId="19AEDCA0" w14:textId="77777777" w:rsidTr="00915A47">
        <w:trPr>
          <w:cantSplit/>
        </w:trPr>
        <w:tc>
          <w:tcPr>
            <w:tcW w:w="4005" w:type="dxa"/>
            <w:vAlign w:val="center"/>
          </w:tcPr>
          <w:p w14:paraId="69EDAB5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DD39959" w14:textId="77777777" w:rsidR="002C7AFE" w:rsidRPr="00EB3D1B" w:rsidRDefault="00EB008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C3384EC" w14:textId="77777777" w:rsidTr="00915A47">
        <w:trPr>
          <w:cantSplit/>
        </w:trPr>
        <w:tc>
          <w:tcPr>
            <w:tcW w:w="4005" w:type="dxa"/>
            <w:vAlign w:val="center"/>
          </w:tcPr>
          <w:p w14:paraId="6452B22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38A5033" w14:textId="77777777" w:rsidR="002C7AFE" w:rsidRPr="00EB3D1B" w:rsidRDefault="00EB008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A52F9E4" w14:textId="77777777" w:rsidTr="00915A47">
        <w:trPr>
          <w:cantSplit/>
        </w:trPr>
        <w:tc>
          <w:tcPr>
            <w:tcW w:w="4005" w:type="dxa"/>
          </w:tcPr>
          <w:p w14:paraId="5F7F4E1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1E49C75" w14:textId="77777777" w:rsidR="002C7AFE" w:rsidRPr="00EB3D1B" w:rsidRDefault="007A53E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B27BBF6" w14:textId="77777777" w:rsidTr="00915A47">
        <w:trPr>
          <w:cantSplit/>
        </w:trPr>
        <w:tc>
          <w:tcPr>
            <w:tcW w:w="4005" w:type="dxa"/>
            <w:vAlign w:val="center"/>
          </w:tcPr>
          <w:p w14:paraId="4C495AF2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3532DBD1" w14:textId="77777777" w:rsidR="002C7AFE" w:rsidRPr="00EB3D1B" w:rsidRDefault="00EB008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15A47" w:rsidRPr="003A29F3" w14:paraId="6D8B832A" w14:textId="77777777" w:rsidTr="007951B5">
        <w:trPr>
          <w:cantSplit/>
        </w:trPr>
        <w:tc>
          <w:tcPr>
            <w:tcW w:w="9026" w:type="dxa"/>
            <w:gridSpan w:val="2"/>
            <w:vAlign w:val="center"/>
          </w:tcPr>
          <w:p w14:paraId="3E62C0CE" w14:textId="77777777" w:rsidR="00915A47" w:rsidRPr="003A29F3" w:rsidRDefault="00057227" w:rsidP="00017C82">
            <w:pPr>
              <w:pStyle w:val="Tablefont"/>
              <w:rPr>
                <w:b/>
              </w:rPr>
            </w:pPr>
            <w:r w:rsidRPr="003A29F3">
              <w:rPr>
                <w:b/>
              </w:rPr>
              <w:t>Sampling and analysis:</w:t>
            </w:r>
            <w:r w:rsidRPr="003A29F3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4D1960BF25E4465B6847FC051A95C4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B7694" w:rsidRPr="003A29F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C33C46B" w14:textId="77777777" w:rsidR="00CB1CB1" w:rsidRPr="003365A5" w:rsidRDefault="00F10C97" w:rsidP="003365A5">
      <w:pPr>
        <w:pStyle w:val="Heading2"/>
      </w:pPr>
      <w:r w:rsidRPr="003A29F3">
        <w:t>Recommendation</w:t>
      </w:r>
      <w:r>
        <w:t xml:space="preserve"> and basis for workplace exposure standard</w:t>
      </w:r>
    </w:p>
    <w:p w14:paraId="0902EE8D" w14:textId="7F41392D" w:rsidR="003635D3" w:rsidRDefault="00EB0084" w:rsidP="000C139A">
      <w:pPr>
        <w:rPr>
          <w:rFonts w:cs="Arial"/>
        </w:rPr>
      </w:pPr>
      <w:r w:rsidRPr="00EB0084">
        <w:rPr>
          <w:rFonts w:cs="Arial"/>
        </w:rPr>
        <w:t>A TWA of</w:t>
      </w:r>
      <w:r>
        <w:rPr>
          <w:rFonts w:cs="Arial"/>
        </w:rPr>
        <w:t xml:space="preserve"> 0.1</w:t>
      </w:r>
      <w:r w:rsidRPr="00EB0084">
        <w:rPr>
          <w:rFonts w:cs="Arial"/>
        </w:rPr>
        <w:t xml:space="preserve"> mg/</w:t>
      </w:r>
      <w:proofErr w:type="spellStart"/>
      <w:r w:rsidRPr="00EB0084">
        <w:rPr>
          <w:rFonts w:cs="Arial"/>
        </w:rPr>
        <w:t>m</w:t>
      </w:r>
      <w:r w:rsidRPr="00EB0084">
        <w:rPr>
          <w:rFonts w:cs="Arial"/>
          <w:vertAlign w:val="superscript"/>
        </w:rPr>
        <w:t>3</w:t>
      </w:r>
      <w:proofErr w:type="spellEnd"/>
      <w:r w:rsidRPr="00EB0084">
        <w:rPr>
          <w:rFonts w:cs="Arial"/>
        </w:rPr>
        <w:t xml:space="preserve"> is recommended </w:t>
      </w:r>
      <w:r w:rsidR="006D1D6A">
        <w:rPr>
          <w:rFonts w:cs="Arial"/>
        </w:rPr>
        <w:t xml:space="preserve">for indium and compounds (excluding indium phosphide) </w:t>
      </w:r>
      <w:r w:rsidRPr="00EB0084">
        <w:rPr>
          <w:rFonts w:cs="Arial"/>
        </w:rPr>
        <w:t>to protect for</w:t>
      </w:r>
      <w:r>
        <w:rPr>
          <w:rFonts w:cs="Arial"/>
        </w:rPr>
        <w:t xml:space="preserve"> adverse</w:t>
      </w:r>
      <w:r w:rsidRPr="00EB0084">
        <w:rPr>
          <w:rFonts w:cs="Arial"/>
        </w:rPr>
        <w:t xml:space="preserve"> </w:t>
      </w:r>
      <w:r>
        <w:t>pulmonary effects, skeletal and gastrointestinal disorders</w:t>
      </w:r>
      <w:r w:rsidR="00D61022">
        <w:t xml:space="preserve"> </w:t>
      </w:r>
      <w:r w:rsidRPr="00EB0084">
        <w:rPr>
          <w:rFonts w:cs="Arial"/>
        </w:rPr>
        <w:t>in</w:t>
      </w:r>
      <w:r w:rsidR="003635D3">
        <w:rPr>
          <w:rFonts w:cs="Arial"/>
        </w:rPr>
        <w:t xml:space="preserve"> exposed workers.</w:t>
      </w:r>
      <w:r w:rsidR="00205E60">
        <w:rPr>
          <w:rFonts w:cs="Arial"/>
        </w:rPr>
        <w:t xml:space="preserve"> </w:t>
      </w:r>
    </w:p>
    <w:p w14:paraId="50865B1B" w14:textId="6001D65A" w:rsidR="006D1D6A" w:rsidRDefault="006D1D6A" w:rsidP="000C139A">
      <w:pPr>
        <w:rPr>
          <w:rFonts w:cs="Arial"/>
        </w:rPr>
      </w:pPr>
      <w:r>
        <w:rPr>
          <w:rFonts w:cs="Arial"/>
        </w:rPr>
        <w:t>A</w:t>
      </w:r>
      <w:r w:rsidR="00450138">
        <w:rPr>
          <w:rFonts w:cs="Arial"/>
        </w:rPr>
        <w:t xml:space="preserve"> T</w:t>
      </w:r>
      <w:r>
        <w:rPr>
          <w:rFonts w:cs="Arial"/>
        </w:rPr>
        <w:t xml:space="preserve">WA of </w:t>
      </w:r>
      <w:r w:rsidR="00166513">
        <w:rPr>
          <w:rFonts w:cs="Arial"/>
        </w:rPr>
        <w:t>0.3 µ</w:t>
      </w:r>
      <w:r w:rsidRPr="006D1D6A">
        <w:rPr>
          <w:rFonts w:cs="Arial"/>
        </w:rPr>
        <w:t>g/</w:t>
      </w:r>
      <w:proofErr w:type="spellStart"/>
      <w:r w:rsidRPr="006D1D6A">
        <w:rPr>
          <w:rFonts w:cs="Arial"/>
        </w:rPr>
        <w:t>m</w:t>
      </w:r>
      <w:r w:rsidRPr="006D1D6A">
        <w:rPr>
          <w:rFonts w:cs="Arial"/>
          <w:vertAlign w:val="superscript"/>
        </w:rPr>
        <w:t>3</w:t>
      </w:r>
      <w:proofErr w:type="spellEnd"/>
      <w:r w:rsidRPr="006D1D6A">
        <w:rPr>
          <w:rFonts w:cs="Arial"/>
          <w:sz w:val="18"/>
        </w:rPr>
        <w:t xml:space="preserve"> </w:t>
      </w:r>
      <w:r>
        <w:rPr>
          <w:rFonts w:cs="Arial"/>
        </w:rPr>
        <w:t>is recommended for indium phosphide to protect for cancer in exposed workers.</w:t>
      </w:r>
    </w:p>
    <w:p w14:paraId="4D620A60" w14:textId="3269BD7A" w:rsidR="006639B4" w:rsidRPr="004C23F4" w:rsidRDefault="000E0DDC" w:rsidP="000C139A">
      <w:pPr>
        <w:rPr>
          <w:rFonts w:cs="Arial"/>
        </w:rPr>
      </w:pPr>
      <w:r w:rsidRPr="000E0DDC">
        <w:rPr>
          <w:rFonts w:cs="Arial"/>
        </w:rPr>
        <w:t>Given the</w:t>
      </w:r>
      <w:r w:rsidR="0066552C">
        <w:rPr>
          <w:rFonts w:cs="Arial"/>
        </w:rPr>
        <w:t xml:space="preserve"> differences in critical endpoints for </w:t>
      </w:r>
      <w:r w:rsidR="00912B66">
        <w:rPr>
          <w:rFonts w:cs="Arial"/>
        </w:rPr>
        <w:t xml:space="preserve">indium phosphide and other </w:t>
      </w:r>
      <w:r w:rsidR="0066552C">
        <w:rPr>
          <w:rFonts w:cs="Arial"/>
        </w:rPr>
        <w:t>indium compounds</w:t>
      </w:r>
      <w:r w:rsidR="00912B66">
        <w:rPr>
          <w:rFonts w:cs="Arial"/>
        </w:rPr>
        <w:t xml:space="preserve"> and the limited information in the available source material</w:t>
      </w:r>
      <w:r w:rsidRPr="000E0DDC">
        <w:rPr>
          <w:rFonts w:cs="Arial"/>
        </w:rPr>
        <w:t xml:space="preserve">, a </w:t>
      </w:r>
      <w:r>
        <w:rPr>
          <w:rFonts w:cs="Arial"/>
        </w:rPr>
        <w:t xml:space="preserve">priority </w:t>
      </w:r>
      <w:r w:rsidRPr="000E0DDC">
        <w:rPr>
          <w:rFonts w:cs="Arial"/>
        </w:rPr>
        <w:t xml:space="preserve">review of additional sources </w:t>
      </w:r>
      <w:r w:rsidR="00912B66">
        <w:rPr>
          <w:rFonts w:cs="Arial"/>
        </w:rPr>
        <w:t xml:space="preserve">is recommended </w:t>
      </w:r>
      <w:r w:rsidRPr="000E0DDC">
        <w:rPr>
          <w:rFonts w:cs="Arial"/>
        </w:rPr>
        <w:t>at the next scheduled review</w:t>
      </w:r>
      <w:r w:rsidR="0066552C">
        <w:rPr>
          <w:rFonts w:cs="Arial"/>
        </w:rPr>
        <w:t xml:space="preserve">. </w:t>
      </w:r>
    </w:p>
    <w:p w14:paraId="4534F07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C773965" w14:textId="77777777" w:rsidR="00846BE5" w:rsidRDefault="00D61022" w:rsidP="006639B4">
      <w:pPr>
        <w:rPr>
          <w:rFonts w:cs="Arial"/>
        </w:rPr>
      </w:pPr>
      <w:r>
        <w:rPr>
          <w:rFonts w:cs="Arial"/>
        </w:rPr>
        <w:t xml:space="preserve">Indium and its compounds are used in a variety of alloys and electronic applications including semiconductors and bearings in heavy machinery. </w:t>
      </w:r>
    </w:p>
    <w:p w14:paraId="078B6C85" w14:textId="2475F651" w:rsidR="001C28C1" w:rsidRDefault="006D1D6A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166513">
        <w:rPr>
          <w:rFonts w:cs="Arial"/>
        </w:rPr>
        <w:t xml:space="preserve">of exposure to indium and indium compounds </w:t>
      </w:r>
      <w:r>
        <w:rPr>
          <w:rFonts w:cs="Arial"/>
        </w:rPr>
        <w:t>are pulmonary oedema, alveolar proteinosis</w:t>
      </w:r>
      <w:r w:rsidR="00912B66">
        <w:rPr>
          <w:rFonts w:cs="Arial"/>
        </w:rPr>
        <w:t xml:space="preserve"> and </w:t>
      </w:r>
      <w:r w:rsidR="00912B66">
        <w:t>skeletal and gastrointestinal (GIT) disorders</w:t>
      </w:r>
      <w:r>
        <w:rPr>
          <w:rFonts w:cs="Arial"/>
        </w:rPr>
        <w:t xml:space="preserve"> </w:t>
      </w:r>
      <w:r w:rsidR="00912B66">
        <w:rPr>
          <w:rFonts w:cs="Arial"/>
        </w:rPr>
        <w:t>(</w:t>
      </w:r>
      <w:proofErr w:type="spellStart"/>
      <w:r w:rsidR="00912B66">
        <w:rPr>
          <w:rFonts w:cs="Arial"/>
        </w:rPr>
        <w:t>ACGIH</w:t>
      </w:r>
      <w:proofErr w:type="spellEnd"/>
      <w:r w:rsidR="00912B66">
        <w:rPr>
          <w:rFonts w:cs="Arial"/>
        </w:rPr>
        <w:t>, 2018)</w:t>
      </w:r>
      <w:r>
        <w:rPr>
          <w:rFonts w:cs="Arial"/>
        </w:rPr>
        <w:t xml:space="preserve">. The toxicity of individual compounds varies depending on their composition and solubility, which complicates a grouped assessment. </w:t>
      </w:r>
      <w:r w:rsidR="001C28C1">
        <w:rPr>
          <w:rFonts w:cs="Arial"/>
        </w:rPr>
        <w:t>Indium phosphide has been shown to additionally possess carcinogenic activity</w:t>
      </w:r>
      <w:r w:rsidR="00912B66">
        <w:rPr>
          <w:rFonts w:cs="Arial"/>
        </w:rPr>
        <w:t xml:space="preserve"> (</w:t>
      </w:r>
      <w:proofErr w:type="spellStart"/>
      <w:r w:rsidR="00912B66">
        <w:rPr>
          <w:rFonts w:cs="Arial"/>
        </w:rPr>
        <w:t>DFG</w:t>
      </w:r>
      <w:proofErr w:type="spellEnd"/>
      <w:r w:rsidR="00912B66">
        <w:rPr>
          <w:rFonts w:cs="Arial"/>
        </w:rPr>
        <w:t>, 2004)</w:t>
      </w:r>
      <w:r w:rsidR="001C28C1">
        <w:rPr>
          <w:rFonts w:cs="Arial"/>
        </w:rPr>
        <w:t>.</w:t>
      </w:r>
    </w:p>
    <w:p w14:paraId="097D8DA6" w14:textId="07D729FE" w:rsidR="006639B4" w:rsidRDefault="00555944" w:rsidP="006639B4">
      <w:pPr>
        <w:rPr>
          <w:rFonts w:cs="Arial"/>
        </w:rPr>
      </w:pPr>
      <w:r>
        <w:rPr>
          <w:rFonts w:cs="Arial"/>
        </w:rPr>
        <w:t xml:space="preserve">Available inhalational toxicity data are </w:t>
      </w:r>
      <w:r w:rsidR="001C28C1">
        <w:rPr>
          <w:rFonts w:cs="Arial"/>
        </w:rPr>
        <w:t>limited. T</w:t>
      </w:r>
      <w:r w:rsidR="001C28C1">
        <w:t>ooth decay, joint a</w:t>
      </w:r>
      <w:r w:rsidR="001512FE">
        <w:t xml:space="preserve">nd bone pain, nervous system, </w:t>
      </w:r>
      <w:r w:rsidR="00912B66">
        <w:t>GIT</w:t>
      </w:r>
      <w:r w:rsidR="001C28C1">
        <w:t xml:space="preserve"> disorders and heart pain are reported in </w:t>
      </w:r>
      <w:r w:rsidR="00AA37ED">
        <w:t xml:space="preserve">indium </w:t>
      </w:r>
      <w:r w:rsidR="001C28C1">
        <w:t>production workers but no details on exposures are available (</w:t>
      </w:r>
      <w:proofErr w:type="spellStart"/>
      <w:r w:rsidR="001C28C1">
        <w:t>ACGIH</w:t>
      </w:r>
      <w:proofErr w:type="spellEnd"/>
      <w:r w:rsidR="001C28C1">
        <w:t>, 2018).</w:t>
      </w:r>
      <w:r w:rsidR="00912B66">
        <w:t xml:space="preserve"> In rats,</w:t>
      </w:r>
      <w:r w:rsidR="00912B66">
        <w:rPr>
          <w:rFonts w:cs="Arial"/>
        </w:rPr>
        <w:t xml:space="preserve"> e</w:t>
      </w:r>
      <w:r>
        <w:rPr>
          <w:rFonts w:cs="Arial"/>
        </w:rPr>
        <w:t>xposure</w:t>
      </w:r>
      <w:r w:rsidR="00D27C88">
        <w:rPr>
          <w:rFonts w:cs="Arial"/>
        </w:rPr>
        <w:t xml:space="preserve"> to</w:t>
      </w:r>
      <w:r>
        <w:rPr>
          <w:rFonts w:cs="Arial"/>
        </w:rPr>
        <w:t xml:space="preserve"> indium oxide caused pulmonary oedema </w:t>
      </w:r>
      <w:r w:rsidR="001C28C1">
        <w:rPr>
          <w:rFonts w:cs="Arial"/>
        </w:rPr>
        <w:t>above</w:t>
      </w:r>
      <w:r>
        <w:rPr>
          <w:rFonts w:cs="Arial"/>
        </w:rPr>
        <w:t xml:space="preserve"> 27</w:t>
      </w:r>
      <w:r w:rsidR="00912B66">
        <w:rPr>
          <w:rFonts w:cs="Arial"/>
        </w:rPr>
        <w:t> </w:t>
      </w:r>
      <w:r>
        <w:rPr>
          <w:rFonts w:cs="Arial"/>
        </w:rPr>
        <w:t>mg/</w:t>
      </w:r>
      <w:proofErr w:type="spellStart"/>
      <w:r w:rsidRPr="00BD4331">
        <w:rPr>
          <w:rFonts w:cs="Arial"/>
        </w:rPr>
        <w:t>m</w:t>
      </w:r>
      <w:r w:rsidRPr="00BD4331">
        <w:rPr>
          <w:rFonts w:cs="Arial"/>
          <w:vertAlign w:val="superscript"/>
        </w:rPr>
        <w:t>3</w:t>
      </w:r>
      <w:proofErr w:type="spellEnd"/>
      <w:r w:rsidR="00D27C88">
        <w:rPr>
          <w:rFonts w:cs="Arial"/>
        </w:rPr>
        <w:t xml:space="preserve"> (</w:t>
      </w:r>
      <w:proofErr w:type="spellStart"/>
      <w:r w:rsidR="00D27C88">
        <w:rPr>
          <w:rFonts w:cs="Arial"/>
        </w:rPr>
        <w:t>ACGIH</w:t>
      </w:r>
      <w:proofErr w:type="spellEnd"/>
      <w:r w:rsidR="00D27C88">
        <w:rPr>
          <w:rFonts w:cs="Arial"/>
        </w:rPr>
        <w:t xml:space="preserve">, 2018) </w:t>
      </w:r>
      <w:r w:rsidRPr="00BD4331">
        <w:rPr>
          <w:rFonts w:cs="Arial"/>
        </w:rPr>
        <w:t>and</w:t>
      </w:r>
      <w:r w:rsidR="00D27C88">
        <w:rPr>
          <w:rFonts w:cs="Arial"/>
        </w:rPr>
        <w:t xml:space="preserve"> alveolar proteinosis and</w:t>
      </w:r>
      <w:r>
        <w:rPr>
          <w:rFonts w:cs="Arial"/>
        </w:rPr>
        <w:t xml:space="preserve"> inflammation </w:t>
      </w:r>
      <w:r w:rsidR="00D27C88">
        <w:rPr>
          <w:rFonts w:cs="Arial"/>
        </w:rPr>
        <w:t>at 0.1 </w:t>
      </w:r>
      <w:r>
        <w:rPr>
          <w:rFonts w:cs="Arial"/>
        </w:rPr>
        <w:t>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</w:t>
      </w:r>
      <w:r w:rsidR="00D27C88">
        <w:rPr>
          <w:rFonts w:cs="Arial"/>
        </w:rPr>
        <w:t>(ECHA, 2019)</w:t>
      </w:r>
      <w:r>
        <w:rPr>
          <w:rFonts w:cs="Arial"/>
        </w:rPr>
        <w:t>.</w:t>
      </w:r>
      <w:r w:rsidR="003D369D">
        <w:rPr>
          <w:rFonts w:cs="Arial"/>
        </w:rPr>
        <w:t xml:space="preserve"> </w:t>
      </w:r>
    </w:p>
    <w:p w14:paraId="30AFCD3B" w14:textId="603CDB7B" w:rsidR="00024A06" w:rsidRDefault="00BD4331" w:rsidP="006639B4">
      <w:pPr>
        <w:rPr>
          <w:rFonts w:cs="Arial"/>
        </w:rPr>
      </w:pPr>
      <w:r>
        <w:rPr>
          <w:rFonts w:cs="Arial"/>
        </w:rPr>
        <w:lastRenderedPageBreak/>
        <w:t xml:space="preserve">Due to the uncertainty in the database, the </w:t>
      </w:r>
      <w:r w:rsidR="00C84489">
        <w:rPr>
          <w:rFonts w:cs="Arial"/>
        </w:rPr>
        <w:t xml:space="preserve">current </w:t>
      </w:r>
      <w:r>
        <w:rPr>
          <w:rFonts w:cs="Arial"/>
        </w:rPr>
        <w:t>TWA of 0.1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 w:rsidR="00C84489" w:rsidRPr="00C84489">
        <w:rPr>
          <w:rFonts w:cs="Arial"/>
        </w:rPr>
        <w:t xml:space="preserve"> </w:t>
      </w:r>
      <w:r w:rsidR="00C84489">
        <w:rPr>
          <w:rFonts w:cs="Arial"/>
        </w:rPr>
        <w:t>is retained in the interim</w:t>
      </w:r>
      <w:r w:rsidR="001A2CB1">
        <w:rPr>
          <w:rFonts w:cs="Arial"/>
        </w:rPr>
        <w:t xml:space="preserve"> for indium and compounds (excluding indium phosphide)</w:t>
      </w:r>
      <w:r w:rsidR="00C84489">
        <w:rPr>
          <w:rFonts w:cs="Arial"/>
        </w:rPr>
        <w:t>. This TWA is</w:t>
      </w:r>
      <w:r>
        <w:rPr>
          <w:rFonts w:cs="Arial"/>
        </w:rPr>
        <w:t xml:space="preserve"> supported by the recommendation of 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 (2018) and </w:t>
      </w:r>
      <w:r w:rsidR="0010518B">
        <w:rPr>
          <w:rFonts w:cs="Arial"/>
        </w:rPr>
        <w:t xml:space="preserve">is </w:t>
      </w:r>
      <w:r w:rsidR="00450138">
        <w:rPr>
          <w:rFonts w:cs="Arial"/>
        </w:rPr>
        <w:t>expected to be sufficiently low to protect for the critical effects</w:t>
      </w:r>
      <w:r>
        <w:rPr>
          <w:rFonts w:cs="Arial"/>
        </w:rPr>
        <w:t xml:space="preserve">. </w:t>
      </w:r>
      <w:r w:rsidR="00D27C88">
        <w:rPr>
          <w:rFonts w:cs="Arial"/>
        </w:rPr>
        <w:t>A broader review of the available data</w:t>
      </w:r>
      <w:r w:rsidR="008320B0" w:rsidRPr="008320B0">
        <w:rPr>
          <w:rFonts w:cs="Arial"/>
        </w:rPr>
        <w:t xml:space="preserve"> </w:t>
      </w:r>
      <w:r w:rsidR="008320B0">
        <w:rPr>
          <w:rFonts w:cs="Arial"/>
        </w:rPr>
        <w:t>is recommended for subsequent evaluations to identify</w:t>
      </w:r>
      <w:r w:rsidR="00D27C88">
        <w:rPr>
          <w:rFonts w:cs="Arial"/>
        </w:rPr>
        <w:t xml:space="preserve"> human inhalational exposures</w:t>
      </w:r>
      <w:r w:rsidR="0010518B">
        <w:rPr>
          <w:rFonts w:cs="Arial"/>
        </w:rPr>
        <w:t xml:space="preserve"> and other indium compounds</w:t>
      </w:r>
      <w:r w:rsidR="00D27C88">
        <w:rPr>
          <w:rFonts w:cs="Arial"/>
        </w:rPr>
        <w:t xml:space="preserve">. </w:t>
      </w:r>
      <w:r w:rsidR="00B22F28">
        <w:rPr>
          <w:rFonts w:cs="Arial"/>
        </w:rPr>
        <w:t>The suitability of a grouped evaluation should also be examined as individual assessments of selected indium compou</w:t>
      </w:r>
      <w:r w:rsidR="00A80D9B">
        <w:rPr>
          <w:rFonts w:cs="Arial"/>
        </w:rPr>
        <w:t>nd</w:t>
      </w:r>
      <w:r w:rsidR="00F17527">
        <w:rPr>
          <w:rFonts w:cs="Arial"/>
        </w:rPr>
        <w:t>s</w:t>
      </w:r>
      <w:r w:rsidR="00607620">
        <w:rPr>
          <w:rFonts w:cs="Arial"/>
        </w:rPr>
        <w:t>/classes</w:t>
      </w:r>
      <w:r w:rsidR="00A80D9B">
        <w:rPr>
          <w:rFonts w:cs="Arial"/>
        </w:rPr>
        <w:t xml:space="preserve"> </w:t>
      </w:r>
      <w:r w:rsidR="00B22F28">
        <w:rPr>
          <w:rFonts w:cs="Arial"/>
        </w:rPr>
        <w:t>have been presented (</w:t>
      </w:r>
      <w:proofErr w:type="spellStart"/>
      <w:r w:rsidR="00B22F28">
        <w:rPr>
          <w:rFonts w:cs="Arial"/>
        </w:rPr>
        <w:t>DFG</w:t>
      </w:r>
      <w:proofErr w:type="spellEnd"/>
      <w:r w:rsidR="00B22F28">
        <w:rPr>
          <w:rFonts w:cs="Arial"/>
        </w:rPr>
        <w:t xml:space="preserve">, 2004; ECHA, 2019; </w:t>
      </w:r>
      <w:proofErr w:type="spellStart"/>
      <w:r w:rsidR="00B22F28">
        <w:rPr>
          <w:rFonts w:cs="Arial"/>
        </w:rPr>
        <w:t>NICNAS</w:t>
      </w:r>
      <w:proofErr w:type="spellEnd"/>
      <w:r w:rsidR="00B22F28">
        <w:rPr>
          <w:rFonts w:cs="Arial"/>
        </w:rPr>
        <w:t>, 2016).</w:t>
      </w:r>
    </w:p>
    <w:p w14:paraId="6361258D" w14:textId="1760935E" w:rsidR="006D1D6A" w:rsidRDefault="00EC02F7" w:rsidP="006D1D6A">
      <w:r>
        <w:rPr>
          <w:rFonts w:cs="Arial"/>
        </w:rPr>
        <w:t xml:space="preserve">A </w:t>
      </w:r>
      <w:proofErr w:type="spellStart"/>
      <w:r>
        <w:rPr>
          <w:rFonts w:cs="Arial"/>
        </w:rPr>
        <w:t>LOAEC</w:t>
      </w:r>
      <w:proofErr w:type="spellEnd"/>
      <w:r>
        <w:rPr>
          <w:rFonts w:cs="Arial"/>
        </w:rPr>
        <w:t xml:space="preserve"> of 0.03</w:t>
      </w:r>
      <w:r w:rsidR="00166513">
        <w:rPr>
          <w:rFonts w:cs="Arial"/>
        </w:rPr>
        <w:t> </w:t>
      </w:r>
      <w:r w:rsidRPr="00166513">
        <w:rPr>
          <w:rFonts w:cs="Arial"/>
          <w:szCs w:val="20"/>
        </w:rPr>
        <w:t>mg/</w:t>
      </w:r>
      <w:proofErr w:type="spellStart"/>
      <w:r w:rsidRPr="00166513">
        <w:rPr>
          <w:rFonts w:cs="Arial"/>
          <w:szCs w:val="20"/>
        </w:rPr>
        <w:t>m</w:t>
      </w:r>
      <w:r w:rsidRPr="00166513">
        <w:rPr>
          <w:rFonts w:cs="Arial"/>
          <w:szCs w:val="20"/>
          <w:vertAlign w:val="superscript"/>
        </w:rPr>
        <w:t>3</w:t>
      </w:r>
      <w:proofErr w:type="spellEnd"/>
      <w:r>
        <w:rPr>
          <w:rFonts w:cs="Arial"/>
        </w:rPr>
        <w:t xml:space="preserve"> </w:t>
      </w:r>
      <w:r w:rsidR="001C28C1">
        <w:rPr>
          <w:rFonts w:cs="Arial"/>
        </w:rPr>
        <w:t>for</w:t>
      </w:r>
      <w:r w:rsidR="001C28C1">
        <w:t xml:space="preserve"> tumorigenicity, inflammation, interstitial fibrosis and proteinosis</w:t>
      </w:r>
      <w:r w:rsidR="001C28C1">
        <w:rPr>
          <w:rFonts w:cs="Arial"/>
        </w:rPr>
        <w:t xml:space="preserve"> </w:t>
      </w:r>
      <w:r>
        <w:rPr>
          <w:rFonts w:cs="Arial"/>
        </w:rPr>
        <w:t xml:space="preserve">is reported </w:t>
      </w:r>
      <w:r w:rsidR="00624446">
        <w:rPr>
          <w:rFonts w:cs="Arial"/>
        </w:rPr>
        <w:t xml:space="preserve">for </w:t>
      </w:r>
      <w:r w:rsidR="00624446" w:rsidRPr="00EC02F7">
        <w:rPr>
          <w:szCs w:val="20"/>
        </w:rPr>
        <w:t xml:space="preserve">indium phosphide </w:t>
      </w:r>
      <w:r>
        <w:rPr>
          <w:rFonts w:cs="Arial"/>
        </w:rPr>
        <w:t xml:space="preserve">in a </w:t>
      </w:r>
      <w:r w:rsidR="007418CF">
        <w:rPr>
          <w:rFonts w:cs="Arial"/>
        </w:rPr>
        <w:t xml:space="preserve">two-year </w:t>
      </w:r>
      <w:r>
        <w:rPr>
          <w:rFonts w:cs="Arial"/>
        </w:rPr>
        <w:t xml:space="preserve">inhalational study </w:t>
      </w:r>
      <w:r w:rsidR="00923F00">
        <w:rPr>
          <w:rFonts w:cs="Arial"/>
        </w:rPr>
        <w:t xml:space="preserve">in </w:t>
      </w:r>
      <w:r>
        <w:rPr>
          <w:rFonts w:cs="Arial"/>
        </w:rPr>
        <w:t>rats</w:t>
      </w:r>
      <w:r w:rsidR="001C28C1">
        <w:rPr>
          <w:rFonts w:cs="Arial"/>
        </w:rPr>
        <w:t xml:space="preserve"> and mice</w:t>
      </w:r>
      <w:r w:rsidR="00624446">
        <w:rPr>
          <w:rFonts w:cs="Arial"/>
        </w:rPr>
        <w:t xml:space="preserve"> </w:t>
      </w:r>
      <w:r w:rsidR="00923F00">
        <w:rPr>
          <w:rFonts w:cs="Arial"/>
        </w:rPr>
        <w:t>(</w:t>
      </w:r>
      <w:proofErr w:type="spellStart"/>
      <w:r w:rsidR="00923F00">
        <w:rPr>
          <w:rFonts w:cs="Arial"/>
        </w:rPr>
        <w:t>DFG</w:t>
      </w:r>
      <w:proofErr w:type="spellEnd"/>
      <w:r w:rsidR="00923F00">
        <w:rPr>
          <w:rFonts w:cs="Arial"/>
        </w:rPr>
        <w:t>, 2004; IARC, 2006)</w:t>
      </w:r>
      <w:r>
        <w:t>. Increased expression of inflammatory response proteins in the lungs of rats is also reported at 0.03</w:t>
      </w:r>
      <w:r w:rsidR="00D27C88">
        <w:t> </w:t>
      </w:r>
      <w:r>
        <w:t>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t xml:space="preserve"> </w:t>
      </w:r>
      <w:r w:rsidR="007418CF">
        <w:t xml:space="preserve">after three months </w:t>
      </w:r>
      <w:r>
        <w:t>(</w:t>
      </w:r>
      <w:proofErr w:type="spellStart"/>
      <w:r>
        <w:t>DFG</w:t>
      </w:r>
      <w:proofErr w:type="spellEnd"/>
      <w:r>
        <w:t>, 2004</w:t>
      </w:r>
      <w:r w:rsidR="007418CF">
        <w:t>).</w:t>
      </w:r>
    </w:p>
    <w:p w14:paraId="0F7535B9" w14:textId="04132A21" w:rsidR="00923F00" w:rsidRDefault="00923F00" w:rsidP="006639B4">
      <w:r>
        <w:t>TWA of 0.3 </w:t>
      </w:r>
      <w:r>
        <w:rPr>
          <w:rFonts w:cs="Arial"/>
        </w:rPr>
        <w:t>µ</w:t>
      </w:r>
      <w:r w:rsidRPr="00EC02F7">
        <w:rPr>
          <w:rFonts w:cs="Arial"/>
        </w:rPr>
        <w:t>g/</w:t>
      </w:r>
      <w:proofErr w:type="spellStart"/>
      <w:r w:rsidRPr="00EC02F7">
        <w:rPr>
          <w:rFonts w:cs="Arial"/>
        </w:rPr>
        <w:t>m</w:t>
      </w:r>
      <w:r w:rsidRPr="00EC02F7">
        <w:rPr>
          <w:rFonts w:cs="Arial"/>
          <w:vertAlign w:val="superscript"/>
        </w:rPr>
        <w:t>3</w:t>
      </w:r>
      <w:proofErr w:type="spellEnd"/>
      <w:r>
        <w:rPr>
          <w:sz w:val="18"/>
        </w:rPr>
        <w:t xml:space="preserve"> </w:t>
      </w:r>
      <w:r w:rsidRPr="00624446">
        <w:rPr>
          <w:szCs w:val="20"/>
        </w:rPr>
        <w:t xml:space="preserve">was derived for </w:t>
      </w:r>
      <w:r w:rsidRPr="00EC02F7">
        <w:rPr>
          <w:szCs w:val="20"/>
        </w:rPr>
        <w:t xml:space="preserve">indium phosphide </w:t>
      </w:r>
      <w:r>
        <w:t xml:space="preserve">based on the </w:t>
      </w:r>
      <w:proofErr w:type="spellStart"/>
      <w:r w:rsidR="00EC02F7">
        <w:t>LOAEC</w:t>
      </w:r>
      <w:proofErr w:type="spellEnd"/>
      <w:r w:rsidR="00EC02F7">
        <w:t xml:space="preserve"> of 0.03 </w:t>
      </w:r>
      <w:r w:rsidR="00EC02F7" w:rsidRPr="00EC02F7">
        <w:rPr>
          <w:rFonts w:cs="Arial"/>
          <w:szCs w:val="20"/>
        </w:rPr>
        <w:t>mg/</w:t>
      </w:r>
      <w:proofErr w:type="spellStart"/>
      <w:r w:rsidR="00EC02F7" w:rsidRPr="00EC02F7">
        <w:rPr>
          <w:rFonts w:cs="Arial"/>
          <w:szCs w:val="20"/>
        </w:rPr>
        <w:t>m</w:t>
      </w:r>
      <w:r w:rsidR="00EC02F7" w:rsidRPr="00EC02F7">
        <w:rPr>
          <w:rFonts w:cs="Arial"/>
          <w:szCs w:val="20"/>
          <w:vertAlign w:val="superscript"/>
        </w:rPr>
        <w:t>3</w:t>
      </w:r>
      <w:proofErr w:type="spellEnd"/>
      <w:r w:rsidR="00EC02F7" w:rsidRPr="00EC02F7">
        <w:rPr>
          <w:szCs w:val="20"/>
        </w:rPr>
        <w:t xml:space="preserve"> </w:t>
      </w:r>
      <w:r w:rsidR="00EC02F7">
        <w:t xml:space="preserve">and applying two </w:t>
      </w:r>
      <w:r>
        <w:t xml:space="preserve">uncertainty </w:t>
      </w:r>
      <w:r w:rsidR="00EC02F7">
        <w:t xml:space="preserve">factors of 10 each </w:t>
      </w:r>
      <w:r>
        <w:t xml:space="preserve">to account </w:t>
      </w:r>
      <w:r w:rsidR="00EC02F7">
        <w:t xml:space="preserve">for the lack of a </w:t>
      </w:r>
      <w:proofErr w:type="spellStart"/>
      <w:r w:rsidR="00EC02F7">
        <w:t>NOAEC</w:t>
      </w:r>
      <w:proofErr w:type="spellEnd"/>
      <w:r w:rsidR="00EC02F7">
        <w:t xml:space="preserve"> and inter- and intra-species variation</w:t>
      </w:r>
      <w:r>
        <w:t>.</w:t>
      </w:r>
      <w:r w:rsidR="00EC02F7">
        <w:t xml:space="preserve"> </w:t>
      </w:r>
      <w:r>
        <w:t>T</w:t>
      </w:r>
      <w:r w:rsidR="00166513">
        <w:t xml:space="preserve">his interim TWA is expected to protect for cancer outcomes in exposed workers. </w:t>
      </w:r>
    </w:p>
    <w:p w14:paraId="20EA7940" w14:textId="1847A442" w:rsidR="006D1D6A" w:rsidRPr="003D369D" w:rsidRDefault="00166513" w:rsidP="006639B4">
      <w:pPr>
        <w:rPr>
          <w:rFonts w:cs="Arial"/>
        </w:rPr>
      </w:pPr>
      <w:r>
        <w:t>However, a review of additional data sources is recommended at the next scheduled review of the workplace exposure standards.</w:t>
      </w:r>
    </w:p>
    <w:p w14:paraId="5E3A5CB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0040233" w14:textId="77777777" w:rsidR="004529F0" w:rsidRDefault="00B22F28" w:rsidP="004529F0">
      <w:pPr>
        <w:rPr>
          <w:rFonts w:cs="Arial"/>
        </w:rPr>
      </w:pPr>
      <w:r w:rsidRPr="00B22F28">
        <w:rPr>
          <w:rFonts w:cs="Arial"/>
        </w:rPr>
        <w:t>Not classified as a carcinogen according to the Globally Harmonized System of Classification a</w:t>
      </w:r>
      <w:r>
        <w:rPr>
          <w:rFonts w:cs="Arial"/>
        </w:rPr>
        <w:t xml:space="preserve">nd Labelling of Chemicals (GHS) except for indium phosphide, which is classified as a category </w:t>
      </w:r>
      <w:proofErr w:type="spellStart"/>
      <w:r>
        <w:rPr>
          <w:rFonts w:cs="Arial"/>
        </w:rPr>
        <w:t>1B</w:t>
      </w:r>
      <w:proofErr w:type="spellEnd"/>
      <w:r>
        <w:rPr>
          <w:rFonts w:cs="Arial"/>
        </w:rPr>
        <w:t xml:space="preserve"> carcinogen.</w:t>
      </w:r>
    </w:p>
    <w:p w14:paraId="34D4FB9A" w14:textId="77777777" w:rsidR="00B22F28" w:rsidRDefault="00B22F28" w:rsidP="004529F0">
      <w:pPr>
        <w:rPr>
          <w:rFonts w:cs="Arial"/>
        </w:rPr>
      </w:pPr>
      <w:r w:rsidRPr="00B22F28">
        <w:rPr>
          <w:rFonts w:cs="Arial"/>
        </w:rPr>
        <w:t>Not classified as a skin sensitiser or respiratory sensitiser according to the GHS</w:t>
      </w:r>
      <w:r>
        <w:rPr>
          <w:rFonts w:cs="Arial"/>
        </w:rPr>
        <w:t>.</w:t>
      </w:r>
    </w:p>
    <w:p w14:paraId="69C508B4" w14:textId="77777777" w:rsidR="005E6979" w:rsidRPr="004C23F4" w:rsidRDefault="00B22F28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B22F28">
        <w:rPr>
          <w:rFonts w:cs="Arial"/>
        </w:rPr>
        <w:t>A skin notation is not warranted based on the available evidence.</w:t>
      </w:r>
    </w:p>
    <w:p w14:paraId="46EBCD2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F2B092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5B7394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10B9DF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F2DA26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11C8BD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E646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E646C">
                  <w:t>TWA: 0.1 mg/</w:t>
                </w:r>
                <w:proofErr w:type="spellStart"/>
                <w:r w:rsidR="004E646C">
                  <w:t>m</w:t>
                </w:r>
                <w:r w:rsidR="004E646C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314265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BC277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97D07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391F9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E646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E646C">
                  <w:t>TLV-TWA: 0.1 mg/</w:t>
                </w:r>
                <w:proofErr w:type="spellStart"/>
                <w:r w:rsidR="004E646C">
                  <w:t>m</w:t>
                </w:r>
                <w:r w:rsidR="004E646C">
                  <w:rPr>
                    <w:vertAlign w:val="superscript"/>
                  </w:rPr>
                  <w:t>3</w:t>
                </w:r>
                <w:proofErr w:type="spellEnd"/>
              </w:sdtContent>
            </w:sdt>
            <w:r w:rsidR="004E646C">
              <w:t xml:space="preserve"> as </w:t>
            </w:r>
            <w:proofErr w:type="gramStart"/>
            <w:r w:rsidR="004E646C">
              <w:t>In</w:t>
            </w:r>
            <w:proofErr w:type="gramEnd"/>
          </w:p>
        </w:tc>
      </w:tr>
      <w:tr w:rsidR="00C978F0" w:rsidRPr="00DA352E" w14:paraId="5A2682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8BC23F" w14:textId="0B60261E" w:rsidR="00C978F0" w:rsidRDefault="004E646C" w:rsidP="003365A5">
            <w:pPr>
              <w:pStyle w:val="Tabletextprimarysource"/>
            </w:pPr>
            <w:r>
              <w:t xml:space="preserve">TLV-TWA </w:t>
            </w:r>
            <w:r w:rsidR="00BB474E">
              <w:t xml:space="preserve">intended to minimise potential for pulmonary oedema, acute pneumonitis and potential skeletal and </w:t>
            </w:r>
            <w:r w:rsidR="0066552C">
              <w:t xml:space="preserve">GIT </w:t>
            </w:r>
            <w:r w:rsidR="00BB474E">
              <w:t>disorders</w:t>
            </w:r>
            <w:r w:rsidR="00C84489">
              <w:t>;</w:t>
            </w:r>
            <w:r w:rsidR="005E41A1">
              <w:t xml:space="preserve"> </w:t>
            </w:r>
            <w:r w:rsidR="00C84489">
              <w:t>d</w:t>
            </w:r>
            <w:r w:rsidR="009A50D0">
              <w:t xml:space="preserve">erivation not detailed. </w:t>
            </w:r>
          </w:p>
          <w:p w14:paraId="68A7B3DD" w14:textId="77777777" w:rsidR="00BB474E" w:rsidRDefault="00BB474E" w:rsidP="003365A5">
            <w:pPr>
              <w:pStyle w:val="Tabletextprimarysource"/>
            </w:pPr>
            <w:r>
              <w:t>Summary of data:</w:t>
            </w:r>
          </w:p>
          <w:p w14:paraId="04AC2258" w14:textId="77777777" w:rsidR="0066552C" w:rsidRDefault="00BB474E" w:rsidP="003365A5">
            <w:pPr>
              <w:pStyle w:val="Tabletextprimarysource"/>
            </w:pPr>
            <w:r>
              <w:t xml:space="preserve">Severity and nature of toxic response depends on the specific indium compound. Elemental </w:t>
            </w:r>
            <w:r w:rsidR="0066552C">
              <w:t>In</w:t>
            </w:r>
            <w:r>
              <w:t>, indium sesquioxide (</w:t>
            </w:r>
            <w:proofErr w:type="spellStart"/>
            <w:r>
              <w:t>In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proofErr w:type="spellEnd"/>
            <w:r>
              <w:t xml:space="preserve">) and indium </w:t>
            </w:r>
            <w:proofErr w:type="spellStart"/>
            <w:r>
              <w:t>sulfate</w:t>
            </w:r>
            <w:proofErr w:type="spellEnd"/>
            <w:r>
              <w:t xml:space="preserve"> (</w:t>
            </w:r>
            <w:proofErr w:type="spellStart"/>
            <w:r>
              <w:t>In</w:t>
            </w:r>
            <w:r>
              <w:rPr>
                <w:vertAlign w:val="subscript"/>
              </w:rPr>
              <w:t>2</w:t>
            </w:r>
            <w:proofErr w:type="spellEnd"/>
            <w:r w:rsidR="00CF31E7">
              <w:t>[</w:t>
            </w:r>
            <w:proofErr w:type="spellStart"/>
            <w:r>
              <w:t>SO</w:t>
            </w:r>
            <w:r>
              <w:rPr>
                <w:vertAlign w:val="subscript"/>
              </w:rPr>
              <w:t>4</w:t>
            </w:r>
            <w:proofErr w:type="spellEnd"/>
            <w:r w:rsidR="00CF31E7">
              <w:t>]</w:t>
            </w:r>
            <w:r>
              <w:rPr>
                <w:vertAlign w:val="subscript"/>
              </w:rPr>
              <w:t>3</w:t>
            </w:r>
            <w:r>
              <w:t>) are the most industrially common/important compounds.</w:t>
            </w:r>
            <w:r w:rsidR="001B570D">
              <w:t xml:space="preserve"> </w:t>
            </w:r>
          </w:p>
          <w:p w14:paraId="5AAE4383" w14:textId="77777777" w:rsidR="00BB474E" w:rsidRPr="001B570D" w:rsidRDefault="001B570D" w:rsidP="003365A5">
            <w:pPr>
              <w:pStyle w:val="Tabletextprimarysource"/>
            </w:pPr>
            <w:r>
              <w:t>TLV-TWA based on weight of evidence that suggests 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 w:rsidR="009D241D">
              <w:t xml:space="preserve">(as </w:t>
            </w:r>
            <w:proofErr w:type="gramStart"/>
            <w:r w:rsidR="009D241D">
              <w:t>In</w:t>
            </w:r>
            <w:proofErr w:type="gramEnd"/>
            <w:r w:rsidR="009D241D">
              <w:t xml:space="preserve">) </w:t>
            </w:r>
            <w:r>
              <w:t xml:space="preserve">is sufficiently low to protect for </w:t>
            </w:r>
            <w:r w:rsidR="0066552C">
              <w:t xml:space="preserve">principal critical effects of </w:t>
            </w:r>
            <w:r w:rsidR="009D241D">
              <w:t xml:space="preserve">adverse skeletal and </w:t>
            </w:r>
            <w:r w:rsidR="0066552C">
              <w:t xml:space="preserve">GIT </w:t>
            </w:r>
            <w:r w:rsidR="009D241D">
              <w:t xml:space="preserve">effects and </w:t>
            </w:r>
            <w:r>
              <w:t>pulmonary oedema.</w:t>
            </w:r>
            <w:r w:rsidR="009D241D">
              <w:t xml:space="preserve"> TLV-TWA derivation not discussed.</w:t>
            </w:r>
          </w:p>
          <w:p w14:paraId="6A60E59C" w14:textId="77777777" w:rsidR="00264177" w:rsidRDefault="00264177" w:rsidP="003365A5">
            <w:pPr>
              <w:pStyle w:val="Tabletextprimarysource"/>
            </w:pPr>
            <w:r>
              <w:t>Human data:</w:t>
            </w:r>
          </w:p>
          <w:p w14:paraId="22557687" w14:textId="095564A1" w:rsidR="001B570D" w:rsidRDefault="001B570D" w:rsidP="001B570D">
            <w:pPr>
              <w:pStyle w:val="Tabletextprimarysource"/>
              <w:numPr>
                <w:ilvl w:val="0"/>
                <w:numId w:val="2"/>
              </w:numPr>
            </w:pPr>
            <w:r>
              <w:t>In</w:t>
            </w:r>
            <w:r w:rsidR="005A3132">
              <w:t>dium</w:t>
            </w:r>
            <w:r>
              <w:t xml:space="preserve"> production workers </w:t>
            </w:r>
            <w:r w:rsidR="002570ED">
              <w:t xml:space="preserve">suffered </w:t>
            </w:r>
            <w:r>
              <w:t>tooth decay, joint</w:t>
            </w:r>
            <w:r w:rsidR="00D85576">
              <w:t xml:space="preserve"> and </w:t>
            </w:r>
            <w:r>
              <w:t xml:space="preserve">bone pain, nervous system and </w:t>
            </w:r>
            <w:r w:rsidR="0066552C">
              <w:t xml:space="preserve">GIT </w:t>
            </w:r>
            <w:r>
              <w:t>disorders and heart pain (exposure durations and concentrations not specified)</w:t>
            </w:r>
            <w:r w:rsidR="00856080">
              <w:t>.</w:t>
            </w:r>
          </w:p>
          <w:p w14:paraId="43B0DF40" w14:textId="77777777" w:rsidR="007908D8" w:rsidRDefault="00DF75AC" w:rsidP="00DF75AC">
            <w:pPr>
              <w:pStyle w:val="Tabletextprimarysource"/>
            </w:pPr>
            <w:r>
              <w:t>Animal data:</w:t>
            </w:r>
          </w:p>
          <w:p w14:paraId="73717BA7" w14:textId="77777777" w:rsidR="007908D8" w:rsidRDefault="007908D8" w:rsidP="00264177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Oral dose of </w:t>
            </w:r>
            <w:proofErr w:type="spellStart"/>
            <w:r>
              <w:t>In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proofErr w:type="spellEnd"/>
            <w:r>
              <w:t xml:space="preserve"> 10,000 mg/kg lethal to mice</w:t>
            </w:r>
            <w:r w:rsidR="00CF31E7">
              <w:t>:</w:t>
            </w:r>
          </w:p>
          <w:p w14:paraId="63A1BAF7" w14:textId="77777777" w:rsidR="0066552C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o</w:t>
            </w:r>
            <w:r w:rsidR="007908D8">
              <w:t>ther administration routes and soluble salts are much more toxic</w:t>
            </w:r>
          </w:p>
          <w:p w14:paraId="4E8E74F7" w14:textId="77777777" w:rsidR="007908D8" w:rsidRDefault="007908D8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&lt;1 mg/kg lethal to rabbits (parenteral route and soluble salt not specified)</w:t>
            </w:r>
          </w:p>
          <w:p w14:paraId="4A29FC66" w14:textId="77777777" w:rsidR="007908D8" w:rsidRDefault="007908D8" w:rsidP="00264177">
            <w:pPr>
              <w:pStyle w:val="Tabletextprimarysource"/>
              <w:numPr>
                <w:ilvl w:val="0"/>
                <w:numId w:val="1"/>
              </w:numPr>
            </w:pPr>
            <w:r>
              <w:t>Soluble salts are very irritating to eyes (no further details provided)</w:t>
            </w:r>
          </w:p>
          <w:p w14:paraId="47C4B8A2" w14:textId="4FF39FEA" w:rsidR="00DF75AC" w:rsidRDefault="00DF75AC" w:rsidP="00264177">
            <w:pPr>
              <w:pStyle w:val="Tabletextprimarysource"/>
              <w:numPr>
                <w:ilvl w:val="0"/>
                <w:numId w:val="1"/>
              </w:numPr>
            </w:pPr>
            <w:r>
              <w:t>Granular alveolar oedema at 24–97</w:t>
            </w:r>
            <w:r w:rsidR="002570ED">
              <w:t xml:space="preserve"> 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in repeat inhalation study</w:t>
            </w:r>
            <w:r w:rsidR="001B570D">
              <w:t xml:space="preserve"> with </w:t>
            </w:r>
            <w:proofErr w:type="spellStart"/>
            <w:r w:rsidR="001B570D">
              <w:t>In</w:t>
            </w:r>
            <w:r w:rsidR="001B570D">
              <w:rPr>
                <w:vertAlign w:val="subscript"/>
              </w:rPr>
              <w:t>2</w:t>
            </w:r>
            <w:r w:rsidR="001B570D">
              <w:t>O</w:t>
            </w:r>
            <w:r w:rsidR="001B570D">
              <w:rPr>
                <w:vertAlign w:val="subscript"/>
              </w:rPr>
              <w:t>3</w:t>
            </w:r>
            <w:proofErr w:type="spellEnd"/>
            <w:r>
              <w:t xml:space="preserve"> (rats, 224 h total exposure, duration and frequency not specified)</w:t>
            </w:r>
            <w:r w:rsidR="00CF31E7">
              <w:t>:</w:t>
            </w:r>
          </w:p>
          <w:p w14:paraId="60EC080D" w14:textId="77777777" w:rsidR="0066552C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h</w:t>
            </w:r>
            <w:r w:rsidR="00DF75AC">
              <w:t>ealing process during 12</w:t>
            </w:r>
            <w:r w:rsidR="00057227">
              <w:t xml:space="preserve"> </w:t>
            </w:r>
            <w:proofErr w:type="spellStart"/>
            <w:r w:rsidR="00DF75AC">
              <w:t>wk</w:t>
            </w:r>
            <w:proofErr w:type="spellEnd"/>
            <w:r w:rsidR="00DF75AC">
              <w:t xml:space="preserve"> observation period did not cause fibrosis</w:t>
            </w:r>
          </w:p>
          <w:p w14:paraId="59FDB576" w14:textId="77777777" w:rsidR="001B570D" w:rsidRDefault="001B570D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alveolar proteinosis still present and resulted in reduced alveolar clearance</w:t>
            </w:r>
          </w:p>
          <w:p w14:paraId="7527486E" w14:textId="77777777" w:rsidR="001B570D" w:rsidRDefault="001B570D" w:rsidP="001B570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High incidence of malformed digits in developmental study with iv injected indium nitrate (hamsters, </w:t>
            </w:r>
            <w:r w:rsidR="0066552C">
              <w:t>GD</w:t>
            </w:r>
            <w:r>
              <w:t xml:space="preserve"> 8)</w:t>
            </w:r>
            <w:r w:rsidR="00CF31E7">
              <w:t>:</w:t>
            </w:r>
          </w:p>
          <w:p w14:paraId="7F12989F" w14:textId="77777777" w:rsidR="001B570D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total </w:t>
            </w:r>
            <w:r w:rsidR="0019155A">
              <w:t>e</w:t>
            </w:r>
            <w:r w:rsidR="001B570D">
              <w:t>mbryopathy at doses &gt;1 mg/kg</w:t>
            </w:r>
          </w:p>
          <w:p w14:paraId="077604ED" w14:textId="77777777" w:rsidR="001B570D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relevance </w:t>
            </w:r>
            <w:r w:rsidR="001B570D">
              <w:t>of study to workplace exposures questioned by the agency due to administration route and undocumented effects on maternal toxicity</w:t>
            </w:r>
          </w:p>
          <w:p w14:paraId="55A7A0A2" w14:textId="77777777" w:rsidR="0066552C" w:rsidRDefault="007908D8" w:rsidP="00264177">
            <w:pPr>
              <w:pStyle w:val="Tabletextprimarysource"/>
              <w:numPr>
                <w:ilvl w:val="0"/>
                <w:numId w:val="1"/>
              </w:numPr>
            </w:pPr>
            <w:r>
              <w:t>Intestinal absorption of oral doses is very low</w:t>
            </w:r>
          </w:p>
          <w:p w14:paraId="1ACA4AF5" w14:textId="77777777" w:rsidR="007908D8" w:rsidRDefault="007908D8" w:rsidP="0066552C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0.2–0.4% absorbed, rest excreted in faeces (rats)</w:t>
            </w:r>
          </w:p>
          <w:p w14:paraId="5DAA6641" w14:textId="77777777" w:rsidR="001B570D" w:rsidRDefault="001B570D" w:rsidP="00511B7E">
            <w:pPr>
              <w:pStyle w:val="Tabletextprimarysource"/>
              <w:numPr>
                <w:ilvl w:val="0"/>
                <w:numId w:val="1"/>
              </w:numPr>
            </w:pPr>
            <w:r>
              <w:t>No mutagenicity data presented.</w:t>
            </w:r>
          </w:p>
          <w:p w14:paraId="6D21AFDD" w14:textId="77777777" w:rsidR="00CF31E7" w:rsidRDefault="00CF31E7" w:rsidP="003635D3">
            <w:pPr>
              <w:pStyle w:val="Tabletextprimarysource"/>
            </w:pPr>
          </w:p>
          <w:p w14:paraId="4064B2D6" w14:textId="77777777" w:rsidR="00CF31E7" w:rsidRDefault="00CF31E7" w:rsidP="003635D3">
            <w:pPr>
              <w:pStyle w:val="Tabletextprimarysource"/>
            </w:pPr>
            <w:r>
              <w:t>Insufficient data to recommend a TLV-STEL or notations for carcinogenicity, skin absorption or sensitisation.</w:t>
            </w:r>
          </w:p>
          <w:p w14:paraId="722D97D4" w14:textId="77777777" w:rsidR="00CF31E7" w:rsidRPr="00BB474E" w:rsidRDefault="00CF31E7" w:rsidP="003635D3">
            <w:pPr>
              <w:pStyle w:val="Tabletextprimarysource"/>
            </w:pPr>
          </w:p>
        </w:tc>
      </w:tr>
      <w:tr w:rsidR="00C978F0" w:rsidRPr="00DA352E" w14:paraId="56ADF5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79689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710B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32E21">
                  <w:t>Not established</w:t>
                </w:r>
              </w:sdtContent>
            </w:sdt>
          </w:p>
        </w:tc>
      </w:tr>
      <w:tr w:rsidR="00C978F0" w:rsidRPr="00DA352E" w14:paraId="55C5642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B39D69" w14:textId="77777777" w:rsidR="00C978F0" w:rsidRDefault="009D241D" w:rsidP="003365A5">
            <w:pPr>
              <w:pStyle w:val="Tabletextprimarysource"/>
            </w:pPr>
            <w:r>
              <w:lastRenderedPageBreak/>
              <w:t>Summary of additional data:</w:t>
            </w:r>
          </w:p>
          <w:p w14:paraId="07AAB325" w14:textId="77777777" w:rsidR="009D241D" w:rsidRDefault="009D241D" w:rsidP="003365A5">
            <w:pPr>
              <w:pStyle w:val="Tabletextprimarysource"/>
            </w:pPr>
            <w:r>
              <w:t>No grouped assessment of indium and its compounds available; only an assessment of i</w:t>
            </w:r>
            <w:r w:rsidR="00F54A91">
              <w:t>ndium phosphide (InP)</w:t>
            </w:r>
            <w:r>
              <w:t xml:space="preserve"> </w:t>
            </w:r>
            <w:r w:rsidR="00F54A91">
              <w:t>is presented</w:t>
            </w:r>
            <w:r w:rsidR="00057227">
              <w:t>.</w:t>
            </w:r>
          </w:p>
          <w:p w14:paraId="3AA7386E" w14:textId="77777777" w:rsidR="0066552C" w:rsidRDefault="009D241D" w:rsidP="003365A5">
            <w:pPr>
              <w:pStyle w:val="Tabletextprimarysource"/>
            </w:pPr>
            <w:r>
              <w:t xml:space="preserve">MAK not </w:t>
            </w:r>
            <w:r w:rsidR="00C541F8">
              <w:t xml:space="preserve">established </w:t>
            </w:r>
            <w:r>
              <w:t xml:space="preserve">for InP due to demonstrated carcinogenicity in repeat inhalation study with rats and mice; insufficient evidence for classification as a genotoxic carcinogen. </w:t>
            </w:r>
          </w:p>
          <w:p w14:paraId="3C2CB152" w14:textId="77777777" w:rsidR="009D241D" w:rsidRDefault="009D241D" w:rsidP="003365A5">
            <w:pPr>
              <w:pStyle w:val="Tabletextprimarysource"/>
            </w:pPr>
            <w:r>
              <w:t>Insufficient evidence for skin and sensitiser notations</w:t>
            </w:r>
            <w:r w:rsidR="00632E21">
              <w:t>.</w:t>
            </w:r>
          </w:p>
          <w:p w14:paraId="199B7D12" w14:textId="77777777" w:rsidR="00632E21" w:rsidRDefault="00632E21" w:rsidP="003365A5">
            <w:pPr>
              <w:pStyle w:val="Tabletextprimarysource"/>
            </w:pPr>
            <w:r>
              <w:t>Human data:</w:t>
            </w:r>
          </w:p>
          <w:p w14:paraId="7D19CCB0" w14:textId="6C763DC6" w:rsidR="003D74EA" w:rsidRDefault="003D74EA" w:rsidP="00511B7E">
            <w:pPr>
              <w:pStyle w:val="Tabletextprimarysource"/>
              <w:numPr>
                <w:ilvl w:val="0"/>
                <w:numId w:val="1"/>
              </w:numPr>
            </w:pPr>
            <w:r>
              <w:t>None presented</w:t>
            </w:r>
            <w:r w:rsidR="00F2517B">
              <w:t>.</w:t>
            </w:r>
          </w:p>
          <w:p w14:paraId="61CE8222" w14:textId="77777777" w:rsidR="00632E21" w:rsidRDefault="00632E21" w:rsidP="003365A5">
            <w:pPr>
              <w:pStyle w:val="Tabletextprimarysource"/>
            </w:pPr>
            <w:r>
              <w:t>Animal data:</w:t>
            </w:r>
          </w:p>
          <w:p w14:paraId="4A63387A" w14:textId="77777777" w:rsidR="0066552C" w:rsidRDefault="00632E21" w:rsidP="003D74EA">
            <w:pPr>
              <w:pStyle w:val="Tabletextprimarysource"/>
              <w:numPr>
                <w:ilvl w:val="0"/>
                <w:numId w:val="1"/>
              </w:numPr>
            </w:pPr>
            <w:r>
              <w:t>Carcinogenic effect of InP likely due to generation of excess ROS</w:t>
            </w:r>
          </w:p>
          <w:p w14:paraId="5B7A9043" w14:textId="79CD1ADB" w:rsidR="00632E21" w:rsidRDefault="00632E21" w:rsidP="0066552C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increased expression of inflammatory response proteins in lungs at 0.03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3D74EA">
              <w:t xml:space="preserve">InP </w:t>
            </w:r>
            <w:r w:rsidR="007418CF">
              <w:t xml:space="preserve">after 3 </w:t>
            </w:r>
            <w:proofErr w:type="spellStart"/>
            <w:r w:rsidR="007418CF">
              <w:t>mo</w:t>
            </w:r>
            <w:proofErr w:type="spellEnd"/>
            <w:r w:rsidR="007418CF">
              <w:t xml:space="preserve"> during a 2-yr chronic inhalation study </w:t>
            </w:r>
            <w:r w:rsidR="003D74EA">
              <w:t>(rats)</w:t>
            </w:r>
          </w:p>
          <w:p w14:paraId="07FD426B" w14:textId="77777777" w:rsidR="003D74EA" w:rsidRDefault="003D74EA" w:rsidP="003D74EA">
            <w:pPr>
              <w:pStyle w:val="Tabletextprimarysource"/>
              <w:numPr>
                <w:ilvl w:val="0"/>
                <w:numId w:val="1"/>
              </w:numPr>
            </w:pPr>
            <w:r>
              <w:t>Majority of intratracheally applied dose of 10 mg/kg present in lungs after 14 d (rats); &lt;0.36% distributed to other organs</w:t>
            </w:r>
            <w:r w:rsidR="00C7667C">
              <w:t>:</w:t>
            </w:r>
          </w:p>
          <w:p w14:paraId="19E9C1D0" w14:textId="77777777" w:rsidR="003D74EA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lung </w:t>
            </w:r>
            <w:r w:rsidR="003D74EA">
              <w:t>clearance half-life: 144–163 d (mice), 262–291 d (rats); dose-independent</w:t>
            </w:r>
          </w:p>
          <w:p w14:paraId="37BD1238" w14:textId="40A1B0FF" w:rsidR="003D74EA" w:rsidRDefault="00F54A91" w:rsidP="003D74E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Repeat inhalation study with treatment groups </w:t>
            </w:r>
            <w:r w:rsidR="0010518B">
              <w:t xml:space="preserve">0, </w:t>
            </w:r>
            <w:r>
              <w:t>1, 3, 10, 30, and 100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(rats, mice, </w:t>
            </w:r>
            <w:r w:rsidR="0091579B">
              <w:t>5</w:t>
            </w:r>
            <w:r w:rsidR="00C7667C">
              <w:t> </w:t>
            </w:r>
            <w:r w:rsidR="0091579B">
              <w:t>h/d, 5–7 d/</w:t>
            </w:r>
            <w:proofErr w:type="spellStart"/>
            <w:r w:rsidR="0091579B">
              <w:t>wk</w:t>
            </w:r>
            <w:proofErr w:type="spellEnd"/>
            <w:r w:rsidR="0091579B">
              <w:t xml:space="preserve">, </w:t>
            </w:r>
            <w:r>
              <w:t>14</w:t>
            </w:r>
            <w:r w:rsidR="00057227">
              <w:t xml:space="preserve"> </w:t>
            </w:r>
            <w:proofErr w:type="spellStart"/>
            <w:r>
              <w:t>wk</w:t>
            </w:r>
            <w:proofErr w:type="spellEnd"/>
            <w:r>
              <w:t>)</w:t>
            </w:r>
            <w:r w:rsidR="00C7667C">
              <w:t>:</w:t>
            </w:r>
          </w:p>
          <w:p w14:paraId="6B70B706" w14:textId="38C7DB02" w:rsidR="00F54A91" w:rsidRDefault="0010518B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grey discoloration and 2.7–4.4-fold i</w:t>
            </w:r>
            <w:r w:rsidR="008D36C7">
              <w:t xml:space="preserve">ncrease </w:t>
            </w:r>
            <w:r>
              <w:t xml:space="preserve">in </w:t>
            </w:r>
            <w:r w:rsidR="00F54A91">
              <w:t>lung weight</w:t>
            </w:r>
            <w:r>
              <w:t xml:space="preserve">s </w:t>
            </w:r>
            <w:r w:rsidR="00F54A91">
              <w:t>in all exposure groups</w:t>
            </w:r>
            <w:r>
              <w:t xml:space="preserve"> (unclear if dose-dependent)</w:t>
            </w:r>
          </w:p>
          <w:p w14:paraId="5E2A425C" w14:textId="77777777" w:rsidR="00F54A91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chronic </w:t>
            </w:r>
            <w:r w:rsidR="00F54A91">
              <w:t>inflammation in lungs and associated lymph nodes at 30–100 mg/</w:t>
            </w:r>
            <w:proofErr w:type="spellStart"/>
            <w:r w:rsidR="00F54A91">
              <w:t>m</w:t>
            </w:r>
            <w:r w:rsidR="00F54A91">
              <w:rPr>
                <w:vertAlign w:val="superscript"/>
              </w:rPr>
              <w:t>3</w:t>
            </w:r>
            <w:proofErr w:type="spellEnd"/>
            <w:r w:rsidR="00F54A91">
              <w:t xml:space="preserve"> </w:t>
            </w:r>
          </w:p>
          <w:p w14:paraId="1640B3E4" w14:textId="77777777" w:rsidR="00F54A91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haematopoietic </w:t>
            </w:r>
            <w:r w:rsidR="00F54A91">
              <w:t>cell proliferation and liver cell necrosis at 10 mg/</w:t>
            </w:r>
            <w:proofErr w:type="spellStart"/>
            <w:r w:rsidR="00F54A91">
              <w:t>m</w:t>
            </w:r>
            <w:r w:rsidR="00F54A91">
              <w:rPr>
                <w:vertAlign w:val="superscript"/>
              </w:rPr>
              <w:t>3</w:t>
            </w:r>
            <w:proofErr w:type="spellEnd"/>
          </w:p>
          <w:p w14:paraId="4B41FDF4" w14:textId="77777777" w:rsidR="00C82F0C" w:rsidRDefault="008D36C7" w:rsidP="003635D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 </w:t>
            </w:r>
            <w:r w:rsidR="00C82F0C">
              <w:t>changes to reproduction or fertility noted</w:t>
            </w:r>
          </w:p>
          <w:p w14:paraId="3DB86876" w14:textId="474CE47E" w:rsidR="00F54A91" w:rsidRDefault="006D7C24" w:rsidP="00F54A91">
            <w:pPr>
              <w:pStyle w:val="Tabletextprimarysource"/>
              <w:numPr>
                <w:ilvl w:val="0"/>
                <w:numId w:val="1"/>
              </w:numPr>
            </w:pPr>
            <w:r>
              <w:t>Similar pathologies to 14-</w:t>
            </w:r>
            <w:proofErr w:type="spellStart"/>
            <w:r>
              <w:t>wk</w:t>
            </w:r>
            <w:proofErr w:type="spellEnd"/>
            <w:r>
              <w:t xml:space="preserve"> study </w:t>
            </w:r>
            <w:r w:rsidR="00635E13">
              <w:t xml:space="preserve">were </w:t>
            </w:r>
            <w:r>
              <w:t>reported in c</w:t>
            </w:r>
            <w:r w:rsidR="00F54A91">
              <w:t xml:space="preserve">hronic inhalation study with treatment groups </w:t>
            </w:r>
            <w:r w:rsidR="0010518B">
              <w:t xml:space="preserve">0, </w:t>
            </w:r>
            <w:r w:rsidR="00F54A91">
              <w:t>0.03</w:t>
            </w:r>
            <w:r w:rsidR="00466243">
              <w:t xml:space="preserve"> mg/</w:t>
            </w:r>
            <w:proofErr w:type="spellStart"/>
            <w:r w:rsidR="00466243">
              <w:t>m</w:t>
            </w:r>
            <w:r w:rsidR="00466243">
              <w:rPr>
                <w:vertAlign w:val="superscript"/>
              </w:rPr>
              <w:t>3</w:t>
            </w:r>
            <w:proofErr w:type="spellEnd"/>
            <w:r w:rsidR="00466243">
              <w:t xml:space="preserve"> for 2 yr</w:t>
            </w:r>
            <w:r w:rsidR="00F54A91">
              <w:t xml:space="preserve"> </w:t>
            </w:r>
            <w:r w:rsidR="00466243">
              <w:t xml:space="preserve">and </w:t>
            </w:r>
            <w:r w:rsidR="00F54A91">
              <w:t>0.1, and 0.3 mg/</w:t>
            </w:r>
            <w:proofErr w:type="spellStart"/>
            <w:r w:rsidR="00F54A91">
              <w:t>m</w:t>
            </w:r>
            <w:r w:rsidR="00F54A91">
              <w:rPr>
                <w:vertAlign w:val="superscript"/>
              </w:rPr>
              <w:t>3</w:t>
            </w:r>
            <w:proofErr w:type="spellEnd"/>
            <w:r w:rsidR="00F54A91">
              <w:t xml:space="preserve"> </w:t>
            </w:r>
            <w:r w:rsidR="00466243">
              <w:t xml:space="preserve">for 22 </w:t>
            </w:r>
            <w:proofErr w:type="spellStart"/>
            <w:r w:rsidR="00466243">
              <w:t>wk</w:t>
            </w:r>
            <w:proofErr w:type="spellEnd"/>
            <w:r w:rsidR="00466243">
              <w:t xml:space="preserve"> </w:t>
            </w:r>
            <w:r w:rsidR="00F54A91">
              <w:t>(rats, mice,</w:t>
            </w:r>
            <w:r w:rsidR="0091579B">
              <w:t xml:space="preserve"> 6</w:t>
            </w:r>
            <w:r w:rsidR="0010518B">
              <w:t> </w:t>
            </w:r>
            <w:r w:rsidR="0091579B">
              <w:t>h/d, 5</w:t>
            </w:r>
            <w:r w:rsidR="00057227">
              <w:t xml:space="preserve"> </w:t>
            </w:r>
            <w:r w:rsidR="0091579B">
              <w:t>d/</w:t>
            </w:r>
            <w:proofErr w:type="spellStart"/>
            <w:r w:rsidR="0091579B">
              <w:t>wk</w:t>
            </w:r>
            <w:proofErr w:type="spellEnd"/>
            <w:r w:rsidR="00F54A91">
              <w:t>)</w:t>
            </w:r>
            <w:r w:rsidR="00C7667C">
              <w:t>:</w:t>
            </w:r>
          </w:p>
          <w:p w14:paraId="4FF7DCDF" w14:textId="529074B1" w:rsidR="006D7C24" w:rsidRDefault="006D7C24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lung weights were 1.6–2.1 (rats) and 1.7–2 (mice) times heavier than controls at 0.1</w:t>
            </w:r>
            <w:r w:rsidR="00635E13">
              <w:noBreakHyphen/>
            </w:r>
            <w:r>
              <w:t>0.3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  <w:p w14:paraId="39DA4247" w14:textId="62B559AD" w:rsidR="006D7C24" w:rsidRDefault="006D7C24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lung damage corresponded qualitatively to that observed in 14-</w:t>
            </w:r>
            <w:proofErr w:type="spellStart"/>
            <w:r>
              <w:t>wk</w:t>
            </w:r>
            <w:proofErr w:type="spellEnd"/>
            <w:r>
              <w:t xml:space="preserve"> study, but less severe (no further details)</w:t>
            </w:r>
          </w:p>
          <w:p w14:paraId="623E3802" w14:textId="79B27790" w:rsidR="007951B5" w:rsidRDefault="007951B5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lung clearance half-times </w:t>
            </w:r>
            <w:r w:rsidR="00635E13">
              <w:t xml:space="preserve">was </w:t>
            </w:r>
            <w:r>
              <w:t xml:space="preserve">dose-independent, based on </w:t>
            </w:r>
            <w:r w:rsidR="00635E13">
              <w:t xml:space="preserve">a </w:t>
            </w:r>
            <w:r>
              <w:t>deposition and clearance model, lowest total exposure group calculated to be 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group, followed by 0.03 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and 0.3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A1376D">
              <w:t xml:space="preserve"> in both rats and mice</w:t>
            </w:r>
          </w:p>
          <w:p w14:paraId="7E82C91D" w14:textId="0472FBFA" w:rsidR="00A1376D" w:rsidRDefault="006D7C24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0.1 and 0.3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AF7C75">
              <w:t xml:space="preserve"> groups exposed for 22 </w:t>
            </w:r>
            <w:proofErr w:type="spellStart"/>
            <w:r w:rsidR="00AF7C75">
              <w:t>wk</w:t>
            </w:r>
            <w:proofErr w:type="spellEnd"/>
            <w:r w:rsidR="00AF7C75">
              <w:t xml:space="preserve"> and observed for 2 yr due to mortality, low dose group exposed for full 2 yr</w:t>
            </w:r>
            <w:r w:rsidR="00A1376D">
              <w:t xml:space="preserve">, survival rates as </w:t>
            </w:r>
            <w:proofErr w:type="gramStart"/>
            <w:r w:rsidR="00A1376D">
              <w:t>follows;</w:t>
            </w:r>
            <w:proofErr w:type="gramEnd"/>
          </w:p>
          <w:p w14:paraId="668C4324" w14:textId="0E365652" w:rsidR="00AF7C75" w:rsidRDefault="00A1376D" w:rsidP="009A50D0">
            <w:pPr>
              <w:pStyle w:val="Tabletextprimarysource"/>
              <w:numPr>
                <w:ilvl w:val="2"/>
                <w:numId w:val="1"/>
              </w:numPr>
              <w:ind w:left="1723"/>
            </w:pPr>
            <w:r>
              <w:t xml:space="preserve">mice: </w:t>
            </w:r>
            <w:r w:rsidR="0011613E">
              <w:t xml:space="preserve">43–66% </w:t>
            </w:r>
            <w:r>
              <w:t>at</w:t>
            </w:r>
            <w:r w:rsidR="0011613E">
              <w:t xml:space="preserve"> 0.1–0.3 mg/</w:t>
            </w:r>
            <w:proofErr w:type="spellStart"/>
            <w:r w:rsidR="0011613E">
              <w:t>m</w:t>
            </w:r>
            <w:r w:rsidR="0011613E">
              <w:rPr>
                <w:vertAlign w:val="superscript"/>
              </w:rPr>
              <w:t>3</w:t>
            </w:r>
            <w:proofErr w:type="spellEnd"/>
            <w:r>
              <w:t>,</w:t>
            </w:r>
            <w:r w:rsidR="0011613E">
              <w:t xml:space="preserve"> 26–48% at 0.03 mg/</w:t>
            </w:r>
            <w:proofErr w:type="spellStart"/>
            <w:r w:rsidR="0011613E">
              <w:t>m</w:t>
            </w:r>
            <w:r w:rsidR="0011613E">
              <w:rPr>
                <w:vertAlign w:val="superscript"/>
              </w:rPr>
              <w:t>3</w:t>
            </w:r>
            <w:proofErr w:type="spellEnd"/>
            <w:r>
              <w:t xml:space="preserve">, 74–86% </w:t>
            </w:r>
            <w:r w:rsidR="0011613E">
              <w:t>in controls</w:t>
            </w:r>
          </w:p>
          <w:p w14:paraId="5EFFBFC1" w14:textId="4DF06185" w:rsidR="00A1376D" w:rsidRDefault="00A1376D" w:rsidP="009A50D0">
            <w:pPr>
              <w:pStyle w:val="Tabletextprimarysource"/>
              <w:numPr>
                <w:ilvl w:val="2"/>
                <w:numId w:val="1"/>
              </w:numPr>
              <w:ind w:left="1723"/>
            </w:pPr>
            <w:r>
              <w:t xml:space="preserve">rats: </w:t>
            </w:r>
            <w:r w:rsidR="00450138">
              <w:t>52–72% at 0.1–0.3 mg/</w:t>
            </w:r>
            <w:proofErr w:type="spellStart"/>
            <w:r w:rsidR="00450138">
              <w:t>m</w:t>
            </w:r>
            <w:r w:rsidR="00450138">
              <w:rPr>
                <w:vertAlign w:val="superscript"/>
              </w:rPr>
              <w:t>3</w:t>
            </w:r>
            <w:proofErr w:type="spellEnd"/>
            <w:r w:rsidR="00450138">
              <w:t>, 58–63% at 0.03 mg/</w:t>
            </w:r>
            <w:proofErr w:type="spellStart"/>
            <w:r w:rsidR="00450138">
              <w:t>m</w:t>
            </w:r>
            <w:r w:rsidR="00450138">
              <w:rPr>
                <w:vertAlign w:val="superscript"/>
              </w:rPr>
              <w:t>3</w:t>
            </w:r>
            <w:proofErr w:type="spellEnd"/>
            <w:r w:rsidR="00450138">
              <w:t>, 54–68% in controls</w:t>
            </w:r>
          </w:p>
          <w:p w14:paraId="2DF8B8D6" w14:textId="67CE347F" w:rsidR="00AF7C75" w:rsidRDefault="007951B5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in rats, </w:t>
            </w:r>
            <w:r w:rsidR="008D36C7">
              <w:t xml:space="preserve">increased </w:t>
            </w:r>
            <w:r w:rsidR="00AF7C75">
              <w:t xml:space="preserve">incidences of lung </w:t>
            </w:r>
            <w:r w:rsidR="00466243">
              <w:t xml:space="preserve">adenomas and </w:t>
            </w:r>
            <w:r w:rsidR="00AF7C75">
              <w:t>carcinomas</w:t>
            </w:r>
            <w:r w:rsidR="00466243">
              <w:t xml:space="preserve"> (</w:t>
            </w:r>
            <w:r>
              <w:t>12–52</w:t>
            </w:r>
            <w:r w:rsidR="00466243">
              <w:t>%)</w:t>
            </w:r>
            <w:r w:rsidR="007418CF">
              <w:t xml:space="preserve"> and</w:t>
            </w:r>
            <w:r w:rsidR="00AF7C75">
              <w:t xml:space="preserve"> adrenal tumours </w:t>
            </w:r>
            <w:r w:rsidR="00466243">
              <w:t>(</w:t>
            </w:r>
            <w:r w:rsidR="00CE3D2B">
              <w:t xml:space="preserve">37–52%) </w:t>
            </w:r>
            <w:r w:rsidR="00AF7C75">
              <w:t>in all treatment groups</w:t>
            </w:r>
            <w:r w:rsidR="00466243">
              <w:t xml:space="preserve"> </w:t>
            </w:r>
            <w:r>
              <w:t xml:space="preserve">compared to controls (2 and 20%, respectively), </w:t>
            </w:r>
            <w:r w:rsidR="00450138">
              <w:t>dose dependency not discussed</w:t>
            </w:r>
          </w:p>
          <w:p w14:paraId="39D7ADC7" w14:textId="77777777" w:rsidR="00B43AD2" w:rsidRDefault="008D36C7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accumulation </w:t>
            </w:r>
            <w:r w:rsidR="00B43AD2">
              <w:t>in testes up to 112 d post-exposure (male rats)</w:t>
            </w:r>
          </w:p>
          <w:p w14:paraId="22328270" w14:textId="4A1A5D9D" w:rsidR="00C82F0C" w:rsidRDefault="00C82F0C" w:rsidP="00B507B9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LOAE</w:t>
            </w:r>
            <w:r w:rsidR="00EC02F7">
              <w:t>C</w:t>
            </w:r>
            <w:proofErr w:type="spellEnd"/>
            <w:r>
              <w:t>: 0.03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</w:t>
            </w:r>
            <w:r w:rsidR="007951B5">
              <w:t xml:space="preserve">tumorigenicity, </w:t>
            </w:r>
            <w:r>
              <w:t>chronic inflammation, interstitial fibrosis</w:t>
            </w:r>
            <w:r w:rsidR="007951B5">
              <w:t>,</w:t>
            </w:r>
            <w:r>
              <w:t xml:space="preserve"> and proteinosis</w:t>
            </w:r>
          </w:p>
          <w:p w14:paraId="06C2BFAF" w14:textId="77777777" w:rsidR="00C82F0C" w:rsidRDefault="00C82F0C" w:rsidP="00C82F0C">
            <w:pPr>
              <w:pStyle w:val="Tabletextprimarysource"/>
              <w:numPr>
                <w:ilvl w:val="0"/>
                <w:numId w:val="1"/>
              </w:numPr>
            </w:pPr>
            <w:r>
              <w:t>No signs of foetal toxicity in developmental inhalation study at 1–10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(rats, mice, </w:t>
            </w:r>
            <w:r w:rsidR="0066552C">
              <w:t>GD</w:t>
            </w:r>
            <w:r>
              <w:t xml:space="preserve"> 4–19, exposure duration not specified</w:t>
            </w:r>
            <w:proofErr w:type="gramStart"/>
            <w:r>
              <w:t>);</w:t>
            </w:r>
            <w:proofErr w:type="gramEnd"/>
            <w:r>
              <w:t xml:space="preserve"> maternally toxic effects consistent with other inhalational studies at those concentrations</w:t>
            </w:r>
          </w:p>
          <w:p w14:paraId="78404A81" w14:textId="41A67A4D" w:rsidR="008B4FD2" w:rsidRDefault="00C82F0C" w:rsidP="00511B7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Equivocal evidence from </w:t>
            </w:r>
            <w:r>
              <w:rPr>
                <w:i/>
              </w:rPr>
              <w:t>in vivo</w:t>
            </w:r>
            <w:r>
              <w:t xml:space="preserve"> genotoxicity evaluation due to potentially confounding observatio</w:t>
            </w:r>
            <w:r w:rsidR="0091579B">
              <w:t>ns at severely toxic exposures; 30 mg/</w:t>
            </w:r>
            <w:proofErr w:type="spellStart"/>
            <w:r w:rsidR="0091579B">
              <w:t>m</w:t>
            </w:r>
            <w:r w:rsidR="0091579B">
              <w:rPr>
                <w:vertAlign w:val="superscript"/>
              </w:rPr>
              <w:t>3</w:t>
            </w:r>
            <w:proofErr w:type="spellEnd"/>
            <w:r w:rsidR="0091579B">
              <w:t xml:space="preserve"> (rats, 5 h/d, 5–7 d/</w:t>
            </w:r>
            <w:proofErr w:type="spellStart"/>
            <w:r w:rsidR="0091579B">
              <w:t>wk,14</w:t>
            </w:r>
            <w:proofErr w:type="spellEnd"/>
            <w:r w:rsidR="0091579B">
              <w:t xml:space="preserve"> </w:t>
            </w:r>
            <w:proofErr w:type="spellStart"/>
            <w:r w:rsidR="0091579B">
              <w:t>wk</w:t>
            </w:r>
            <w:proofErr w:type="spellEnd"/>
            <w:r w:rsidR="0091579B">
              <w:t>)</w:t>
            </w:r>
            <w:r w:rsidR="005B222F">
              <w:t>.</w:t>
            </w:r>
          </w:p>
          <w:p w14:paraId="55771DF7" w14:textId="77777777" w:rsidR="00CF31E7" w:rsidRPr="00632E21" w:rsidRDefault="00CF31E7" w:rsidP="00B507B9">
            <w:pPr>
              <w:pStyle w:val="Tabletextprimarysource"/>
            </w:pPr>
          </w:p>
        </w:tc>
      </w:tr>
      <w:tr w:rsidR="00C978F0" w:rsidRPr="00DA352E" w14:paraId="02ACA30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A0C4D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E64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E646C">
                  <w:t>NA</w:t>
                </w:r>
                <w:proofErr w:type="spellEnd"/>
              </w:sdtContent>
            </w:sdt>
          </w:p>
        </w:tc>
      </w:tr>
      <w:tr w:rsidR="00C978F0" w:rsidRPr="00DA352E" w14:paraId="09E6DE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F645F7" w14:textId="77777777" w:rsidR="00C978F0" w:rsidRPr="00DA352E" w:rsidRDefault="004E646C" w:rsidP="003365A5">
            <w:pPr>
              <w:pStyle w:val="Tabletextprimarysource"/>
            </w:pPr>
            <w:r>
              <w:t>No report</w:t>
            </w:r>
            <w:r w:rsidR="00057227">
              <w:t>.</w:t>
            </w:r>
          </w:p>
        </w:tc>
      </w:tr>
      <w:tr w:rsidR="00DA352E" w:rsidRPr="00DA352E" w14:paraId="32251FD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E2DC2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E64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E646C">
                  <w:t>NA</w:t>
                </w:r>
                <w:proofErr w:type="spellEnd"/>
              </w:sdtContent>
            </w:sdt>
          </w:p>
        </w:tc>
      </w:tr>
      <w:tr w:rsidR="00DA352E" w:rsidRPr="00DA352E" w14:paraId="2D64EA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440447" w14:textId="77777777" w:rsidR="00DA352E" w:rsidRPr="00DA352E" w:rsidRDefault="004E646C" w:rsidP="003365A5">
            <w:pPr>
              <w:pStyle w:val="Tabletextprimarysource"/>
            </w:pPr>
            <w:r>
              <w:t>No report</w:t>
            </w:r>
            <w:r w:rsidR="00057227">
              <w:t>.</w:t>
            </w:r>
          </w:p>
        </w:tc>
      </w:tr>
      <w:tr w:rsidR="00DA352E" w:rsidRPr="00DA352E" w14:paraId="1BDE0E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96D10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E646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E646C">
                  <w:t>NA</w:t>
                </w:r>
                <w:proofErr w:type="spellEnd"/>
              </w:sdtContent>
            </w:sdt>
          </w:p>
        </w:tc>
      </w:tr>
      <w:tr w:rsidR="00DA352E" w:rsidRPr="00DA352E" w14:paraId="344AE2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EAA1B8" w14:textId="77777777" w:rsidR="006B35BD" w:rsidRPr="00DA352E" w:rsidRDefault="000710BE" w:rsidP="000710BE">
            <w:pPr>
              <w:pStyle w:val="Tabletextprimarysource"/>
            </w:pPr>
            <w:r>
              <w:t>No report</w:t>
            </w:r>
            <w:r w:rsidR="00057227">
              <w:t>.</w:t>
            </w:r>
          </w:p>
        </w:tc>
      </w:tr>
    </w:tbl>
    <w:p w14:paraId="37D15D4F" w14:textId="77777777" w:rsidR="00A20751" w:rsidRPr="004C23F4" w:rsidRDefault="00A20751" w:rsidP="00057227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79"/>
        <w:gridCol w:w="421"/>
        <w:gridCol w:w="717"/>
        <w:gridCol w:w="6409"/>
      </w:tblGrid>
      <w:tr w:rsidR="004966BF" w:rsidRPr="00263255" w14:paraId="6003A4A0" w14:textId="77777777" w:rsidTr="00511B7E">
        <w:trPr>
          <w:cantSplit/>
          <w:trHeight w:val="393"/>
          <w:tblHeader/>
        </w:trPr>
        <w:tc>
          <w:tcPr>
            <w:tcW w:w="1479" w:type="dxa"/>
            <w:shd w:val="clear" w:color="auto" w:fill="BFBFBF" w:themeFill="background1" w:themeFillShade="BF"/>
            <w:vAlign w:val="center"/>
          </w:tcPr>
          <w:p w14:paraId="75F57351" w14:textId="77777777" w:rsidR="004966BF" w:rsidRPr="00263255" w:rsidRDefault="004966BF" w:rsidP="00511B7E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455DF89" w14:textId="77777777" w:rsidR="004966BF" w:rsidRPr="00263255" w:rsidRDefault="004966BF" w:rsidP="00511B7E">
            <w:pPr>
              <w:pStyle w:val="Tableheader"/>
              <w:keepNext/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4D6D8760" w14:textId="77777777" w:rsidR="004966BF" w:rsidRPr="00263255" w:rsidRDefault="004966BF" w:rsidP="00511B7E">
            <w:pPr>
              <w:pStyle w:val="Tableheader"/>
              <w:keepNext/>
            </w:pPr>
            <w:r>
              <w:t>Year</w:t>
            </w:r>
          </w:p>
        </w:tc>
        <w:tc>
          <w:tcPr>
            <w:tcW w:w="6409" w:type="dxa"/>
            <w:shd w:val="clear" w:color="auto" w:fill="BFBFBF" w:themeFill="background1" w:themeFillShade="BF"/>
            <w:vAlign w:val="center"/>
          </w:tcPr>
          <w:p w14:paraId="7DEF4A55" w14:textId="77777777" w:rsidR="004966BF" w:rsidRPr="00263255" w:rsidRDefault="004966BF" w:rsidP="00511B7E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52FFD5E4" w14:textId="77777777" w:rsidTr="00511B7E">
        <w:trPr>
          <w:cantSplit/>
        </w:trPr>
        <w:tc>
          <w:tcPr>
            <w:tcW w:w="1479" w:type="dxa"/>
          </w:tcPr>
          <w:p w14:paraId="06CF70CF" w14:textId="77777777" w:rsidR="004966BF" w:rsidRPr="004C23F4" w:rsidRDefault="004966BF" w:rsidP="00511B7E">
            <w:pPr>
              <w:pStyle w:val="Tablefont"/>
              <w:keepNext/>
            </w:pPr>
            <w:r>
              <w:t>HSE</w:t>
            </w:r>
          </w:p>
        </w:tc>
        <w:tc>
          <w:tcPr>
            <w:tcW w:w="421" w:type="dxa"/>
          </w:tcPr>
          <w:p w14:paraId="5F277124" w14:textId="77777777" w:rsidR="004966BF" w:rsidRPr="00CE617F" w:rsidRDefault="00FB2F8E" w:rsidP="00511B7E">
            <w:pPr>
              <w:keepNext/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D7C87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717" w:type="dxa"/>
          </w:tcPr>
          <w:p w14:paraId="072C57E9" w14:textId="77777777" w:rsidR="004966BF" w:rsidRPr="004C23F4" w:rsidRDefault="00D63555" w:rsidP="00511B7E">
            <w:pPr>
              <w:pStyle w:val="Tablefont"/>
              <w:keepNext/>
            </w:pPr>
            <w:r>
              <w:t>2002</w:t>
            </w:r>
          </w:p>
        </w:tc>
        <w:tc>
          <w:tcPr>
            <w:tcW w:w="6409" w:type="dxa"/>
          </w:tcPr>
          <w:p w14:paraId="4B35335A" w14:textId="77777777" w:rsidR="004966BF" w:rsidRPr="009D241D" w:rsidRDefault="009D241D" w:rsidP="003635D3">
            <w:pPr>
              <w:pStyle w:val="Tablefont"/>
              <w:keepNext/>
              <w:numPr>
                <w:ilvl w:val="0"/>
                <w:numId w:val="3"/>
              </w:numPr>
              <w:spacing w:before="60" w:after="60"/>
              <w:ind w:left="714" w:hanging="357"/>
            </w:pPr>
            <w:r>
              <w:t>8</w:t>
            </w:r>
            <w:r w:rsidR="00057227">
              <w:t xml:space="preserve"> </w:t>
            </w:r>
            <w:r>
              <w:t>h TWA: 0.1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; 15</w:t>
            </w:r>
            <w:r w:rsidR="00057227">
              <w:t xml:space="preserve"> </w:t>
            </w:r>
            <w:r>
              <w:t>min STEL: 0.3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CF31E7">
              <w:t>.</w:t>
            </w:r>
          </w:p>
        </w:tc>
      </w:tr>
      <w:tr w:rsidR="004966BF" w:rsidRPr="004C23F4" w14:paraId="722A1AA2" w14:textId="77777777" w:rsidTr="00511B7E">
        <w:trPr>
          <w:cantSplit/>
        </w:trPr>
        <w:tc>
          <w:tcPr>
            <w:tcW w:w="1479" w:type="dxa"/>
          </w:tcPr>
          <w:p w14:paraId="3BBD6FA2" w14:textId="77777777" w:rsidR="004966BF" w:rsidRPr="004C23F4" w:rsidRDefault="004966BF" w:rsidP="00511B7E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421" w:type="dxa"/>
          </w:tcPr>
          <w:p w14:paraId="6D707197" w14:textId="77777777" w:rsidR="004966BF" w:rsidRPr="00CE617F" w:rsidRDefault="00FB2F8E" w:rsidP="00511B7E">
            <w:pPr>
              <w:keepNext/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B00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0DC2A299" w14:textId="77777777" w:rsidR="004966BF" w:rsidRPr="004C23F4" w:rsidRDefault="00EB0084" w:rsidP="00511B7E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09" w:type="dxa"/>
          </w:tcPr>
          <w:p w14:paraId="7EE47B0E" w14:textId="77777777" w:rsidR="00EB0084" w:rsidRPr="00EB0084" w:rsidRDefault="00EB0084" w:rsidP="00511B7E">
            <w:pPr>
              <w:pStyle w:val="Tablefont"/>
              <w:keepNext/>
              <w:rPr>
                <w:rStyle w:val="checkbox"/>
                <w:rFonts w:ascii="Arial" w:hAnsi="Arial" w:cs="Arial"/>
                <w:i/>
                <w:lang w:eastAsia="en-US"/>
              </w:rPr>
            </w:pPr>
            <w:r w:rsidRPr="00EB0084">
              <w:rPr>
                <w:rStyle w:val="checkbox"/>
                <w:rFonts w:ascii="Arial" w:hAnsi="Arial" w:cs="Arial"/>
                <w:i/>
              </w:rPr>
              <w:t>Indium phosphide:</w:t>
            </w:r>
          </w:p>
          <w:p w14:paraId="1E51C020" w14:textId="77777777" w:rsidR="004966BF" w:rsidRDefault="0019155A" w:rsidP="003635D3">
            <w:pPr>
              <w:pStyle w:val="Tablefont"/>
              <w:keepNext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Grouped in carcinogenic, mutagenic, and/or reproductive toxicants (</w:t>
            </w:r>
            <w:proofErr w:type="spellStart"/>
            <w:r>
              <w:rPr>
                <w:rStyle w:val="checkbox"/>
                <w:rFonts w:ascii="Arial" w:hAnsi="Arial" w:cs="Arial"/>
              </w:rPr>
              <w:t>CMRs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</w:p>
          <w:p w14:paraId="41443ECD" w14:textId="4D1410A8" w:rsidR="0019155A" w:rsidRPr="004C23F4" w:rsidRDefault="0019155A" w:rsidP="003635D3">
            <w:pPr>
              <w:pStyle w:val="Tablefont"/>
              <w:keepNext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Not listed as genotoxic</w:t>
            </w:r>
            <w:r w:rsidR="00B43AD2">
              <w:rPr>
                <w:rStyle w:val="checkbox"/>
                <w:rFonts w:ascii="Arial" w:hAnsi="Arial" w:cs="Arial"/>
              </w:rPr>
              <w:t xml:space="preserve"> but considered carcinogenic based on positive results of </w:t>
            </w:r>
            <w:r w:rsidR="00BD4331">
              <w:rPr>
                <w:rStyle w:val="checkbox"/>
                <w:rFonts w:ascii="Arial" w:hAnsi="Arial" w:cs="Arial"/>
              </w:rPr>
              <w:t>2-</w:t>
            </w:r>
            <w:r w:rsidR="00B43AD2">
              <w:rPr>
                <w:rStyle w:val="checkbox"/>
                <w:rFonts w:ascii="Arial" w:hAnsi="Arial" w:cs="Arial"/>
              </w:rPr>
              <w:t xml:space="preserve">yr inhalation study and potentially damaging to fertility based on InP accumulation in testes </w:t>
            </w:r>
            <w:r w:rsidR="00EB0084">
              <w:rPr>
                <w:rStyle w:val="checkbox"/>
                <w:rFonts w:ascii="Arial" w:hAnsi="Arial" w:cs="Arial"/>
              </w:rPr>
              <w:t>in 14</w:t>
            </w:r>
            <w:r w:rsidR="00057227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="00EB0084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EB0084">
              <w:rPr>
                <w:rStyle w:val="checkbox"/>
                <w:rFonts w:ascii="Arial" w:hAnsi="Arial" w:cs="Arial"/>
              </w:rPr>
              <w:t xml:space="preserve"> study both </w:t>
            </w:r>
            <w:r w:rsidR="00B43AD2">
              <w:rPr>
                <w:rStyle w:val="checkbox"/>
                <w:rFonts w:ascii="Arial" w:hAnsi="Arial" w:cs="Arial"/>
              </w:rPr>
              <w:t xml:space="preserve">cited </w:t>
            </w:r>
            <w:r w:rsidR="00EB0084">
              <w:rPr>
                <w:rStyle w:val="checkbox"/>
                <w:rFonts w:ascii="Arial" w:hAnsi="Arial" w:cs="Arial"/>
              </w:rPr>
              <w:t>in</w:t>
            </w:r>
            <w:r w:rsidR="00B43AD2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="00B43AD2">
              <w:rPr>
                <w:rStyle w:val="checkbox"/>
                <w:rFonts w:ascii="Arial" w:hAnsi="Arial" w:cs="Arial"/>
              </w:rPr>
              <w:t>DFG</w:t>
            </w:r>
            <w:proofErr w:type="spellEnd"/>
            <w:r w:rsidR="00057227">
              <w:rPr>
                <w:rStyle w:val="checkbox"/>
                <w:rFonts w:ascii="Arial" w:hAnsi="Arial" w:cs="Arial"/>
              </w:rPr>
              <w:t xml:space="preserve"> </w:t>
            </w:r>
            <w:r w:rsidR="00B43AD2">
              <w:rPr>
                <w:rStyle w:val="checkbox"/>
                <w:rFonts w:ascii="Arial" w:hAnsi="Arial" w:cs="Arial"/>
              </w:rPr>
              <w:t>(2004)</w:t>
            </w:r>
            <w:r w:rsidR="00EB008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C0FE0A4" w14:textId="77777777" w:rsidTr="00511B7E">
        <w:trPr>
          <w:cantSplit/>
        </w:trPr>
        <w:tc>
          <w:tcPr>
            <w:tcW w:w="1479" w:type="dxa"/>
          </w:tcPr>
          <w:p w14:paraId="544CA2B9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1" w:type="dxa"/>
          </w:tcPr>
          <w:p w14:paraId="1B0B8660" w14:textId="77777777" w:rsidR="004966BF" w:rsidRPr="00CE617F" w:rsidRDefault="00FB2F8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A0C7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242ECB52" w14:textId="77777777" w:rsidR="004966BF" w:rsidRPr="004C23F4" w:rsidRDefault="005A0C7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09" w:type="dxa"/>
          </w:tcPr>
          <w:p w14:paraId="323AD657" w14:textId="77777777" w:rsidR="008242D7" w:rsidRPr="008242D7" w:rsidRDefault="008242D7" w:rsidP="008242D7">
            <w:pPr>
              <w:pStyle w:val="Tablefont"/>
              <w:rPr>
                <w:rFonts w:cs="Arial"/>
                <w:i/>
              </w:rPr>
            </w:pPr>
            <w:r w:rsidRPr="008242D7">
              <w:rPr>
                <w:rFonts w:cs="Arial"/>
                <w:i/>
              </w:rPr>
              <w:t>Insoluble indium compounds:</w:t>
            </w:r>
          </w:p>
          <w:p w14:paraId="163DA15F" w14:textId="77777777" w:rsidR="008242D7" w:rsidRDefault="008242D7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Higher indium serum, blood and urine levels in workers (n=107) exposed to insoluble indium-containing particulates (not specified) than unexposed workers (n=24)</w:t>
            </w:r>
            <w:r w:rsidR="00856080">
              <w:rPr>
                <w:rFonts w:cs="Arial"/>
              </w:rPr>
              <w:t>.</w:t>
            </w:r>
          </w:p>
          <w:p w14:paraId="55648437" w14:textId="77777777" w:rsidR="0019155A" w:rsidRPr="0019155A" w:rsidRDefault="0019155A" w:rsidP="0019155A">
            <w:pPr>
              <w:pStyle w:val="Tablefont"/>
              <w:rPr>
                <w:rFonts w:cs="Arial"/>
                <w:i/>
              </w:rPr>
            </w:pPr>
            <w:r w:rsidRPr="0019155A">
              <w:rPr>
                <w:rFonts w:cs="Arial"/>
                <w:i/>
              </w:rPr>
              <w:t>Indium phosphide:</w:t>
            </w:r>
          </w:p>
          <w:p w14:paraId="0C310F7F" w14:textId="77777777" w:rsidR="000710BE" w:rsidRDefault="0019155A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="00AF7C75" w:rsidRPr="00AF7C75">
              <w:rPr>
                <w:rFonts w:cs="Arial"/>
              </w:rPr>
              <w:t xml:space="preserve">robably carcinogenic to humans (Group </w:t>
            </w:r>
            <w:proofErr w:type="spellStart"/>
            <w:r w:rsidR="00AF7C75" w:rsidRPr="00AF7C75">
              <w:rPr>
                <w:rFonts w:cs="Arial"/>
              </w:rPr>
              <w:t>2A</w:t>
            </w:r>
            <w:proofErr w:type="spellEnd"/>
            <w:r w:rsidR="00AF7C75" w:rsidRPr="00AF7C75">
              <w:rPr>
                <w:rFonts w:cs="Arial"/>
              </w:rPr>
              <w:t>)</w:t>
            </w:r>
            <w:r w:rsidR="00AF7C75">
              <w:rPr>
                <w:rFonts w:cs="Arial"/>
              </w:rPr>
              <w:t xml:space="preserve"> based on </w:t>
            </w:r>
            <w:r w:rsidR="00AF7C75" w:rsidRPr="00AF7C75">
              <w:rPr>
                <w:rFonts w:cs="Arial"/>
              </w:rPr>
              <w:t>high incidences of malignant</w:t>
            </w:r>
            <w:r w:rsidR="00AF7C75">
              <w:rPr>
                <w:rFonts w:cs="Arial"/>
              </w:rPr>
              <w:t xml:space="preserve"> lung</w:t>
            </w:r>
            <w:r w:rsidR="00AF7C75" w:rsidRPr="00AF7C75">
              <w:rPr>
                <w:rFonts w:cs="Arial"/>
              </w:rPr>
              <w:t xml:space="preserve"> neoplasms and </w:t>
            </w:r>
            <w:r w:rsidR="00AF7C75">
              <w:rPr>
                <w:rFonts w:cs="Arial"/>
              </w:rPr>
              <w:t>liver</w:t>
            </w:r>
            <w:r w:rsidR="00AF7C75" w:rsidRPr="00AF7C75">
              <w:rPr>
                <w:rFonts w:cs="Arial"/>
              </w:rPr>
              <w:t xml:space="preserve"> neoplasms</w:t>
            </w:r>
            <w:r w:rsidR="00AF7C75">
              <w:rPr>
                <w:rFonts w:cs="Arial"/>
              </w:rPr>
              <w:t xml:space="preserve"> at </w:t>
            </w:r>
            <w:r w:rsidR="00AF7C75" w:rsidRPr="00AF7C75">
              <w:rPr>
                <w:rFonts w:cs="Arial"/>
              </w:rPr>
              <w:t>0.03</w:t>
            </w:r>
            <w:r>
              <w:rPr>
                <w:rFonts w:cs="Arial"/>
              </w:rPr>
              <w:t>–</w:t>
            </w:r>
            <w:r w:rsidR="00AF7C75" w:rsidRPr="00AF7C75">
              <w:rPr>
                <w:rFonts w:cs="Arial"/>
              </w:rPr>
              <w:t>0.3</w:t>
            </w:r>
            <w:r w:rsidR="00AF7C75">
              <w:rPr>
                <w:rFonts w:cs="Arial"/>
              </w:rPr>
              <w:t> </w:t>
            </w:r>
            <w:r w:rsidR="00AF7C75" w:rsidRPr="00AF7C75">
              <w:rPr>
                <w:rFonts w:cs="Arial"/>
              </w:rPr>
              <w:t>mg/</w:t>
            </w:r>
            <w:proofErr w:type="spellStart"/>
            <w:r w:rsidR="00AF7C75" w:rsidRPr="00AF7C75">
              <w:rPr>
                <w:rFonts w:cs="Arial"/>
              </w:rPr>
              <w:t>m</w:t>
            </w:r>
            <w:r w:rsidR="00AF7C75" w:rsidRPr="00AF7C75">
              <w:rPr>
                <w:rFonts w:cs="Arial"/>
                <w:vertAlign w:val="superscript"/>
              </w:rPr>
              <w:t>3</w:t>
            </w:r>
            <w:proofErr w:type="spellEnd"/>
            <w:r w:rsidR="00AF7C75">
              <w:rPr>
                <w:rFonts w:cs="Arial"/>
              </w:rPr>
              <w:t xml:space="preserve"> (</w:t>
            </w:r>
            <w:r w:rsidR="00AF7C75" w:rsidRPr="00AF7C75">
              <w:rPr>
                <w:rFonts w:cs="Arial"/>
              </w:rPr>
              <w:t>rats</w:t>
            </w:r>
            <w:r w:rsidR="00AF7C75">
              <w:rPr>
                <w:rFonts w:cs="Arial"/>
              </w:rPr>
              <w:t xml:space="preserve">, mice, 22 </w:t>
            </w:r>
            <w:proofErr w:type="spellStart"/>
            <w:r w:rsidR="00AF7C75">
              <w:rPr>
                <w:rFonts w:cs="Arial"/>
              </w:rPr>
              <w:t>wk</w:t>
            </w:r>
            <w:proofErr w:type="spellEnd"/>
            <w:r w:rsidR="00AF7C75">
              <w:rPr>
                <w:rFonts w:cs="Arial"/>
              </w:rPr>
              <w:t>–2</w:t>
            </w:r>
            <w:r w:rsidR="00057227">
              <w:rPr>
                <w:rFonts w:cs="Arial"/>
              </w:rPr>
              <w:t xml:space="preserve"> </w:t>
            </w:r>
            <w:r w:rsidR="00AF7C75">
              <w:rPr>
                <w:rFonts w:cs="Arial"/>
              </w:rPr>
              <w:t xml:space="preserve">yr, also cited by </w:t>
            </w:r>
            <w:proofErr w:type="spellStart"/>
            <w:r w:rsidR="00AF7C75">
              <w:rPr>
                <w:rFonts w:cs="Arial"/>
              </w:rPr>
              <w:t>DFG</w:t>
            </w:r>
            <w:proofErr w:type="spellEnd"/>
            <w:r w:rsidR="00AF7C75">
              <w:rPr>
                <w:rFonts w:cs="Arial"/>
              </w:rPr>
              <w:t>,</w:t>
            </w:r>
            <w:r w:rsidR="00C7667C">
              <w:rPr>
                <w:rFonts w:cs="Arial"/>
              </w:rPr>
              <w:t> </w:t>
            </w:r>
            <w:r w:rsidR="00AF7C75">
              <w:rPr>
                <w:rFonts w:cs="Arial"/>
              </w:rPr>
              <w:t>2004)</w:t>
            </w:r>
            <w:r w:rsidR="00856080">
              <w:rPr>
                <w:rFonts w:cs="Arial"/>
              </w:rPr>
              <w:t>.</w:t>
            </w:r>
          </w:p>
          <w:p w14:paraId="512C22A0" w14:textId="77777777" w:rsidR="004A4E9A" w:rsidRPr="004A4E9A" w:rsidRDefault="004A4E9A" w:rsidP="004A4E9A">
            <w:pPr>
              <w:pStyle w:val="Tablefont"/>
              <w:rPr>
                <w:i/>
              </w:rPr>
            </w:pPr>
            <w:r w:rsidRPr="004A4E9A">
              <w:rPr>
                <w:i/>
              </w:rPr>
              <w:t>Indium trichloride:</w:t>
            </w:r>
          </w:p>
          <w:p w14:paraId="25392367" w14:textId="77777777" w:rsidR="004A4E9A" w:rsidRPr="004C23F4" w:rsidRDefault="004A4E9A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Retained in lungs for up to 56 d after intratracheal instillation despite solubility of the compound</w:t>
            </w:r>
            <w:r w:rsidR="00057227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7F156E9F" w14:textId="77777777" w:rsidTr="00511B7E">
        <w:trPr>
          <w:cantSplit/>
        </w:trPr>
        <w:tc>
          <w:tcPr>
            <w:tcW w:w="1479" w:type="dxa"/>
          </w:tcPr>
          <w:p w14:paraId="2829AC3A" w14:textId="77777777" w:rsidR="004966BF" w:rsidRPr="004C23F4" w:rsidRDefault="004966BF" w:rsidP="00224EE2">
            <w:pPr>
              <w:pStyle w:val="Tablefont"/>
            </w:pPr>
            <w:proofErr w:type="spellStart"/>
            <w:r>
              <w:t>NTP</w:t>
            </w:r>
            <w:proofErr w:type="spellEnd"/>
          </w:p>
        </w:tc>
        <w:tc>
          <w:tcPr>
            <w:tcW w:w="421" w:type="dxa"/>
          </w:tcPr>
          <w:p w14:paraId="61C0ECD5" w14:textId="77777777" w:rsidR="004966BF" w:rsidRPr="00CE617F" w:rsidRDefault="00FB2F8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1EA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414A9752" w14:textId="77777777" w:rsidR="004966BF" w:rsidRPr="004C23F4" w:rsidRDefault="001A39F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2001, 2018</w:t>
            </w:r>
          </w:p>
        </w:tc>
        <w:tc>
          <w:tcPr>
            <w:tcW w:w="6409" w:type="dxa"/>
          </w:tcPr>
          <w:p w14:paraId="659C0CDD" w14:textId="77777777" w:rsidR="00F36573" w:rsidRPr="00F36573" w:rsidRDefault="00F36573" w:rsidP="00F36573">
            <w:pPr>
              <w:pStyle w:val="Tablefont"/>
              <w:rPr>
                <w:rFonts w:cs="Arial"/>
                <w:i/>
              </w:rPr>
            </w:pPr>
            <w:r w:rsidRPr="00F36573">
              <w:rPr>
                <w:rFonts w:cs="Arial"/>
                <w:i/>
              </w:rPr>
              <w:t xml:space="preserve">Insoluble </w:t>
            </w:r>
            <w:r>
              <w:rPr>
                <w:rFonts w:cs="Arial"/>
                <w:i/>
              </w:rPr>
              <w:t>compounds</w:t>
            </w:r>
            <w:r w:rsidRPr="00F36573">
              <w:rPr>
                <w:rFonts w:cs="Arial"/>
                <w:i/>
              </w:rPr>
              <w:t>:</w:t>
            </w:r>
          </w:p>
          <w:p w14:paraId="2EA65F97" w14:textId="77777777" w:rsidR="001A39F6" w:rsidRDefault="001A39F6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 w:rsidRPr="005A0C7B">
              <w:rPr>
                <w:rFonts w:cs="Arial"/>
              </w:rPr>
              <w:t xml:space="preserve">Indium compounds not absorbed </w:t>
            </w:r>
            <w:r>
              <w:rPr>
                <w:rFonts w:cs="Arial"/>
              </w:rPr>
              <w:t>well by</w:t>
            </w:r>
            <w:r w:rsidRPr="005A0C7B">
              <w:rPr>
                <w:rFonts w:cs="Arial"/>
              </w:rPr>
              <w:t xml:space="preserve"> </w:t>
            </w:r>
            <w:r w:rsidR="0066552C">
              <w:rPr>
                <w:rFonts w:cs="Arial"/>
              </w:rPr>
              <w:t>GIT</w:t>
            </w:r>
            <w:r w:rsidRPr="005A0C7B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&lt;2%)</w:t>
            </w:r>
          </w:p>
          <w:p w14:paraId="3FADED83" w14:textId="77777777" w:rsidR="001A39F6" w:rsidRDefault="001A39F6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A</w:t>
            </w:r>
            <w:r w:rsidRPr="005A0C7B">
              <w:rPr>
                <w:rFonts w:cs="Arial"/>
              </w:rPr>
              <w:t>ccumulation in major</w:t>
            </w:r>
            <w:r>
              <w:rPr>
                <w:rFonts w:cs="Arial"/>
              </w:rPr>
              <w:t xml:space="preserve"> airways with little absorption following intratracheal injection (rodents)</w:t>
            </w:r>
            <w:r w:rsidR="00856080">
              <w:rPr>
                <w:rFonts w:cs="Arial"/>
              </w:rPr>
              <w:t>.</w:t>
            </w:r>
          </w:p>
          <w:p w14:paraId="0E7D8346" w14:textId="77777777" w:rsidR="005A0C7B" w:rsidRPr="001A39F6" w:rsidRDefault="005A0C7B" w:rsidP="00717D45">
            <w:pPr>
              <w:pStyle w:val="Tablefont"/>
              <w:rPr>
                <w:rStyle w:val="checkbox"/>
                <w:rFonts w:ascii="Arial" w:hAnsi="Arial" w:cs="Arial"/>
                <w:i/>
              </w:rPr>
            </w:pPr>
            <w:r w:rsidRPr="001A39F6">
              <w:rPr>
                <w:rStyle w:val="checkbox"/>
                <w:rFonts w:ascii="Arial" w:hAnsi="Arial" w:cs="Arial"/>
                <w:i/>
              </w:rPr>
              <w:t>Indium phosphide:</w:t>
            </w:r>
          </w:p>
          <w:p w14:paraId="0021CF41" w14:textId="77777777" w:rsidR="0066552C" w:rsidRPr="00635E13" w:rsidRDefault="005A0C7B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val="it-IT"/>
              </w:rPr>
            </w:pPr>
            <w:r w:rsidRPr="00635E13">
              <w:rPr>
                <w:rStyle w:val="checkbox"/>
                <w:rFonts w:ascii="Arial" w:hAnsi="Arial" w:cs="Arial"/>
                <w:lang w:val="it-IT"/>
              </w:rPr>
              <w:t xml:space="preserve">Negative </w:t>
            </w:r>
            <w:r w:rsidRPr="00624446">
              <w:rPr>
                <w:rStyle w:val="checkbox"/>
                <w:rFonts w:ascii="Arial" w:hAnsi="Arial" w:cs="Arial"/>
                <w:lang w:val="it-IT"/>
              </w:rPr>
              <w:t>micronucleus results</w:t>
            </w:r>
            <w:r w:rsidRPr="00635E13">
              <w:rPr>
                <w:rStyle w:val="checkbox"/>
                <w:rFonts w:ascii="Arial" w:hAnsi="Arial" w:cs="Arial"/>
                <w:lang w:val="it-IT"/>
              </w:rPr>
              <w:t xml:space="preserve"> </w:t>
            </w:r>
            <w:r w:rsidRPr="00635E13">
              <w:rPr>
                <w:rStyle w:val="checkbox"/>
                <w:rFonts w:ascii="Arial" w:hAnsi="Arial" w:cs="Arial"/>
                <w:i/>
                <w:lang w:val="it-IT"/>
              </w:rPr>
              <w:t>in vivo</w:t>
            </w:r>
            <w:r w:rsidRPr="00635E13">
              <w:rPr>
                <w:rStyle w:val="checkbox"/>
                <w:rFonts w:ascii="Arial" w:hAnsi="Arial" w:cs="Arial"/>
                <w:lang w:val="it-IT"/>
              </w:rPr>
              <w:t xml:space="preserve"> (mice)</w:t>
            </w:r>
          </w:p>
          <w:p w14:paraId="2C189448" w14:textId="1142CA76" w:rsidR="004966BF" w:rsidRDefault="0066552C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5A0C7B">
              <w:rPr>
                <w:rStyle w:val="checkbox"/>
                <w:rFonts w:ascii="Arial" w:hAnsi="Arial" w:cs="Arial"/>
              </w:rPr>
              <w:t>lear evidence for carcinogenicity in mice and rats in 2</w:t>
            </w:r>
            <w:r w:rsidR="00057227">
              <w:rPr>
                <w:rStyle w:val="checkbox"/>
                <w:rFonts w:ascii="Arial" w:hAnsi="Arial" w:cs="Arial"/>
              </w:rPr>
              <w:t xml:space="preserve"> </w:t>
            </w:r>
            <w:r w:rsidR="005A0C7B">
              <w:rPr>
                <w:rStyle w:val="checkbox"/>
                <w:rFonts w:ascii="Arial" w:hAnsi="Arial" w:cs="Arial"/>
              </w:rPr>
              <w:t>yr inhalation study (0.03–0.3 mg/</w:t>
            </w:r>
            <w:proofErr w:type="spellStart"/>
            <w:r w:rsidR="005A0C7B">
              <w:rPr>
                <w:rStyle w:val="checkbox"/>
                <w:rFonts w:ascii="Arial" w:hAnsi="Arial" w:cs="Arial"/>
              </w:rPr>
              <w:t>m</w:t>
            </w:r>
            <w:r w:rsidR="005A0C7B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3C414F">
              <w:rPr>
                <w:rStyle w:val="checkbox"/>
                <w:rFonts w:ascii="Arial" w:hAnsi="Arial" w:cs="Arial"/>
              </w:rPr>
              <w:t xml:space="preserve"> also cited in </w:t>
            </w:r>
            <w:proofErr w:type="spellStart"/>
            <w:r w:rsidR="003C414F">
              <w:rPr>
                <w:rStyle w:val="checkbox"/>
                <w:rFonts w:ascii="Arial" w:hAnsi="Arial" w:cs="Arial"/>
              </w:rPr>
              <w:t>DFG</w:t>
            </w:r>
            <w:proofErr w:type="spellEnd"/>
            <w:r w:rsidR="003C414F">
              <w:rPr>
                <w:rStyle w:val="checkbox"/>
                <w:rFonts w:ascii="Arial" w:hAnsi="Arial" w:cs="Arial"/>
              </w:rPr>
              <w:t>, 2004</w:t>
            </w:r>
            <w:r w:rsidR="00856080">
              <w:rPr>
                <w:rStyle w:val="checkbox"/>
                <w:rFonts w:ascii="Arial" w:hAnsi="Arial" w:cs="Arial"/>
              </w:rPr>
              <w:t>).</w:t>
            </w:r>
          </w:p>
          <w:p w14:paraId="45FD5351" w14:textId="77777777" w:rsidR="005A0C7B" w:rsidRPr="001A39F6" w:rsidRDefault="005A0C7B" w:rsidP="00717D45">
            <w:pPr>
              <w:pStyle w:val="Tablefont"/>
              <w:rPr>
                <w:rStyle w:val="checkbox"/>
                <w:rFonts w:ascii="Arial" w:hAnsi="Arial" w:cs="Arial"/>
                <w:i/>
              </w:rPr>
            </w:pPr>
            <w:r w:rsidRPr="001A39F6">
              <w:rPr>
                <w:rStyle w:val="checkbox"/>
                <w:rFonts w:ascii="Arial" w:hAnsi="Arial" w:cs="Arial"/>
                <w:i/>
              </w:rPr>
              <w:t>Indium trichloride:</w:t>
            </w:r>
          </w:p>
          <w:p w14:paraId="22722564" w14:textId="77777777" w:rsidR="005A0C7B" w:rsidRDefault="005A0C7B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Negative results in bacterial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  <w:r>
              <w:rPr>
                <w:rStyle w:val="checkbox"/>
                <w:rFonts w:ascii="Arial" w:hAnsi="Arial" w:cs="Arial"/>
              </w:rPr>
              <w:t xml:space="preserve"> assay</w:t>
            </w:r>
          </w:p>
          <w:p w14:paraId="10113470" w14:textId="77777777" w:rsidR="005A0C7B" w:rsidRPr="005A0C7B" w:rsidRDefault="005A0C7B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Positive results for micronucle</w:t>
            </w:r>
            <w:r w:rsidR="001A39F6">
              <w:rPr>
                <w:rStyle w:val="checkbox"/>
                <w:rFonts w:ascii="Arial" w:hAnsi="Arial" w:cs="Arial"/>
              </w:rPr>
              <w:t>us assay</w:t>
            </w:r>
            <w:r>
              <w:rPr>
                <w:rStyle w:val="checkbox"/>
                <w:rFonts w:ascii="Arial" w:hAnsi="Arial" w:cs="Arial"/>
              </w:rPr>
              <w:t xml:space="preserve"> in human </w:t>
            </w:r>
            <w:proofErr w:type="spellStart"/>
            <w:r>
              <w:rPr>
                <w:rStyle w:val="checkbox"/>
                <w:rFonts w:ascii="Arial" w:hAnsi="Arial" w:cs="Arial"/>
              </w:rPr>
              <w:t>TK6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Cells </w:t>
            </w:r>
            <w:r w:rsidR="001A39F6">
              <w:rPr>
                <w:rStyle w:val="checkbox"/>
                <w:rFonts w:ascii="Arial" w:hAnsi="Arial" w:cs="Arial"/>
                <w:i/>
              </w:rPr>
              <w:t>in </w:t>
            </w:r>
            <w:r>
              <w:rPr>
                <w:rStyle w:val="checkbox"/>
                <w:rFonts w:ascii="Arial" w:hAnsi="Arial" w:cs="Arial"/>
                <w:i/>
              </w:rPr>
              <w:t>vitro</w:t>
            </w:r>
            <w:r w:rsidR="00057227">
              <w:rPr>
                <w:rStyle w:val="checkbox"/>
                <w:rFonts w:ascii="Arial" w:hAnsi="Arial" w:cs="Arial"/>
                <w:i/>
              </w:rPr>
              <w:t>.</w:t>
            </w:r>
          </w:p>
        </w:tc>
      </w:tr>
      <w:tr w:rsidR="004966BF" w:rsidRPr="004C23F4" w14:paraId="7115501A" w14:textId="77777777" w:rsidTr="0066552C">
        <w:tc>
          <w:tcPr>
            <w:tcW w:w="1479" w:type="dxa"/>
          </w:tcPr>
          <w:p w14:paraId="7441C3F8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1" w:type="dxa"/>
          </w:tcPr>
          <w:p w14:paraId="1A07E4D3" w14:textId="77777777" w:rsidR="004966BF" w:rsidRPr="00CE617F" w:rsidRDefault="00FB2F8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9155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3BE24380" w14:textId="77777777" w:rsidR="004966BF" w:rsidRPr="004C23F4" w:rsidRDefault="00632E2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09" w:type="dxa"/>
          </w:tcPr>
          <w:p w14:paraId="72445EF6" w14:textId="77777777" w:rsidR="00B31EA3" w:rsidRPr="00B31EA3" w:rsidRDefault="00B31EA3" w:rsidP="00B31EA3">
            <w:pPr>
              <w:pStyle w:val="Tablefont"/>
              <w:rPr>
                <w:rStyle w:val="checkbox"/>
                <w:rFonts w:ascii="Arial" w:hAnsi="Arial" w:cs="Arial"/>
                <w:i/>
              </w:rPr>
            </w:pPr>
            <w:r w:rsidRPr="00B31EA3">
              <w:rPr>
                <w:rStyle w:val="checkbox"/>
                <w:rFonts w:ascii="Arial" w:hAnsi="Arial" w:cs="Arial"/>
                <w:i/>
              </w:rPr>
              <w:t>Indium (elemental):</w:t>
            </w:r>
          </w:p>
          <w:p w14:paraId="43FBFEED" w14:textId="77777777" w:rsidR="00BA7EC3" w:rsidRPr="00BA7EC3" w:rsidRDefault="00B31EA3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P</w:t>
            </w:r>
            <w:r w:rsidR="00BA7EC3" w:rsidRPr="00BA7EC3">
              <w:rPr>
                <w:rStyle w:val="checkbox"/>
                <w:rFonts w:ascii="Arial" w:hAnsi="Arial" w:cs="Arial"/>
              </w:rPr>
              <w:t xml:space="preserve">article size distribution </w:t>
            </w:r>
            <w:r w:rsidR="0019155A">
              <w:rPr>
                <w:rStyle w:val="checkbox"/>
                <w:rFonts w:ascii="Arial" w:hAnsi="Arial" w:cs="Arial"/>
              </w:rPr>
              <w:t>≈</w:t>
            </w:r>
            <w:r w:rsidR="00BA7EC3" w:rsidRPr="00BA7EC3">
              <w:rPr>
                <w:rStyle w:val="checkbox"/>
                <w:rFonts w:ascii="Arial" w:hAnsi="Arial" w:cs="Arial"/>
              </w:rPr>
              <w:t>4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BA7EC3" w:rsidRPr="00BA7EC3">
              <w:rPr>
                <w:rStyle w:val="checkbox"/>
                <w:rFonts w:ascii="Arial" w:hAnsi="Arial" w:cs="Arial"/>
              </w:rPr>
              <w:t>µm needed</w:t>
            </w:r>
            <w:r>
              <w:rPr>
                <w:rStyle w:val="checkbox"/>
                <w:rFonts w:ascii="Arial" w:hAnsi="Arial" w:cs="Arial"/>
              </w:rPr>
              <w:t xml:space="preserve"> f</w:t>
            </w:r>
            <w:r w:rsidRPr="00BA7EC3">
              <w:rPr>
                <w:rStyle w:val="checkbox"/>
                <w:rFonts w:ascii="Arial" w:hAnsi="Arial" w:cs="Arial"/>
              </w:rPr>
              <w:t xml:space="preserve">or acute </w:t>
            </w:r>
            <w:r w:rsidR="0019155A">
              <w:rPr>
                <w:rStyle w:val="checkbox"/>
                <w:rFonts w:ascii="Arial" w:hAnsi="Arial" w:cs="Arial"/>
              </w:rPr>
              <w:t xml:space="preserve">inhalation tests; </w:t>
            </w:r>
            <w:r w:rsidR="00BA7EC3" w:rsidRPr="00BA7EC3">
              <w:rPr>
                <w:rStyle w:val="checkbox"/>
                <w:rFonts w:ascii="Arial" w:hAnsi="Arial" w:cs="Arial"/>
              </w:rPr>
              <w:t>is not technically feasible</w:t>
            </w:r>
            <w:r>
              <w:rPr>
                <w:rStyle w:val="checkbox"/>
                <w:rFonts w:ascii="Arial" w:hAnsi="Arial" w:cs="Arial"/>
              </w:rPr>
              <w:t xml:space="preserve"> due to softness of metal</w:t>
            </w:r>
          </w:p>
          <w:p w14:paraId="356F91CE" w14:textId="77777777" w:rsidR="00BA7EC3" w:rsidRPr="00BA7EC3" w:rsidRDefault="0019155A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</w:t>
            </w:r>
            <w:r w:rsidR="00BA7EC3" w:rsidRPr="00BA7EC3">
              <w:rPr>
                <w:rStyle w:val="checkbox"/>
                <w:rFonts w:ascii="Arial" w:hAnsi="Arial" w:cs="Arial"/>
              </w:rPr>
              <w:t xml:space="preserve"> powder is not marketed for industrial scale</w:t>
            </w:r>
            <w:r w:rsidR="00B31EA3">
              <w:rPr>
                <w:rStyle w:val="checkbox"/>
                <w:rFonts w:ascii="Arial" w:hAnsi="Arial" w:cs="Arial"/>
              </w:rPr>
              <w:t xml:space="preserve"> </w:t>
            </w:r>
            <w:r w:rsidR="00B31EA3" w:rsidRPr="00BA7EC3">
              <w:rPr>
                <w:rStyle w:val="checkbox"/>
                <w:rFonts w:ascii="Arial" w:hAnsi="Arial" w:cs="Arial"/>
              </w:rPr>
              <w:t>≤20</w:t>
            </w:r>
            <w:r w:rsidR="00B31EA3">
              <w:rPr>
                <w:rStyle w:val="checkbox"/>
                <w:rFonts w:ascii="Arial" w:hAnsi="Arial" w:cs="Arial"/>
              </w:rPr>
              <w:t xml:space="preserve"> </w:t>
            </w:r>
            <w:r w:rsidR="00B31EA3" w:rsidRPr="00BA7EC3">
              <w:rPr>
                <w:rStyle w:val="checkbox"/>
                <w:rFonts w:ascii="Arial" w:hAnsi="Arial" w:cs="Arial"/>
              </w:rPr>
              <w:t>µm</w:t>
            </w:r>
            <w:r>
              <w:rPr>
                <w:rStyle w:val="checkbox"/>
                <w:rFonts w:ascii="Arial" w:hAnsi="Arial" w:cs="Arial"/>
              </w:rPr>
              <w:t xml:space="preserve"> and cannot form appreciable amount of dust</w:t>
            </w:r>
          </w:p>
          <w:p w14:paraId="14395F29" w14:textId="77777777" w:rsidR="00BA7EC3" w:rsidRDefault="00B31EA3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of </w:t>
            </w:r>
            <w:proofErr w:type="gramStart"/>
            <w:r>
              <w:rPr>
                <w:rStyle w:val="checkbox"/>
                <w:rFonts w:ascii="Arial" w:hAnsi="Arial" w:cs="Arial"/>
              </w:rPr>
              <w:t>In</w:t>
            </w:r>
            <w:proofErr w:type="gramEnd"/>
            <w:r>
              <w:rPr>
                <w:rStyle w:val="checkbox"/>
                <w:rFonts w:ascii="Arial" w:hAnsi="Arial" w:cs="Arial"/>
              </w:rPr>
              <w:t xml:space="preserve"> metal not considered likely under workplace conditions</w:t>
            </w:r>
          </w:p>
          <w:p w14:paraId="78045AC5" w14:textId="77777777" w:rsidR="00B22F28" w:rsidRDefault="00B22F28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Dermal exposure not considered relevant to the workplace</w:t>
            </w:r>
            <w:r w:rsidR="00856080">
              <w:rPr>
                <w:rStyle w:val="checkbox"/>
                <w:rFonts w:ascii="Arial" w:hAnsi="Arial" w:cs="Arial"/>
              </w:rPr>
              <w:t>.</w:t>
            </w:r>
          </w:p>
          <w:p w14:paraId="5A1B1E38" w14:textId="77777777" w:rsidR="00B31EA3" w:rsidRPr="00EB0084" w:rsidRDefault="00B31EA3" w:rsidP="00B31EA3">
            <w:pPr>
              <w:pStyle w:val="Tablefont"/>
              <w:rPr>
                <w:rStyle w:val="checkbox"/>
                <w:rFonts w:ascii="Arial" w:hAnsi="Arial" w:cs="Arial"/>
                <w:i/>
              </w:rPr>
            </w:pPr>
            <w:r w:rsidRPr="00EB0084">
              <w:rPr>
                <w:rStyle w:val="checkbox"/>
                <w:rFonts w:ascii="Arial" w:hAnsi="Arial" w:cs="Arial"/>
                <w:i/>
              </w:rPr>
              <w:t xml:space="preserve">Soluble indium </w:t>
            </w:r>
            <w:r w:rsidR="00F36573">
              <w:rPr>
                <w:rStyle w:val="checkbox"/>
                <w:rFonts w:ascii="Arial" w:hAnsi="Arial" w:cs="Arial"/>
                <w:i/>
              </w:rPr>
              <w:t>compounds</w:t>
            </w:r>
            <w:r w:rsidRPr="00EB0084">
              <w:rPr>
                <w:rStyle w:val="checkbox"/>
                <w:rFonts w:ascii="Arial" w:hAnsi="Arial" w:cs="Arial"/>
                <w:i/>
              </w:rPr>
              <w:t>:</w:t>
            </w:r>
          </w:p>
          <w:p w14:paraId="5D631E7D" w14:textId="77777777" w:rsidR="00B31EA3" w:rsidRDefault="00B31EA3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B31EA3">
              <w:rPr>
                <w:rStyle w:val="checkbox"/>
                <w:rFonts w:ascii="Arial" w:hAnsi="Arial" w:cs="Arial"/>
              </w:rPr>
              <w:t xml:space="preserve">etained in the lung and rapidly absorbed </w:t>
            </w:r>
            <w:r w:rsidR="0019155A">
              <w:rPr>
                <w:rStyle w:val="checkbox"/>
                <w:rFonts w:ascii="Arial" w:hAnsi="Arial" w:cs="Arial"/>
              </w:rPr>
              <w:t>f</w:t>
            </w:r>
            <w:r w:rsidR="00BA7EC3" w:rsidRPr="00B31EA3">
              <w:rPr>
                <w:rStyle w:val="checkbox"/>
                <w:rFonts w:ascii="Arial" w:hAnsi="Arial" w:cs="Arial"/>
              </w:rPr>
              <w:t>ollowing inhalation or intra</w:t>
            </w:r>
            <w:r w:rsidRPr="00B31EA3">
              <w:rPr>
                <w:rStyle w:val="checkbox"/>
                <w:rFonts w:ascii="Arial" w:hAnsi="Arial" w:cs="Arial"/>
              </w:rPr>
              <w:t>tra</w:t>
            </w:r>
            <w:r>
              <w:rPr>
                <w:rStyle w:val="checkbox"/>
                <w:rFonts w:ascii="Arial" w:hAnsi="Arial" w:cs="Arial"/>
              </w:rPr>
              <w:t>cheal instillation; half-li</w:t>
            </w:r>
            <w:r w:rsidR="003D369D">
              <w:rPr>
                <w:rStyle w:val="checkbox"/>
                <w:rFonts w:ascii="Arial" w:hAnsi="Arial" w:cs="Arial"/>
              </w:rPr>
              <w:t>f</w:t>
            </w:r>
            <w:r>
              <w:rPr>
                <w:rStyle w:val="checkbox"/>
                <w:rFonts w:ascii="Arial" w:hAnsi="Arial" w:cs="Arial"/>
              </w:rPr>
              <w:t>e ≈1 h</w:t>
            </w:r>
            <w:r w:rsidR="00856080">
              <w:rPr>
                <w:rStyle w:val="checkbox"/>
                <w:rFonts w:ascii="Arial" w:hAnsi="Arial" w:cs="Arial"/>
              </w:rPr>
              <w:t>.</w:t>
            </w:r>
          </w:p>
          <w:p w14:paraId="3E957A93" w14:textId="77777777" w:rsidR="00B31EA3" w:rsidRPr="00EB0084" w:rsidRDefault="0019155A" w:rsidP="00B31EA3">
            <w:pPr>
              <w:pStyle w:val="Tablefont"/>
              <w:rPr>
                <w:rStyle w:val="checkbox"/>
                <w:rFonts w:ascii="Arial" w:hAnsi="Arial" w:cs="Arial"/>
                <w:i/>
              </w:rPr>
            </w:pPr>
            <w:r w:rsidRPr="00EB0084">
              <w:rPr>
                <w:rStyle w:val="checkbox"/>
                <w:rFonts w:ascii="Arial" w:hAnsi="Arial" w:cs="Arial"/>
                <w:i/>
              </w:rPr>
              <w:t xml:space="preserve">Insoluble indium </w:t>
            </w:r>
            <w:r w:rsidR="00F36573">
              <w:rPr>
                <w:rStyle w:val="checkbox"/>
                <w:rFonts w:ascii="Arial" w:hAnsi="Arial" w:cs="Arial"/>
                <w:i/>
              </w:rPr>
              <w:t>compounds</w:t>
            </w:r>
            <w:r w:rsidRPr="00EB0084">
              <w:rPr>
                <w:rStyle w:val="checkbox"/>
                <w:rFonts w:ascii="Arial" w:hAnsi="Arial" w:cs="Arial"/>
                <w:i/>
              </w:rPr>
              <w:t>:</w:t>
            </w:r>
          </w:p>
          <w:p w14:paraId="078C3917" w14:textId="0EB2974D" w:rsidR="003579D1" w:rsidRDefault="003579D1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>Alveolar proteinosis and hyperplasia, and lung inflammation in sub</w:t>
            </w:r>
            <w:r w:rsidR="00B43F7E">
              <w:rPr>
                <w:rFonts w:cs="Arial"/>
              </w:rPr>
              <w:t>-</w:t>
            </w:r>
            <w:r>
              <w:rPr>
                <w:rFonts w:cs="Arial"/>
              </w:rPr>
              <w:t>chronic inhalation study at 0.1–1 mg/</w:t>
            </w:r>
            <w:proofErr w:type="spellStart"/>
            <w:r w:rsidRPr="003579D1">
              <w:rPr>
                <w:rFonts w:cs="Arial"/>
              </w:rPr>
              <w:t>m</w:t>
            </w:r>
            <w:r w:rsidRPr="003579D1">
              <w:rPr>
                <w:rFonts w:cs="Arial"/>
                <w:vertAlign w:val="superscript"/>
              </w:rPr>
              <w:t>3</w:t>
            </w:r>
            <w:proofErr w:type="spellEnd"/>
            <w:r>
              <w:rPr>
                <w:rFonts w:cs="Arial"/>
              </w:rPr>
              <w:t xml:space="preserve"> of </w:t>
            </w:r>
            <w:proofErr w:type="spellStart"/>
            <w:r w:rsidRPr="003579D1">
              <w:rPr>
                <w:rFonts w:cs="Arial"/>
              </w:rPr>
              <w:t>In</w:t>
            </w:r>
            <w:r w:rsidRPr="003579D1">
              <w:rPr>
                <w:rFonts w:cs="Arial"/>
                <w:vertAlign w:val="subscript"/>
              </w:rPr>
              <w:t>2</w:t>
            </w:r>
            <w:r w:rsidRPr="003579D1">
              <w:rPr>
                <w:rFonts w:cs="Arial"/>
              </w:rPr>
              <w:t>O</w:t>
            </w:r>
            <w:r w:rsidRPr="003579D1">
              <w:rPr>
                <w:rFonts w:cs="Arial"/>
                <w:vertAlign w:val="subscript"/>
              </w:rPr>
              <w:t>3</w:t>
            </w:r>
            <w:proofErr w:type="spellEnd"/>
            <w:r>
              <w:rPr>
                <w:rFonts w:cs="Arial"/>
              </w:rPr>
              <w:t xml:space="preserve"> (rats, </w:t>
            </w:r>
            <w:r w:rsidR="00057227">
              <w:rPr>
                <w:rFonts w:cs="Arial"/>
              </w:rPr>
              <w:t>6</w:t>
            </w:r>
            <w:r w:rsidR="00C7667C">
              <w:rPr>
                <w:rFonts w:cs="Arial"/>
              </w:rPr>
              <w:t> </w:t>
            </w:r>
            <w:r>
              <w:rPr>
                <w:rFonts w:cs="Arial"/>
              </w:rPr>
              <w:t>h/d, 5 d/</w:t>
            </w:r>
            <w:proofErr w:type="spellStart"/>
            <w:r>
              <w:rPr>
                <w:rFonts w:cs="Arial"/>
              </w:rPr>
              <w:t>wk</w:t>
            </w:r>
            <w:proofErr w:type="spellEnd"/>
            <w:r>
              <w:rPr>
                <w:rFonts w:cs="Arial"/>
              </w:rPr>
              <w:t xml:space="preserve">, 13 </w:t>
            </w:r>
            <w:proofErr w:type="spellStart"/>
            <w:r>
              <w:rPr>
                <w:rFonts w:cs="Arial"/>
              </w:rPr>
              <w:t>wk</w:t>
            </w:r>
            <w:proofErr w:type="spellEnd"/>
            <w:r>
              <w:rPr>
                <w:rFonts w:cs="Arial"/>
              </w:rPr>
              <w:t>)</w:t>
            </w:r>
            <w:r w:rsidR="00C7667C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2976D91C" w14:textId="77777777" w:rsidR="003579D1" w:rsidRDefault="008D36C7" w:rsidP="003635D3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dose</w:t>
            </w:r>
            <w:r w:rsidR="003579D1">
              <w:rPr>
                <w:rFonts w:cs="Arial"/>
              </w:rPr>
              <w:t>-related increase of indium in b</w:t>
            </w:r>
            <w:r w:rsidR="003579D1" w:rsidRPr="003579D1">
              <w:rPr>
                <w:rFonts w:cs="Arial"/>
              </w:rPr>
              <w:t>lood and lung</w:t>
            </w:r>
            <w:r w:rsidR="003579D1">
              <w:rPr>
                <w:rFonts w:cs="Arial"/>
              </w:rPr>
              <w:t>s</w:t>
            </w:r>
            <w:r w:rsidR="003579D1" w:rsidRPr="003579D1">
              <w:rPr>
                <w:rFonts w:cs="Arial"/>
              </w:rPr>
              <w:t xml:space="preserve"> </w:t>
            </w:r>
          </w:p>
          <w:p w14:paraId="4F73D206" w14:textId="77777777" w:rsidR="00F36573" w:rsidRDefault="008D36C7" w:rsidP="003635D3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p</w:t>
            </w:r>
            <w:r w:rsidRPr="003579D1">
              <w:rPr>
                <w:rFonts w:cs="Arial"/>
              </w:rPr>
              <w:t xml:space="preserve">articles </w:t>
            </w:r>
            <w:r w:rsidR="003579D1" w:rsidRPr="003579D1">
              <w:rPr>
                <w:rFonts w:cs="Arial"/>
              </w:rPr>
              <w:t xml:space="preserve">were deposited in the lung, </w:t>
            </w:r>
            <w:r w:rsidR="003579D1">
              <w:rPr>
                <w:rFonts w:cs="Arial"/>
              </w:rPr>
              <w:t xml:space="preserve">and regional </w:t>
            </w:r>
            <w:r w:rsidR="003579D1" w:rsidRPr="003579D1">
              <w:rPr>
                <w:rFonts w:cs="Arial"/>
              </w:rPr>
              <w:t>lymph node</w:t>
            </w:r>
            <w:r w:rsidR="003579D1">
              <w:rPr>
                <w:rFonts w:cs="Arial"/>
              </w:rPr>
              <w:t>s</w:t>
            </w:r>
          </w:p>
          <w:p w14:paraId="294D1BA1" w14:textId="77777777" w:rsidR="003579D1" w:rsidRDefault="008D36C7" w:rsidP="003635D3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 xml:space="preserve">study </w:t>
            </w:r>
            <w:r w:rsidR="003579D1">
              <w:rPr>
                <w:rFonts w:cs="Arial"/>
              </w:rPr>
              <w:t xml:space="preserve">used as basis for </w:t>
            </w:r>
            <w:proofErr w:type="spellStart"/>
            <w:r w:rsidR="0066552C">
              <w:rPr>
                <w:rFonts w:cs="Arial"/>
              </w:rPr>
              <w:t>DNEL</w:t>
            </w:r>
            <w:proofErr w:type="spellEnd"/>
            <w:r w:rsidR="003579D1">
              <w:rPr>
                <w:rFonts w:cs="Arial"/>
              </w:rPr>
              <w:t xml:space="preserve"> of 0.0063</w:t>
            </w:r>
            <w:r w:rsidR="00C7667C">
              <w:rPr>
                <w:rFonts w:cs="Arial"/>
              </w:rPr>
              <w:t> </w:t>
            </w:r>
            <w:r w:rsidR="003579D1">
              <w:rPr>
                <w:rFonts w:cs="Arial"/>
              </w:rPr>
              <w:t>mg/</w:t>
            </w:r>
            <w:proofErr w:type="spellStart"/>
            <w:r w:rsidR="003579D1">
              <w:rPr>
                <w:rFonts w:cs="Arial"/>
              </w:rPr>
              <w:t>m</w:t>
            </w:r>
            <w:r w:rsidR="003579D1">
              <w:rPr>
                <w:rFonts w:cs="Arial"/>
                <w:vertAlign w:val="superscript"/>
              </w:rPr>
              <w:t>3</w:t>
            </w:r>
            <w:proofErr w:type="spellEnd"/>
          </w:p>
          <w:p w14:paraId="0E29B51A" w14:textId="77777777" w:rsidR="004966BF" w:rsidRPr="003D369D" w:rsidRDefault="00BA7EC3" w:rsidP="003635D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B31EA3">
              <w:rPr>
                <w:rStyle w:val="checkbox"/>
                <w:rFonts w:ascii="Arial" w:hAnsi="Arial" w:cs="Arial"/>
              </w:rPr>
              <w:t>In</w:t>
            </w:r>
            <w:r w:rsidRPr="0019155A">
              <w:rPr>
                <w:rStyle w:val="checkbox"/>
                <w:rFonts w:ascii="Arial" w:hAnsi="Arial" w:cs="Arial"/>
                <w:vertAlign w:val="subscript"/>
              </w:rPr>
              <w:t>2</w:t>
            </w:r>
            <w:r w:rsidRPr="00B31EA3">
              <w:rPr>
                <w:rStyle w:val="checkbox"/>
                <w:rFonts w:ascii="Arial" w:hAnsi="Arial" w:cs="Arial"/>
              </w:rPr>
              <w:t>O</w:t>
            </w:r>
            <w:r w:rsidRPr="0019155A">
              <w:rPr>
                <w:rStyle w:val="checkbox"/>
                <w:rFonts w:ascii="Arial" w:hAnsi="Arial" w:cs="Arial"/>
                <w:vertAlign w:val="subscript"/>
              </w:rPr>
              <w:t>3</w:t>
            </w:r>
            <w:proofErr w:type="spellEnd"/>
            <w:r w:rsidR="0019155A">
              <w:rPr>
                <w:rStyle w:val="checkbox"/>
                <w:rFonts w:ascii="Arial" w:hAnsi="Arial" w:cs="Arial"/>
              </w:rPr>
              <w:t xml:space="preserve"> absorbed slowly; </w:t>
            </w:r>
            <w:r w:rsidR="003D369D">
              <w:rPr>
                <w:rStyle w:val="checkbox"/>
                <w:rFonts w:ascii="Arial" w:hAnsi="Arial" w:cs="Arial"/>
              </w:rPr>
              <w:t>half-lif</w:t>
            </w:r>
            <w:r w:rsidRPr="00B31EA3">
              <w:rPr>
                <w:rStyle w:val="checkbox"/>
                <w:rFonts w:ascii="Arial" w:hAnsi="Arial" w:cs="Arial"/>
              </w:rPr>
              <w:t xml:space="preserve">e </w:t>
            </w:r>
            <w:r w:rsidR="0019155A">
              <w:rPr>
                <w:rStyle w:val="checkbox"/>
                <w:rFonts w:ascii="Arial" w:hAnsi="Arial" w:cs="Arial"/>
              </w:rPr>
              <w:t>≈</w:t>
            </w:r>
            <w:r w:rsidRPr="00B31EA3">
              <w:rPr>
                <w:rStyle w:val="checkbox"/>
                <w:rFonts w:ascii="Arial" w:hAnsi="Arial" w:cs="Arial"/>
              </w:rPr>
              <w:t xml:space="preserve">2 </w:t>
            </w:r>
            <w:r w:rsidR="0019155A">
              <w:rPr>
                <w:rStyle w:val="checkbox"/>
                <w:rFonts w:ascii="Arial" w:hAnsi="Arial" w:cs="Arial"/>
              </w:rPr>
              <w:t>mo</w:t>
            </w:r>
            <w:r w:rsidR="0005722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9AEF55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768E0EB" w14:textId="77777777" w:rsidTr="0019155A">
        <w:trPr>
          <w:trHeight w:val="454"/>
          <w:tblHeader/>
        </w:trPr>
        <w:tc>
          <w:tcPr>
            <w:tcW w:w="6603" w:type="dxa"/>
            <w:vAlign w:val="center"/>
          </w:tcPr>
          <w:p w14:paraId="2807339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7523285" w14:textId="77777777" w:rsidR="002E0D61" w:rsidRDefault="0019155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8D127BE" w14:textId="77777777" w:rsidTr="0019155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D8997F3" w14:textId="77777777" w:rsidR="008A36CF" w:rsidRPr="006901A2" w:rsidRDefault="0019155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297136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AEE9A7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4310660" w14:textId="77777777" w:rsidTr="007333C2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5EA9678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23F68AA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C289DD5" w14:textId="77777777" w:rsidTr="007333C2">
        <w:trPr>
          <w:cantSplit/>
        </w:trPr>
        <w:tc>
          <w:tcPr>
            <w:tcW w:w="3153" w:type="dxa"/>
          </w:tcPr>
          <w:p w14:paraId="27CE5A1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32629CDD" w14:textId="77777777" w:rsidR="00687890" w:rsidRPr="00DD2F9B" w:rsidRDefault="007333C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EC481D4" w14:textId="77777777" w:rsidTr="007333C2">
        <w:trPr>
          <w:cantSplit/>
        </w:trPr>
        <w:tc>
          <w:tcPr>
            <w:tcW w:w="3153" w:type="dxa"/>
          </w:tcPr>
          <w:p w14:paraId="0D3BBC2A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5873" w:type="dxa"/>
          </w:tcPr>
          <w:p w14:paraId="47AE4B2F" w14:textId="77777777" w:rsidR="007925F0" w:rsidRDefault="008242D7" w:rsidP="00DD2F9B">
            <w:pPr>
              <w:pStyle w:val="Tablefont"/>
            </w:pPr>
            <w:r w:rsidRPr="008242D7">
              <w:rPr>
                <w:i/>
              </w:rPr>
              <w:t>Indium phosphide</w:t>
            </w:r>
            <w:r>
              <w:t>:</w:t>
            </w:r>
            <w:r w:rsidR="00BA7EC3">
              <w:t xml:space="preserve"> </w:t>
            </w:r>
            <w:r w:rsidR="007333C2">
              <w:t>Carcinogenicity – category</w:t>
            </w:r>
            <w:r w:rsidR="00BA7EC3">
              <w:t xml:space="preserve"> </w:t>
            </w:r>
            <w:proofErr w:type="spellStart"/>
            <w:r w:rsidR="00BA7EC3">
              <w:t>1B</w:t>
            </w:r>
            <w:proofErr w:type="spellEnd"/>
          </w:p>
          <w:p w14:paraId="04871F32" w14:textId="77777777" w:rsidR="00BA7EC3" w:rsidRPr="00DD2F9B" w:rsidRDefault="00BA7EC3" w:rsidP="00DD2F9B">
            <w:pPr>
              <w:pStyle w:val="Tablefont"/>
            </w:pPr>
            <w:r w:rsidRPr="008242D7">
              <w:rPr>
                <w:i/>
              </w:rPr>
              <w:t>All</w:t>
            </w:r>
            <w:r>
              <w:t xml:space="preserve"> </w:t>
            </w:r>
            <w:r w:rsidRPr="008242D7">
              <w:rPr>
                <w:i/>
              </w:rPr>
              <w:t>other</w:t>
            </w:r>
            <w:r>
              <w:t xml:space="preserve"> </w:t>
            </w:r>
            <w:r w:rsidRPr="008242D7">
              <w:rPr>
                <w:i/>
              </w:rPr>
              <w:t>compounds</w:t>
            </w:r>
            <w:r>
              <w:t>: NA</w:t>
            </w:r>
          </w:p>
        </w:tc>
      </w:tr>
      <w:tr w:rsidR="00AF483F" w:rsidRPr="004C23F4" w14:paraId="4EB99588" w14:textId="77777777" w:rsidTr="007333C2">
        <w:trPr>
          <w:cantSplit/>
        </w:trPr>
        <w:tc>
          <w:tcPr>
            <w:tcW w:w="3153" w:type="dxa"/>
          </w:tcPr>
          <w:p w14:paraId="63B5727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5873" w:type="dxa"/>
          </w:tcPr>
          <w:p w14:paraId="42F60265" w14:textId="77777777" w:rsidR="00AF483F" w:rsidRDefault="008242D7" w:rsidP="00DD2F9B">
            <w:pPr>
              <w:pStyle w:val="Tablefont"/>
            </w:pPr>
            <w:r w:rsidRPr="008242D7">
              <w:rPr>
                <w:i/>
              </w:rPr>
              <w:t>Indium phosphide</w:t>
            </w:r>
            <w:r w:rsidR="00BA7EC3">
              <w:t xml:space="preserve">: </w:t>
            </w:r>
            <w:proofErr w:type="spellStart"/>
            <w:r w:rsidR="00D63555">
              <w:t>Carc</w:t>
            </w:r>
            <w:proofErr w:type="spellEnd"/>
            <w:r w:rsidR="00BA7EC3">
              <w:t xml:space="preserve">. </w:t>
            </w:r>
            <w:proofErr w:type="spellStart"/>
            <w:r w:rsidR="00BA7EC3">
              <w:t>1B</w:t>
            </w:r>
            <w:proofErr w:type="spellEnd"/>
          </w:p>
          <w:p w14:paraId="72C6C67D" w14:textId="77777777" w:rsidR="00BA7EC3" w:rsidRPr="00DD2F9B" w:rsidRDefault="00BA7EC3" w:rsidP="00DD2F9B">
            <w:pPr>
              <w:pStyle w:val="Tablefont"/>
            </w:pPr>
            <w:r w:rsidRPr="008242D7">
              <w:rPr>
                <w:i/>
              </w:rPr>
              <w:t>All</w:t>
            </w:r>
            <w:r>
              <w:t xml:space="preserve"> </w:t>
            </w:r>
            <w:r w:rsidRPr="008242D7">
              <w:rPr>
                <w:i/>
              </w:rPr>
              <w:t>other</w:t>
            </w:r>
            <w:r>
              <w:t xml:space="preserve"> </w:t>
            </w:r>
            <w:r w:rsidRPr="008242D7">
              <w:rPr>
                <w:i/>
              </w:rPr>
              <w:t>compounds</w:t>
            </w:r>
            <w:r>
              <w:t>: NA</w:t>
            </w:r>
          </w:p>
        </w:tc>
      </w:tr>
      <w:tr w:rsidR="007333C2" w:rsidRPr="004C23F4" w14:paraId="6630CC2F" w14:textId="77777777" w:rsidTr="007333C2">
        <w:trPr>
          <w:cantSplit/>
        </w:trPr>
        <w:tc>
          <w:tcPr>
            <w:tcW w:w="3153" w:type="dxa"/>
          </w:tcPr>
          <w:p w14:paraId="40AA6071" w14:textId="77777777" w:rsidR="007333C2" w:rsidRPr="004C23F4" w:rsidRDefault="007333C2" w:rsidP="007333C2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6342A751" w14:textId="77777777" w:rsidR="007333C2" w:rsidRDefault="008242D7" w:rsidP="007333C2">
            <w:pPr>
              <w:pStyle w:val="Tablefont"/>
            </w:pPr>
            <w:r w:rsidRPr="008242D7">
              <w:rPr>
                <w:i/>
              </w:rPr>
              <w:t>Indium phosphide</w:t>
            </w:r>
            <w:r w:rsidR="00BA7EC3">
              <w:t xml:space="preserve">: </w:t>
            </w:r>
            <w:r w:rsidR="007333C2">
              <w:t xml:space="preserve">Carcinogenicity – category </w:t>
            </w:r>
            <w:proofErr w:type="spellStart"/>
            <w:r w:rsidR="007333C2">
              <w:t>1B</w:t>
            </w:r>
            <w:proofErr w:type="spellEnd"/>
          </w:p>
          <w:p w14:paraId="0F19A738" w14:textId="77777777" w:rsidR="00BA7EC3" w:rsidRPr="00DD2F9B" w:rsidRDefault="00BA7EC3" w:rsidP="007333C2">
            <w:pPr>
              <w:pStyle w:val="Tablefont"/>
            </w:pPr>
            <w:r w:rsidRPr="008242D7">
              <w:rPr>
                <w:i/>
              </w:rPr>
              <w:t>All</w:t>
            </w:r>
            <w:r>
              <w:t xml:space="preserve"> </w:t>
            </w:r>
            <w:r w:rsidRPr="008242D7">
              <w:rPr>
                <w:i/>
              </w:rPr>
              <w:t>other</w:t>
            </w:r>
            <w:r>
              <w:t xml:space="preserve"> </w:t>
            </w:r>
            <w:r w:rsidRPr="008242D7">
              <w:rPr>
                <w:i/>
              </w:rPr>
              <w:t>compounds</w:t>
            </w:r>
            <w:r>
              <w:t>: NA</w:t>
            </w:r>
          </w:p>
        </w:tc>
      </w:tr>
      <w:tr w:rsidR="007333C2" w:rsidRPr="004C23F4" w14:paraId="74AE4332" w14:textId="77777777" w:rsidTr="007333C2">
        <w:trPr>
          <w:cantSplit/>
        </w:trPr>
        <w:tc>
          <w:tcPr>
            <w:tcW w:w="3153" w:type="dxa"/>
          </w:tcPr>
          <w:p w14:paraId="791613CB" w14:textId="77777777" w:rsidR="007333C2" w:rsidRDefault="007333C2" w:rsidP="007333C2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5F024217" w14:textId="77777777" w:rsidR="007333C2" w:rsidRPr="00DD2F9B" w:rsidRDefault="008242D7" w:rsidP="007333C2">
            <w:pPr>
              <w:pStyle w:val="Tablefont"/>
            </w:pPr>
            <w:r w:rsidRPr="008242D7">
              <w:rPr>
                <w:i/>
              </w:rPr>
              <w:t>Indium</w:t>
            </w:r>
            <w:r w:rsidR="003C727A">
              <w:t>: —</w:t>
            </w:r>
          </w:p>
        </w:tc>
      </w:tr>
      <w:tr w:rsidR="007333C2" w:rsidRPr="004C23F4" w14:paraId="73BAE234" w14:textId="77777777" w:rsidTr="007333C2">
        <w:trPr>
          <w:cantSplit/>
        </w:trPr>
        <w:tc>
          <w:tcPr>
            <w:tcW w:w="3153" w:type="dxa"/>
          </w:tcPr>
          <w:p w14:paraId="5C54C302" w14:textId="77777777" w:rsidR="007333C2" w:rsidRPr="004C23F4" w:rsidRDefault="007333C2" w:rsidP="007333C2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5873" w:type="dxa"/>
          </w:tcPr>
          <w:p w14:paraId="3ACA08A8" w14:textId="77777777" w:rsidR="007333C2" w:rsidRPr="00DD2F9B" w:rsidRDefault="003C727A" w:rsidP="007333C2">
            <w:pPr>
              <w:pStyle w:val="Tablefont"/>
            </w:pPr>
            <w:r w:rsidRPr="008242D7">
              <w:rPr>
                <w:i/>
              </w:rPr>
              <w:t>All</w:t>
            </w:r>
            <w:r>
              <w:t xml:space="preserve"> </w:t>
            </w:r>
            <w:r w:rsidRPr="008242D7">
              <w:rPr>
                <w:i/>
              </w:rPr>
              <w:t>compounds</w:t>
            </w:r>
            <w:r>
              <w:t xml:space="preserve">: </w:t>
            </w:r>
            <w:r w:rsidR="007333C2">
              <w:t>—</w:t>
            </w:r>
          </w:p>
        </w:tc>
      </w:tr>
      <w:tr w:rsidR="007333C2" w:rsidRPr="004C23F4" w14:paraId="4BE10B8F" w14:textId="77777777" w:rsidTr="007333C2">
        <w:trPr>
          <w:cantSplit/>
        </w:trPr>
        <w:tc>
          <w:tcPr>
            <w:tcW w:w="3153" w:type="dxa"/>
          </w:tcPr>
          <w:p w14:paraId="6384E88A" w14:textId="77777777" w:rsidR="007333C2" w:rsidRPr="004C23F4" w:rsidRDefault="007333C2" w:rsidP="007333C2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5873" w:type="dxa"/>
          </w:tcPr>
          <w:p w14:paraId="7CD9D583" w14:textId="77777777" w:rsidR="007333C2" w:rsidRPr="00DD2F9B" w:rsidRDefault="008242D7" w:rsidP="007333C2">
            <w:pPr>
              <w:pStyle w:val="Tablefont"/>
            </w:pPr>
            <w:r w:rsidRPr="008242D7">
              <w:rPr>
                <w:i/>
              </w:rPr>
              <w:t>Indium</w:t>
            </w:r>
            <w:r>
              <w:t xml:space="preserve"> </w:t>
            </w:r>
            <w:r w:rsidRPr="008242D7">
              <w:rPr>
                <w:i/>
              </w:rPr>
              <w:t>phosphide</w:t>
            </w:r>
            <w:r w:rsidR="003C727A">
              <w:t xml:space="preserve">: </w:t>
            </w:r>
            <w:r w:rsidR="007333C2" w:rsidRPr="007333C2">
              <w:t>Carcinogenicity – 2</w:t>
            </w:r>
          </w:p>
        </w:tc>
      </w:tr>
      <w:tr w:rsidR="007333C2" w:rsidRPr="004C23F4" w14:paraId="6EF28949" w14:textId="77777777" w:rsidTr="007333C2">
        <w:trPr>
          <w:cantSplit/>
        </w:trPr>
        <w:tc>
          <w:tcPr>
            <w:tcW w:w="3153" w:type="dxa"/>
          </w:tcPr>
          <w:p w14:paraId="1385484A" w14:textId="77777777" w:rsidR="007333C2" w:rsidRPr="004C23F4" w:rsidRDefault="007333C2" w:rsidP="007333C2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5873" w:type="dxa"/>
          </w:tcPr>
          <w:p w14:paraId="7B330277" w14:textId="77777777" w:rsidR="007333C2" w:rsidRPr="00DD2F9B" w:rsidRDefault="003C727A" w:rsidP="007333C2">
            <w:pPr>
              <w:pStyle w:val="Tablefont"/>
            </w:pPr>
            <w:r>
              <w:t>NA</w:t>
            </w:r>
          </w:p>
        </w:tc>
      </w:tr>
      <w:tr w:rsidR="007333C2" w:rsidRPr="004C23F4" w14:paraId="4D4D59E7" w14:textId="77777777" w:rsidTr="007333C2">
        <w:trPr>
          <w:cantSplit/>
        </w:trPr>
        <w:tc>
          <w:tcPr>
            <w:tcW w:w="3153" w:type="dxa"/>
          </w:tcPr>
          <w:p w14:paraId="6989B1AC" w14:textId="77777777" w:rsidR="007333C2" w:rsidRDefault="007333C2" w:rsidP="007333C2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5873" w:type="dxa"/>
          </w:tcPr>
          <w:p w14:paraId="627212F0" w14:textId="77777777" w:rsidR="007333C2" w:rsidRPr="00DD2F9B" w:rsidRDefault="0019155A" w:rsidP="007333C2">
            <w:pPr>
              <w:pStyle w:val="Tablefont"/>
            </w:pPr>
            <w:r>
              <w:t>NA</w:t>
            </w:r>
          </w:p>
        </w:tc>
      </w:tr>
      <w:tr w:rsidR="007333C2" w:rsidRPr="004C23F4" w14:paraId="7119C7B1" w14:textId="77777777" w:rsidTr="007333C2">
        <w:trPr>
          <w:cantSplit/>
        </w:trPr>
        <w:tc>
          <w:tcPr>
            <w:tcW w:w="3153" w:type="dxa"/>
          </w:tcPr>
          <w:p w14:paraId="2B7ECF28" w14:textId="77777777" w:rsidR="007333C2" w:rsidRDefault="007333C2" w:rsidP="007333C2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3ADDFC03" w14:textId="77777777" w:rsidR="007333C2" w:rsidRPr="00DD2F9B" w:rsidRDefault="008242D7" w:rsidP="007333C2">
            <w:pPr>
              <w:pStyle w:val="Tablefont"/>
            </w:pPr>
            <w:r w:rsidRPr="008242D7">
              <w:rPr>
                <w:i/>
              </w:rPr>
              <w:t>Indium</w:t>
            </w:r>
            <w:r>
              <w:t xml:space="preserve"> </w:t>
            </w:r>
            <w:r w:rsidRPr="008242D7">
              <w:rPr>
                <w:i/>
              </w:rPr>
              <w:t>phosphide</w:t>
            </w:r>
            <w:r w:rsidR="0019155A">
              <w:t xml:space="preserve">: Carcinogenicity – Group </w:t>
            </w:r>
            <w:proofErr w:type="spellStart"/>
            <w:r w:rsidR="0019155A">
              <w:t>2A</w:t>
            </w:r>
            <w:proofErr w:type="spellEnd"/>
          </w:p>
        </w:tc>
      </w:tr>
      <w:tr w:rsidR="007333C2" w:rsidRPr="004C23F4" w14:paraId="3AC2599D" w14:textId="77777777" w:rsidTr="007333C2">
        <w:trPr>
          <w:cantSplit/>
        </w:trPr>
        <w:tc>
          <w:tcPr>
            <w:tcW w:w="3153" w:type="dxa"/>
          </w:tcPr>
          <w:p w14:paraId="050ED1E2" w14:textId="77777777" w:rsidR="007333C2" w:rsidRDefault="007333C2" w:rsidP="007333C2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5873" w:type="dxa"/>
          </w:tcPr>
          <w:p w14:paraId="249672E4" w14:textId="77777777" w:rsidR="007333C2" w:rsidRPr="00DD2F9B" w:rsidRDefault="00632E21" w:rsidP="007333C2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CF4AC2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17C74D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EB0E9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E9BF3F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BD09B4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79C8CC1" w14:textId="77777777" w:rsidR="00932DCE" w:rsidRPr="004C23F4" w:rsidRDefault="00632E21" w:rsidP="00F9496B">
            <w:pPr>
              <w:pStyle w:val="Tablefont"/>
            </w:pPr>
            <w:r>
              <w:t>Insufficient data to assign a skin notation</w:t>
            </w:r>
            <w:r w:rsidR="0066552C">
              <w:t>.</w:t>
            </w:r>
          </w:p>
        </w:tc>
      </w:tr>
    </w:tbl>
    <w:bookmarkEnd w:id="3"/>
    <w:p w14:paraId="5CE20AD2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166D3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6C6092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65B2352" w14:textId="77777777" w:rsidR="00EB3D1B" w:rsidRDefault="00632E2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0BBD13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2"/>
        <w:gridCol w:w="5034"/>
      </w:tblGrid>
      <w:tr w:rsidR="001B79E5" w:rsidRPr="004C23F4" w14:paraId="482667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564B5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94AFBB" w14:textId="77777777" w:rsidR="001B79E5" w:rsidRDefault="00632E21" w:rsidP="001B79E5">
                <w:pPr>
                  <w:pStyle w:val="Tablefont"/>
                </w:pPr>
                <w:r>
                  <w:t>114.82 (elemental)</w:t>
                </w:r>
              </w:p>
            </w:tc>
          </w:sdtContent>
        </w:sdt>
      </w:tr>
      <w:tr w:rsidR="00A31D99" w:rsidRPr="004C23F4" w14:paraId="274949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44D7BC8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B92516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D0E057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A26EC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80D8E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C1B5543" w14:textId="77777777" w:rsidTr="00EA6243">
        <w:trPr>
          <w:cantSplit/>
        </w:trPr>
        <w:tc>
          <w:tcPr>
            <w:tcW w:w="4077" w:type="dxa"/>
            <w:vAlign w:val="center"/>
          </w:tcPr>
          <w:p w14:paraId="7DF551A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9FA7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9ACEEE" w14:textId="77777777" w:rsidTr="00EA6243">
        <w:trPr>
          <w:cantSplit/>
        </w:trPr>
        <w:tc>
          <w:tcPr>
            <w:tcW w:w="4077" w:type="dxa"/>
            <w:vAlign w:val="center"/>
          </w:tcPr>
          <w:p w14:paraId="3FA2F2F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4F988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C71A72A" w14:textId="77777777" w:rsidTr="00EA6243">
        <w:trPr>
          <w:cantSplit/>
        </w:trPr>
        <w:tc>
          <w:tcPr>
            <w:tcW w:w="4077" w:type="dxa"/>
            <w:vAlign w:val="center"/>
          </w:tcPr>
          <w:p w14:paraId="2701452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6C7721D" w14:textId="77777777" w:rsidR="00E06F40" w:rsidRPr="00A006A0" w:rsidRDefault="00FB2F8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F26CE0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8C50E6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EB9A46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2E3D09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269A65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AC6B3C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3EBA6C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200C9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9099CE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8696B92" w14:textId="77777777" w:rsidR="007652AF" w:rsidRDefault="007652A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(2004) </w:t>
      </w:r>
      <w:proofErr w:type="spellStart"/>
      <w:r>
        <w:t>Indiumphosphid</w:t>
      </w:r>
      <w:proofErr w:type="spellEnd"/>
      <w:r>
        <w:t xml:space="preserve"> – MAK value documentation, German language edition.</w:t>
      </w:r>
    </w:p>
    <w:p w14:paraId="0F50A3EC" w14:textId="77777777" w:rsidR="007652AF" w:rsidRDefault="007652AF" w:rsidP="00084859">
      <w:r>
        <w:t>European Chemicals Agency (ECHA) (2019) Indium – REACH assessment.</w:t>
      </w:r>
    </w:p>
    <w:p w14:paraId="23AD4D15" w14:textId="77777777" w:rsidR="005A0C7B" w:rsidRDefault="005A0C7B" w:rsidP="00084859">
      <w:r>
        <w:t xml:space="preserve">IARC (2006) </w:t>
      </w:r>
      <w:r w:rsidRPr="005A0C7B">
        <w:t xml:space="preserve">Cobalt in Hard Metals and Cobalt </w:t>
      </w:r>
      <w:proofErr w:type="spellStart"/>
      <w:r w:rsidRPr="005A0C7B">
        <w:t>Sulfate</w:t>
      </w:r>
      <w:proofErr w:type="spellEnd"/>
      <w:r w:rsidRPr="005A0C7B">
        <w:t>, Gallium Arsenide, Indium Phosphide and Vanadium Pentoxide</w:t>
      </w:r>
      <w:r>
        <w:t>, volume 86.</w:t>
      </w:r>
    </w:p>
    <w:p w14:paraId="4A72E8E2" w14:textId="77777777" w:rsidR="007652AF" w:rsidRDefault="007652AF" w:rsidP="00084859">
      <w:r w:rsidRPr="007652AF">
        <w:t>National Industrial Chemicals Notification and Assessment Scheme (</w:t>
      </w:r>
      <w:proofErr w:type="spellStart"/>
      <w:r w:rsidRPr="007652AF">
        <w:t>NICNAS</w:t>
      </w:r>
      <w:proofErr w:type="spellEnd"/>
      <w:r w:rsidRPr="007652AF">
        <w:t>) (</w:t>
      </w:r>
      <w:r>
        <w:t>2016</w:t>
      </w:r>
      <w:r w:rsidRPr="007652AF">
        <w:t xml:space="preserve">) </w:t>
      </w:r>
      <w:proofErr w:type="spellStart"/>
      <w:r w:rsidRPr="00EB0084">
        <w:t>CMR</w:t>
      </w:r>
      <w:proofErr w:type="spellEnd"/>
      <w:r w:rsidRPr="00EB0084">
        <w:t xml:space="preserve"> chemicals not registered under REACH</w:t>
      </w:r>
      <w:r w:rsidRPr="007652AF">
        <w:t>: Human health tier II assessment – IMAP report.</w:t>
      </w:r>
    </w:p>
    <w:p w14:paraId="355D002B" w14:textId="77777777" w:rsidR="001A39F6" w:rsidRDefault="001A39F6" w:rsidP="001A39F6">
      <w:r w:rsidRPr="002022B6">
        <w:lastRenderedPageBreak/>
        <w:t>National Toxicology Program (</w:t>
      </w:r>
      <w:proofErr w:type="spellStart"/>
      <w:r w:rsidRPr="002022B6">
        <w:t>NTP</w:t>
      </w:r>
      <w:proofErr w:type="spellEnd"/>
      <w:r w:rsidRPr="002022B6">
        <w:t>)</w:t>
      </w:r>
      <w:r>
        <w:t xml:space="preserve"> (2001) Technical Report on the T</w:t>
      </w:r>
      <w:r w:rsidRPr="001A39F6">
        <w:t xml:space="preserve">oxicology and </w:t>
      </w:r>
      <w:r>
        <w:t>C</w:t>
      </w:r>
      <w:r w:rsidRPr="001A39F6">
        <w:t xml:space="preserve">arcinogenesis </w:t>
      </w:r>
      <w:r>
        <w:t>Studies of Indium P</w:t>
      </w:r>
      <w:r w:rsidRPr="001A39F6">
        <w:t>hosphide (</w:t>
      </w:r>
      <w:r>
        <w:t>CAS</w:t>
      </w:r>
      <w:r w:rsidRPr="001A39F6">
        <w:t xml:space="preserve"> </w:t>
      </w:r>
      <w:r>
        <w:t>N</w:t>
      </w:r>
      <w:r w:rsidRPr="001A39F6">
        <w:t xml:space="preserve">o. 22398-80-7) in </w:t>
      </w:r>
      <w:proofErr w:type="spellStart"/>
      <w:r>
        <w:t>F</w:t>
      </w:r>
      <w:r w:rsidRPr="001A39F6">
        <w:t>344</w:t>
      </w:r>
      <w:proofErr w:type="spellEnd"/>
      <w:r w:rsidRPr="001A39F6">
        <w:t>/</w:t>
      </w:r>
      <w:r>
        <w:t>N R</w:t>
      </w:r>
      <w:r w:rsidRPr="001A39F6">
        <w:t xml:space="preserve">ats and </w:t>
      </w:r>
      <w:proofErr w:type="spellStart"/>
      <w:r>
        <w:t>B</w:t>
      </w:r>
      <w:r w:rsidRPr="001A39F6">
        <w:t>6</w:t>
      </w:r>
      <w:r>
        <w:t>C</w:t>
      </w:r>
      <w:r w:rsidRPr="001A39F6">
        <w:t>3</w:t>
      </w:r>
      <w:r>
        <w:t>F</w:t>
      </w:r>
      <w:r w:rsidRPr="001A39F6">
        <w:t>1</w:t>
      </w:r>
      <w:proofErr w:type="spellEnd"/>
      <w:r w:rsidRPr="001A39F6">
        <w:t xml:space="preserve"> </w:t>
      </w:r>
      <w:r>
        <w:t>Mice (I</w:t>
      </w:r>
      <w:r w:rsidRPr="001A39F6">
        <w:t xml:space="preserve">nhalation </w:t>
      </w:r>
      <w:r>
        <w:t>S</w:t>
      </w:r>
      <w:r w:rsidRPr="001A39F6">
        <w:t>tudies)</w:t>
      </w:r>
      <w:r>
        <w:t xml:space="preserve">. </w:t>
      </w:r>
      <w:proofErr w:type="spellStart"/>
      <w:r>
        <w:t>NTP</w:t>
      </w:r>
      <w:proofErr w:type="spellEnd"/>
      <w:r>
        <w:t xml:space="preserve"> Toxicity report series No. 499. DHHS (NIH) Pub No 01-4433.</w:t>
      </w:r>
    </w:p>
    <w:p w14:paraId="4BDC31D6" w14:textId="77777777" w:rsidR="001A39F6" w:rsidRDefault="001A39F6" w:rsidP="001A39F6">
      <w:pPr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National Toxicology Program (</w:t>
      </w:r>
      <w:proofErr w:type="spellStart"/>
      <w:r>
        <w:rPr>
          <w:rFonts w:cs="Arial"/>
          <w:color w:val="000000"/>
          <w:shd w:val="clear" w:color="auto" w:fill="FFFFFF"/>
        </w:rPr>
        <w:t>NTP</w:t>
      </w:r>
      <w:proofErr w:type="spellEnd"/>
      <w:r>
        <w:rPr>
          <w:rFonts w:cs="Arial"/>
          <w:color w:val="000000"/>
          <w:shd w:val="clear" w:color="auto" w:fill="FFFFFF"/>
        </w:rPr>
        <w:t>) (2018) Indium (III) chloride (10025-82-8) Chemical Effects in Biological Systems (CEBS)</w:t>
      </w:r>
      <w:r w:rsidR="00B31EA3">
        <w:rPr>
          <w:rFonts w:cs="Arial"/>
          <w:color w:val="000000"/>
          <w:shd w:val="clear" w:color="auto" w:fill="FFFFFF"/>
        </w:rPr>
        <w:t>.</w:t>
      </w:r>
    </w:p>
    <w:p w14:paraId="5970ABC4" w14:textId="77777777" w:rsidR="00B31EA3" w:rsidRPr="00B31EA3" w:rsidRDefault="00B31EA3" w:rsidP="001A39F6">
      <w:pPr>
        <w:rPr>
          <w:rFonts w:cs="Arial"/>
          <w:color w:val="000000"/>
          <w:shd w:val="clear" w:color="auto" w:fill="FFFFFF"/>
        </w:rPr>
      </w:pPr>
      <w:r>
        <w:rPr>
          <w:rFonts w:cs="Arial"/>
          <w:color w:val="000000"/>
          <w:shd w:val="clear" w:color="auto" w:fill="FFFFFF"/>
        </w:rPr>
        <w:t>National Toxicology Program (</w:t>
      </w:r>
      <w:proofErr w:type="spellStart"/>
      <w:r>
        <w:rPr>
          <w:rFonts w:cs="Arial"/>
          <w:color w:val="000000"/>
          <w:shd w:val="clear" w:color="auto" w:fill="FFFFFF"/>
        </w:rPr>
        <w:t>NTP</w:t>
      </w:r>
      <w:proofErr w:type="spellEnd"/>
      <w:r>
        <w:rPr>
          <w:rFonts w:cs="Arial"/>
          <w:color w:val="000000"/>
          <w:shd w:val="clear" w:color="auto" w:fill="FFFFFF"/>
        </w:rPr>
        <w:t>) (2018) Indium phosphide (</w:t>
      </w:r>
      <w:r w:rsidRPr="00B31EA3">
        <w:rPr>
          <w:rFonts w:cs="Arial"/>
          <w:color w:val="000000"/>
          <w:shd w:val="clear" w:color="auto" w:fill="FFFFFF"/>
        </w:rPr>
        <w:t>22398-80-7</w:t>
      </w:r>
      <w:r>
        <w:rPr>
          <w:rFonts w:cs="Arial"/>
          <w:color w:val="000000"/>
          <w:shd w:val="clear" w:color="auto" w:fill="FFFFFF"/>
        </w:rPr>
        <w:t>) Chemical Effects in Biological Systems (CEBS).</w:t>
      </w:r>
    </w:p>
    <w:p w14:paraId="527A73EA" w14:textId="77777777" w:rsidR="001A39F6" w:rsidRPr="00351FE0" w:rsidRDefault="00856080" w:rsidP="00084859"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sectPr w:rsidR="001A39F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0C116" w14:textId="77777777" w:rsidR="00447370" w:rsidRDefault="00447370" w:rsidP="00F43AD5">
      <w:pPr>
        <w:spacing w:after="0" w:line="240" w:lineRule="auto"/>
      </w:pPr>
      <w:r>
        <w:separator/>
      </w:r>
    </w:p>
  </w:endnote>
  <w:endnote w:type="continuationSeparator" w:id="0">
    <w:p w14:paraId="7278EEF9" w14:textId="77777777" w:rsidR="00447370" w:rsidRDefault="0044737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5CED80A" w14:textId="77777777" w:rsidR="007951B5" w:rsidRDefault="007951B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Indium and compounds (except indium phosphide) (7440-74-6)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B42D3B8" w14:textId="5768FAFF" w:rsidR="007951B5" w:rsidRPr="00F43AD5" w:rsidRDefault="007951B5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273E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24703" w14:textId="77777777" w:rsidR="00447370" w:rsidRDefault="00447370" w:rsidP="00F43AD5">
      <w:pPr>
        <w:spacing w:after="0" w:line="240" w:lineRule="auto"/>
      </w:pPr>
      <w:r>
        <w:separator/>
      </w:r>
    </w:p>
  </w:footnote>
  <w:footnote w:type="continuationSeparator" w:id="0">
    <w:p w14:paraId="48C7E1AB" w14:textId="77777777" w:rsidR="00447370" w:rsidRDefault="0044737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FD129" w14:textId="5A16C329" w:rsidR="006A2822" w:rsidRDefault="006A2822" w:rsidP="006A2822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2110D7" wp14:editId="4D37B09D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3FFAE6" w14:textId="3E4BD7F4" w:rsidR="007951B5" w:rsidRPr="006A2822" w:rsidRDefault="007951B5" w:rsidP="006A28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A2B8E" w14:textId="65B750FA" w:rsidR="006A2822" w:rsidRDefault="00FB2F8E" w:rsidP="006A2822">
    <w:pPr>
      <w:pStyle w:val="Header"/>
      <w:jc w:val="right"/>
    </w:pPr>
    <w:sdt>
      <w:sdtPr>
        <w:id w:val="268595127"/>
        <w:docPartObj>
          <w:docPartGallery w:val="Watermarks"/>
          <w:docPartUnique/>
        </w:docPartObj>
      </w:sdtPr>
      <w:sdtEndPr/>
      <w:sdtContent/>
    </w:sdt>
    <w:r w:rsidR="006A2822">
      <w:rPr>
        <w:noProof/>
        <w:lang w:eastAsia="en-AU"/>
      </w:rPr>
      <w:drawing>
        <wp:inline distT="0" distB="0" distL="0" distR="0" wp14:anchorId="6956DAC3" wp14:editId="2A9C75C9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78C299" w14:textId="58EBD250" w:rsidR="007951B5" w:rsidRDefault="007951B5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A5846"/>
    <w:multiLevelType w:val="hybridMultilevel"/>
    <w:tmpl w:val="BFBC4844"/>
    <w:lvl w:ilvl="0" w:tplc="B4B27F08">
      <w:start w:val="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037AB4"/>
    <w:multiLevelType w:val="hybridMultilevel"/>
    <w:tmpl w:val="40263E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837B5"/>
    <w:multiLevelType w:val="hybridMultilevel"/>
    <w:tmpl w:val="D57A3DB8"/>
    <w:lvl w:ilvl="0" w:tplc="BFD6EF9C">
      <w:start w:val="74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A433BA"/>
    <w:multiLevelType w:val="hybridMultilevel"/>
    <w:tmpl w:val="665EA9C2"/>
    <w:lvl w:ilvl="0" w:tplc="B0A09632">
      <w:start w:val="744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069807">
    <w:abstractNumId w:val="3"/>
  </w:num>
  <w:num w:numId="2" w16cid:durableId="658777172">
    <w:abstractNumId w:val="2"/>
  </w:num>
  <w:num w:numId="3" w16cid:durableId="667294325">
    <w:abstractNumId w:val="1"/>
  </w:num>
  <w:num w:numId="4" w16cid:durableId="335502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4A06"/>
    <w:rsid w:val="00032A5B"/>
    <w:rsid w:val="00032B88"/>
    <w:rsid w:val="00046DF5"/>
    <w:rsid w:val="00052060"/>
    <w:rsid w:val="0005574A"/>
    <w:rsid w:val="00055FE1"/>
    <w:rsid w:val="00056EC2"/>
    <w:rsid w:val="00057227"/>
    <w:rsid w:val="00060B48"/>
    <w:rsid w:val="00067F32"/>
    <w:rsid w:val="000710BE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DDC"/>
    <w:rsid w:val="000E5A54"/>
    <w:rsid w:val="000E63D3"/>
    <w:rsid w:val="000E67CF"/>
    <w:rsid w:val="000E6E10"/>
    <w:rsid w:val="0010461E"/>
    <w:rsid w:val="0010518B"/>
    <w:rsid w:val="00106FAA"/>
    <w:rsid w:val="00113443"/>
    <w:rsid w:val="00115D29"/>
    <w:rsid w:val="0011613E"/>
    <w:rsid w:val="001269A7"/>
    <w:rsid w:val="00131092"/>
    <w:rsid w:val="00140E6A"/>
    <w:rsid w:val="00141120"/>
    <w:rsid w:val="00146545"/>
    <w:rsid w:val="00146B75"/>
    <w:rsid w:val="001512FE"/>
    <w:rsid w:val="00151799"/>
    <w:rsid w:val="0015266D"/>
    <w:rsid w:val="0015288A"/>
    <w:rsid w:val="00160F47"/>
    <w:rsid w:val="00166513"/>
    <w:rsid w:val="00177CA1"/>
    <w:rsid w:val="00183823"/>
    <w:rsid w:val="00183942"/>
    <w:rsid w:val="0019155A"/>
    <w:rsid w:val="001A009E"/>
    <w:rsid w:val="001A1287"/>
    <w:rsid w:val="001A2CB1"/>
    <w:rsid w:val="001A3859"/>
    <w:rsid w:val="001A39F6"/>
    <w:rsid w:val="001A3C9D"/>
    <w:rsid w:val="001A43F8"/>
    <w:rsid w:val="001B570D"/>
    <w:rsid w:val="001B79E5"/>
    <w:rsid w:val="001C1F1E"/>
    <w:rsid w:val="001C28C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E60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0ED"/>
    <w:rsid w:val="0025734A"/>
    <w:rsid w:val="00260E1B"/>
    <w:rsid w:val="00263255"/>
    <w:rsid w:val="00264177"/>
    <w:rsid w:val="00276494"/>
    <w:rsid w:val="00277B0C"/>
    <w:rsid w:val="002B1A2C"/>
    <w:rsid w:val="002B7694"/>
    <w:rsid w:val="002C34F2"/>
    <w:rsid w:val="002C58FF"/>
    <w:rsid w:val="002C7AFE"/>
    <w:rsid w:val="002D05D2"/>
    <w:rsid w:val="002D0F93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2C03"/>
    <w:rsid w:val="0035412B"/>
    <w:rsid w:val="003567A8"/>
    <w:rsid w:val="003579D1"/>
    <w:rsid w:val="00362895"/>
    <w:rsid w:val="003635D3"/>
    <w:rsid w:val="0036647B"/>
    <w:rsid w:val="00370DBF"/>
    <w:rsid w:val="00386093"/>
    <w:rsid w:val="003904A4"/>
    <w:rsid w:val="00391841"/>
    <w:rsid w:val="00391B6D"/>
    <w:rsid w:val="00394922"/>
    <w:rsid w:val="003A0E32"/>
    <w:rsid w:val="003A29F3"/>
    <w:rsid w:val="003A2B94"/>
    <w:rsid w:val="003B387D"/>
    <w:rsid w:val="003C0D58"/>
    <w:rsid w:val="003C414F"/>
    <w:rsid w:val="003C727A"/>
    <w:rsid w:val="003D369D"/>
    <w:rsid w:val="003D4FA3"/>
    <w:rsid w:val="003D74EA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8FE"/>
    <w:rsid w:val="004414B5"/>
    <w:rsid w:val="00444482"/>
    <w:rsid w:val="00444B42"/>
    <w:rsid w:val="00445E44"/>
    <w:rsid w:val="00447370"/>
    <w:rsid w:val="00450138"/>
    <w:rsid w:val="004509E2"/>
    <w:rsid w:val="004515EE"/>
    <w:rsid w:val="004529F0"/>
    <w:rsid w:val="00460A03"/>
    <w:rsid w:val="00462560"/>
    <w:rsid w:val="0046624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E9A"/>
    <w:rsid w:val="004A5088"/>
    <w:rsid w:val="004B55D3"/>
    <w:rsid w:val="004C1E3F"/>
    <w:rsid w:val="004C23F4"/>
    <w:rsid w:val="004C3475"/>
    <w:rsid w:val="004C58B6"/>
    <w:rsid w:val="004D16A3"/>
    <w:rsid w:val="004D4AA1"/>
    <w:rsid w:val="004D6D68"/>
    <w:rsid w:val="004D7523"/>
    <w:rsid w:val="004E5EDD"/>
    <w:rsid w:val="004E646C"/>
    <w:rsid w:val="004F448A"/>
    <w:rsid w:val="004F493D"/>
    <w:rsid w:val="004F65E8"/>
    <w:rsid w:val="0050005E"/>
    <w:rsid w:val="00502B88"/>
    <w:rsid w:val="00506CE8"/>
    <w:rsid w:val="00511B7E"/>
    <w:rsid w:val="005142C4"/>
    <w:rsid w:val="0051509C"/>
    <w:rsid w:val="005224DD"/>
    <w:rsid w:val="005272E2"/>
    <w:rsid w:val="0053108F"/>
    <w:rsid w:val="00532B56"/>
    <w:rsid w:val="00534B10"/>
    <w:rsid w:val="005446A2"/>
    <w:rsid w:val="00544D2F"/>
    <w:rsid w:val="00551BD8"/>
    <w:rsid w:val="00555944"/>
    <w:rsid w:val="00581055"/>
    <w:rsid w:val="00591E38"/>
    <w:rsid w:val="005A0C7B"/>
    <w:rsid w:val="005A19C5"/>
    <w:rsid w:val="005A3034"/>
    <w:rsid w:val="005A3132"/>
    <w:rsid w:val="005A462D"/>
    <w:rsid w:val="005B12AE"/>
    <w:rsid w:val="005B222F"/>
    <w:rsid w:val="005B253B"/>
    <w:rsid w:val="005B771D"/>
    <w:rsid w:val="005C55B7"/>
    <w:rsid w:val="005C5D16"/>
    <w:rsid w:val="005D3193"/>
    <w:rsid w:val="005D4A6E"/>
    <w:rsid w:val="005E41A1"/>
    <w:rsid w:val="005E6979"/>
    <w:rsid w:val="005E75CB"/>
    <w:rsid w:val="005F71FA"/>
    <w:rsid w:val="006006D0"/>
    <w:rsid w:val="006013C1"/>
    <w:rsid w:val="0060669E"/>
    <w:rsid w:val="00607620"/>
    <w:rsid w:val="00610F2E"/>
    <w:rsid w:val="00611399"/>
    <w:rsid w:val="00624446"/>
    <w:rsid w:val="00624C4E"/>
    <w:rsid w:val="00625200"/>
    <w:rsid w:val="00632E21"/>
    <w:rsid w:val="00635E13"/>
    <w:rsid w:val="006363A8"/>
    <w:rsid w:val="00636DB7"/>
    <w:rsid w:val="00637C13"/>
    <w:rsid w:val="00650905"/>
    <w:rsid w:val="006532ED"/>
    <w:rsid w:val="006549F2"/>
    <w:rsid w:val="006567B7"/>
    <w:rsid w:val="00657BFB"/>
    <w:rsid w:val="0066333C"/>
    <w:rsid w:val="006639B4"/>
    <w:rsid w:val="006650FE"/>
    <w:rsid w:val="0066552C"/>
    <w:rsid w:val="0067305D"/>
    <w:rsid w:val="006747D0"/>
    <w:rsid w:val="00677D9B"/>
    <w:rsid w:val="006867F3"/>
    <w:rsid w:val="00687890"/>
    <w:rsid w:val="006901A2"/>
    <w:rsid w:val="00690368"/>
    <w:rsid w:val="0069079C"/>
    <w:rsid w:val="00690B53"/>
    <w:rsid w:val="00695B72"/>
    <w:rsid w:val="006A2822"/>
    <w:rsid w:val="006B160A"/>
    <w:rsid w:val="006B35BD"/>
    <w:rsid w:val="006B4E6C"/>
    <w:rsid w:val="006B50B6"/>
    <w:rsid w:val="006D1D6A"/>
    <w:rsid w:val="006D6708"/>
    <w:rsid w:val="006D79EA"/>
    <w:rsid w:val="006D7C24"/>
    <w:rsid w:val="006E5D05"/>
    <w:rsid w:val="006E79EB"/>
    <w:rsid w:val="00701053"/>
    <w:rsid w:val="00701507"/>
    <w:rsid w:val="00711D32"/>
    <w:rsid w:val="00714021"/>
    <w:rsid w:val="00716A0F"/>
    <w:rsid w:val="00717D45"/>
    <w:rsid w:val="007208F7"/>
    <w:rsid w:val="007218AF"/>
    <w:rsid w:val="007273EE"/>
    <w:rsid w:val="007333C2"/>
    <w:rsid w:val="007365D1"/>
    <w:rsid w:val="00740E0E"/>
    <w:rsid w:val="007418CF"/>
    <w:rsid w:val="00750212"/>
    <w:rsid w:val="00754779"/>
    <w:rsid w:val="0075716D"/>
    <w:rsid w:val="007652AF"/>
    <w:rsid w:val="00765F14"/>
    <w:rsid w:val="00770E31"/>
    <w:rsid w:val="007770F1"/>
    <w:rsid w:val="00783FB1"/>
    <w:rsid w:val="00785CDD"/>
    <w:rsid w:val="007908D8"/>
    <w:rsid w:val="00791847"/>
    <w:rsid w:val="007925F0"/>
    <w:rsid w:val="007939B3"/>
    <w:rsid w:val="0079509C"/>
    <w:rsid w:val="007951B5"/>
    <w:rsid w:val="00796708"/>
    <w:rsid w:val="007A53E5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5EE"/>
    <w:rsid w:val="00810C6D"/>
    <w:rsid w:val="00812887"/>
    <w:rsid w:val="008242D7"/>
    <w:rsid w:val="00826F21"/>
    <w:rsid w:val="008320B0"/>
    <w:rsid w:val="00834CC8"/>
    <w:rsid w:val="00835E00"/>
    <w:rsid w:val="00837113"/>
    <w:rsid w:val="008414E4"/>
    <w:rsid w:val="00843E21"/>
    <w:rsid w:val="0084508E"/>
    <w:rsid w:val="00846BE5"/>
    <w:rsid w:val="00856080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4FD2"/>
    <w:rsid w:val="008B7983"/>
    <w:rsid w:val="008C2511"/>
    <w:rsid w:val="008D026D"/>
    <w:rsid w:val="008D23AB"/>
    <w:rsid w:val="008D36C7"/>
    <w:rsid w:val="008D3C46"/>
    <w:rsid w:val="008D4B8B"/>
    <w:rsid w:val="008D5A78"/>
    <w:rsid w:val="008E7B64"/>
    <w:rsid w:val="008F5DCD"/>
    <w:rsid w:val="00900951"/>
    <w:rsid w:val="00904772"/>
    <w:rsid w:val="009118A6"/>
    <w:rsid w:val="00912B66"/>
    <w:rsid w:val="0091579B"/>
    <w:rsid w:val="00915A47"/>
    <w:rsid w:val="00916909"/>
    <w:rsid w:val="00916EC0"/>
    <w:rsid w:val="00920467"/>
    <w:rsid w:val="00921DE7"/>
    <w:rsid w:val="00923F00"/>
    <w:rsid w:val="0093041A"/>
    <w:rsid w:val="00930714"/>
    <w:rsid w:val="00931B03"/>
    <w:rsid w:val="009323B9"/>
    <w:rsid w:val="00932B3C"/>
    <w:rsid w:val="00932DCE"/>
    <w:rsid w:val="0093327E"/>
    <w:rsid w:val="00933F16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6F83"/>
    <w:rsid w:val="00974F2D"/>
    <w:rsid w:val="00977524"/>
    <w:rsid w:val="00977E88"/>
    <w:rsid w:val="00984920"/>
    <w:rsid w:val="0099303A"/>
    <w:rsid w:val="009971C2"/>
    <w:rsid w:val="009A1254"/>
    <w:rsid w:val="009A50D0"/>
    <w:rsid w:val="009B2FF2"/>
    <w:rsid w:val="009B380C"/>
    <w:rsid w:val="009B4843"/>
    <w:rsid w:val="009B6543"/>
    <w:rsid w:val="009C199D"/>
    <w:rsid w:val="009C278F"/>
    <w:rsid w:val="009C2B94"/>
    <w:rsid w:val="009C5874"/>
    <w:rsid w:val="009D241D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376D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DFF"/>
    <w:rsid w:val="00A633D4"/>
    <w:rsid w:val="00A6461A"/>
    <w:rsid w:val="00A80D9B"/>
    <w:rsid w:val="00A84504"/>
    <w:rsid w:val="00A8672F"/>
    <w:rsid w:val="00A93057"/>
    <w:rsid w:val="00A968B0"/>
    <w:rsid w:val="00AA2FFD"/>
    <w:rsid w:val="00AA37ED"/>
    <w:rsid w:val="00AB2672"/>
    <w:rsid w:val="00AB2817"/>
    <w:rsid w:val="00AB43C4"/>
    <w:rsid w:val="00AB49DF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FFD"/>
    <w:rsid w:val="00AF7C75"/>
    <w:rsid w:val="00B00A25"/>
    <w:rsid w:val="00B1422A"/>
    <w:rsid w:val="00B1765C"/>
    <w:rsid w:val="00B213C4"/>
    <w:rsid w:val="00B22F28"/>
    <w:rsid w:val="00B31EA3"/>
    <w:rsid w:val="00B40C60"/>
    <w:rsid w:val="00B43AD2"/>
    <w:rsid w:val="00B43F7E"/>
    <w:rsid w:val="00B479A9"/>
    <w:rsid w:val="00B507B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A7EC3"/>
    <w:rsid w:val="00BB474E"/>
    <w:rsid w:val="00BB612A"/>
    <w:rsid w:val="00BD4331"/>
    <w:rsid w:val="00BD499F"/>
    <w:rsid w:val="00BD56DE"/>
    <w:rsid w:val="00BF2406"/>
    <w:rsid w:val="00C06E43"/>
    <w:rsid w:val="00C15074"/>
    <w:rsid w:val="00C154E2"/>
    <w:rsid w:val="00C16315"/>
    <w:rsid w:val="00C3091E"/>
    <w:rsid w:val="00C36183"/>
    <w:rsid w:val="00C40FF1"/>
    <w:rsid w:val="00C419E2"/>
    <w:rsid w:val="00C4486B"/>
    <w:rsid w:val="00C5020E"/>
    <w:rsid w:val="00C541F8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67C"/>
    <w:rsid w:val="00C82F0C"/>
    <w:rsid w:val="00C84489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3D2B"/>
    <w:rsid w:val="00CE5AD6"/>
    <w:rsid w:val="00CE617F"/>
    <w:rsid w:val="00CE78EF"/>
    <w:rsid w:val="00CF31E7"/>
    <w:rsid w:val="00D048F7"/>
    <w:rsid w:val="00D0517E"/>
    <w:rsid w:val="00D140FC"/>
    <w:rsid w:val="00D21D8C"/>
    <w:rsid w:val="00D26ABB"/>
    <w:rsid w:val="00D27C88"/>
    <w:rsid w:val="00D31357"/>
    <w:rsid w:val="00D33220"/>
    <w:rsid w:val="00D334D1"/>
    <w:rsid w:val="00D44C89"/>
    <w:rsid w:val="00D516CD"/>
    <w:rsid w:val="00D61022"/>
    <w:rsid w:val="00D63555"/>
    <w:rsid w:val="00D668E6"/>
    <w:rsid w:val="00D70670"/>
    <w:rsid w:val="00D74D80"/>
    <w:rsid w:val="00D76624"/>
    <w:rsid w:val="00D85576"/>
    <w:rsid w:val="00D87570"/>
    <w:rsid w:val="00D91CB9"/>
    <w:rsid w:val="00D97989"/>
    <w:rsid w:val="00D97D8D"/>
    <w:rsid w:val="00DA352E"/>
    <w:rsid w:val="00DC7694"/>
    <w:rsid w:val="00DD1BF6"/>
    <w:rsid w:val="00DD2F9B"/>
    <w:rsid w:val="00DD7C87"/>
    <w:rsid w:val="00DE2513"/>
    <w:rsid w:val="00DE26E8"/>
    <w:rsid w:val="00DF6F36"/>
    <w:rsid w:val="00DF75AC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0084"/>
    <w:rsid w:val="00EB3D1B"/>
    <w:rsid w:val="00EC02F7"/>
    <w:rsid w:val="00ED1D89"/>
    <w:rsid w:val="00ED66BC"/>
    <w:rsid w:val="00EE5D71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527"/>
    <w:rsid w:val="00F20E68"/>
    <w:rsid w:val="00F22093"/>
    <w:rsid w:val="00F236DF"/>
    <w:rsid w:val="00F2517B"/>
    <w:rsid w:val="00F36573"/>
    <w:rsid w:val="00F43AD5"/>
    <w:rsid w:val="00F4402E"/>
    <w:rsid w:val="00F54A91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F8E"/>
    <w:rsid w:val="00FB4E07"/>
    <w:rsid w:val="00FB755A"/>
    <w:rsid w:val="00FC4617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78C287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1A39F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B0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00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0084"/>
    <w:rPr>
      <w:szCs w:val="20"/>
    </w:rPr>
  </w:style>
  <w:style w:type="paragraph" w:styleId="Revision">
    <w:name w:val="Revision"/>
    <w:hidden/>
    <w:uiPriority w:val="99"/>
    <w:semiHidden/>
    <w:rsid w:val="00511B7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53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53E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2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4D1960BF25E4465B6847FC051A95C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D7D55-25D7-4372-9975-F70EB4980E20}"/>
      </w:docPartPr>
      <w:docPartBody>
        <w:p w:rsidR="00F85D63" w:rsidRDefault="00306AB0" w:rsidP="00306AB0">
          <w:pPr>
            <w:pStyle w:val="04D1960BF25E4465B6847FC051A95C4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06AB0"/>
    <w:rsid w:val="00317A81"/>
    <w:rsid w:val="006360A8"/>
    <w:rsid w:val="007226DB"/>
    <w:rsid w:val="00742E29"/>
    <w:rsid w:val="008965B7"/>
    <w:rsid w:val="00933F16"/>
    <w:rsid w:val="00CB388B"/>
    <w:rsid w:val="00D21A9F"/>
    <w:rsid w:val="00E57532"/>
    <w:rsid w:val="00F85D6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06AB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4D1960BF25E4465B6847FC051A95C48">
    <w:name w:val="04D1960BF25E4465B6847FC051A95C48"/>
    <w:rsid w:val="00306A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D63ADB-2B10-4446-8ABF-78BE36366E63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B54560FE-9CF4-4626-8722-5095AC85EB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FA8EB6-92CC-445C-8303-DEAD9A68A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47FDE5-7B4B-499C-8593-E05378A409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2078</Words>
  <Characters>12098</Characters>
  <Application>Microsoft Office Word</Application>
  <DocSecurity>0</DocSecurity>
  <Lines>403</Lines>
  <Paragraphs>329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2020-01-09T03:41:00Z</dcterms:created>
  <dcterms:modified xsi:type="dcterms:W3CDTF">2026-01-09T01:21:00Z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2025-12-23T04:41:09Z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524f3183-1f00-4ccb-811c-95187861fcf8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