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3C78F2A" w14:textId="77777777" w:rsidR="00BD499F" w:rsidRPr="004C23F4" w:rsidRDefault="000556A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B10C5A">
            <w:rPr>
              <w:rFonts w:ascii="Arial" w:hAnsi="Arial" w:cs="Arial"/>
            </w:rPr>
            <w:t>ydrogen 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7BFFBF0C" w14:textId="77777777" w:rsidTr="00BB1BFA">
        <w:trPr>
          <w:cantSplit/>
          <w:tblHeader/>
        </w:trPr>
        <w:tc>
          <w:tcPr>
            <w:tcW w:w="3987" w:type="dxa"/>
          </w:tcPr>
          <w:p w14:paraId="09CBFBA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7180F9E5" w14:textId="77777777" w:rsidR="00F43AD5" w:rsidRPr="00717D45" w:rsidRDefault="00B10C5A" w:rsidP="00B76A41">
            <w:pPr>
              <w:pStyle w:val="Tablefont"/>
            </w:pPr>
            <w:r>
              <w:t>7664-39-3</w:t>
            </w:r>
          </w:p>
        </w:tc>
      </w:tr>
      <w:tr w:rsidR="00F43AD5" w:rsidRPr="004C23F4" w14:paraId="017C9978" w14:textId="77777777" w:rsidTr="00BB1BFA">
        <w:trPr>
          <w:cantSplit/>
        </w:trPr>
        <w:tc>
          <w:tcPr>
            <w:tcW w:w="3987" w:type="dxa"/>
          </w:tcPr>
          <w:p w14:paraId="1D512F1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4E8939D6" w14:textId="77777777" w:rsidR="00F43AD5" w:rsidRPr="00717D45" w:rsidRDefault="005B3C80" w:rsidP="00B76A41">
            <w:pPr>
              <w:pStyle w:val="Tablefont"/>
            </w:pPr>
            <w:proofErr w:type="spellStart"/>
            <w:r>
              <w:t>Antisal</w:t>
            </w:r>
            <w:proofErr w:type="spellEnd"/>
            <w:r>
              <w:t xml:space="preserve"> </w:t>
            </w:r>
            <w:proofErr w:type="spellStart"/>
            <w:r>
              <w:t>2B</w:t>
            </w:r>
            <w:proofErr w:type="spellEnd"/>
            <w:r>
              <w:t>,</w:t>
            </w:r>
            <w:r w:rsidRPr="005B3C80">
              <w:t xml:space="preserve"> </w:t>
            </w:r>
            <w:r>
              <w:t>e</w:t>
            </w:r>
            <w:r w:rsidRPr="005B3C80">
              <w:t>tching acid</w:t>
            </w:r>
            <w:r>
              <w:t>,</w:t>
            </w:r>
            <w:r w:rsidRPr="005B3C80">
              <w:t xml:space="preserve"> </w:t>
            </w:r>
            <w:proofErr w:type="spellStart"/>
            <w:r>
              <w:t>f</w:t>
            </w:r>
            <w:r w:rsidRPr="005B3C80">
              <w:t>luorohydric</w:t>
            </w:r>
            <w:proofErr w:type="spellEnd"/>
            <w:r w:rsidRPr="005B3C80">
              <w:t xml:space="preserve"> acid</w:t>
            </w:r>
            <w:r>
              <w:t>, f</w:t>
            </w:r>
            <w:r w:rsidRPr="005B3C80">
              <w:t>luoric acid</w:t>
            </w:r>
            <w:r>
              <w:t>,</w:t>
            </w:r>
            <w:r w:rsidRPr="005B3C80">
              <w:t xml:space="preserve"> HF A</w:t>
            </w:r>
            <w:r>
              <w:t>,</w:t>
            </w:r>
            <w:r w:rsidRPr="005B3C80">
              <w:t xml:space="preserve"> </w:t>
            </w:r>
            <w:r>
              <w:t>h</w:t>
            </w:r>
            <w:r w:rsidRPr="005B3C80">
              <w:t>ydrofluoric acid</w:t>
            </w:r>
          </w:p>
        </w:tc>
      </w:tr>
      <w:tr w:rsidR="00F43AD5" w:rsidRPr="004C23F4" w14:paraId="588E0EBF" w14:textId="77777777" w:rsidTr="00BB1BFA">
        <w:trPr>
          <w:cantSplit/>
        </w:trPr>
        <w:tc>
          <w:tcPr>
            <w:tcW w:w="3987" w:type="dxa"/>
          </w:tcPr>
          <w:p w14:paraId="2418321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4F465740" w14:textId="77777777" w:rsidR="00F43AD5" w:rsidRPr="00717D45" w:rsidRDefault="002B662E" w:rsidP="00B76A41">
            <w:pPr>
              <w:pStyle w:val="Tablefont"/>
            </w:pPr>
            <w:r>
              <w:t>HF</w:t>
            </w:r>
          </w:p>
        </w:tc>
      </w:tr>
    </w:tbl>
    <w:p w14:paraId="767D745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A6E9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1C5C6BA2" w14:textId="77777777" w:rsidTr="000556AB">
        <w:trPr>
          <w:cantSplit/>
          <w:tblHeader/>
        </w:trPr>
        <w:tc>
          <w:tcPr>
            <w:tcW w:w="4007" w:type="dxa"/>
            <w:vAlign w:val="center"/>
          </w:tcPr>
          <w:p w14:paraId="45E47CE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69988CBF" w14:textId="77777777" w:rsidR="002C7AFE" w:rsidRPr="00EB3D1B" w:rsidRDefault="000A6E9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</w:t>
            </w:r>
            <w:r w:rsidR="00ED4EC4">
              <w:rPr>
                <w:b/>
              </w:rPr>
              <w:t xml:space="preserve"> (0.4 mg/</w:t>
            </w:r>
            <w:proofErr w:type="spellStart"/>
            <w:r w:rsidR="00ED4EC4">
              <w:rPr>
                <w:b/>
              </w:rPr>
              <w:t>m</w:t>
            </w:r>
            <w:r w:rsidR="00ED4EC4" w:rsidRPr="00CA424A">
              <w:rPr>
                <w:b/>
                <w:vertAlign w:val="superscript"/>
              </w:rPr>
              <w:t>3</w:t>
            </w:r>
            <w:proofErr w:type="spellEnd"/>
            <w:r w:rsidR="00ED4EC4">
              <w:rPr>
                <w:b/>
              </w:rPr>
              <w:t>)</w:t>
            </w:r>
          </w:p>
        </w:tc>
      </w:tr>
      <w:tr w:rsidR="002C7AFE" w:rsidRPr="004C23F4" w14:paraId="577FE25C" w14:textId="77777777" w:rsidTr="000556AB">
        <w:trPr>
          <w:cantSplit/>
        </w:trPr>
        <w:tc>
          <w:tcPr>
            <w:tcW w:w="4007" w:type="dxa"/>
            <w:vAlign w:val="center"/>
          </w:tcPr>
          <w:p w14:paraId="2099DD1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49C2F6B9" w14:textId="7BD0AB38" w:rsidR="002C7AFE" w:rsidRPr="00EB3D1B" w:rsidRDefault="00CE7B0F" w:rsidP="00CE7B0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674E918" w14:textId="77777777" w:rsidTr="000556AB">
        <w:trPr>
          <w:cantSplit/>
        </w:trPr>
        <w:tc>
          <w:tcPr>
            <w:tcW w:w="4007" w:type="dxa"/>
            <w:vAlign w:val="center"/>
          </w:tcPr>
          <w:p w14:paraId="601BC46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244998BA" w14:textId="05847980" w:rsidR="002C7AFE" w:rsidRPr="00EB3D1B" w:rsidRDefault="00CE7B0F" w:rsidP="00CE7B0F">
            <w:pPr>
              <w:pStyle w:val="Tablefont"/>
              <w:rPr>
                <w:b/>
              </w:rPr>
            </w:pPr>
            <w:r>
              <w:rPr>
                <w:b/>
              </w:rPr>
              <w:t>2 ppm (1.6 mg/</w:t>
            </w:r>
            <w:proofErr w:type="spellStart"/>
            <w:r>
              <w:rPr>
                <w:b/>
              </w:rPr>
              <w:t>m</w:t>
            </w:r>
            <w:r w:rsidRPr="00DE17FB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3A843425" w14:textId="77777777" w:rsidTr="000556AB">
        <w:trPr>
          <w:cantSplit/>
        </w:trPr>
        <w:tc>
          <w:tcPr>
            <w:tcW w:w="4007" w:type="dxa"/>
          </w:tcPr>
          <w:p w14:paraId="3E1F092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47AFB374" w14:textId="77777777" w:rsidR="002C7AFE" w:rsidRPr="00EB3D1B" w:rsidRDefault="0096341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AF19A6E" w14:textId="77777777" w:rsidTr="000556AB">
        <w:trPr>
          <w:cantSplit/>
        </w:trPr>
        <w:tc>
          <w:tcPr>
            <w:tcW w:w="4007" w:type="dxa"/>
            <w:vAlign w:val="center"/>
          </w:tcPr>
          <w:p w14:paraId="7CD14275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9" w:type="dxa"/>
          </w:tcPr>
          <w:p w14:paraId="02EF8C9A" w14:textId="77777777" w:rsidR="002C7AFE" w:rsidRPr="00EB3D1B" w:rsidRDefault="0055004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 ppm</w:t>
            </w:r>
          </w:p>
        </w:tc>
      </w:tr>
      <w:tr w:rsidR="000556AB" w:rsidRPr="004C23F4" w14:paraId="5BC70CCB" w14:textId="77777777" w:rsidTr="00963416">
        <w:trPr>
          <w:cantSplit/>
          <w:trHeight w:val="275"/>
        </w:trPr>
        <w:tc>
          <w:tcPr>
            <w:tcW w:w="9026" w:type="dxa"/>
            <w:gridSpan w:val="2"/>
            <w:vAlign w:val="center"/>
          </w:tcPr>
          <w:p w14:paraId="61BE476D" w14:textId="77777777" w:rsidR="000556AB" w:rsidRPr="00EB3D1B" w:rsidRDefault="000556A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2684CD75EFC4CD0BD571FA2281DF2A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63416" w:rsidRPr="008F074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E42ACA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EE73606" w14:textId="248805A1" w:rsidR="006639B4" w:rsidRDefault="00F53800" w:rsidP="000C139A">
      <w:pPr>
        <w:rPr>
          <w:rFonts w:cs="Arial"/>
        </w:rPr>
      </w:pPr>
      <w:r>
        <w:rPr>
          <w:rFonts w:cs="Arial"/>
        </w:rPr>
        <w:t>A TWA of 0.5 ppm</w:t>
      </w:r>
      <w:r w:rsidR="00ED4EC4">
        <w:rPr>
          <w:rFonts w:cs="Arial"/>
        </w:rPr>
        <w:t xml:space="preserve"> (0.4 mg/</w:t>
      </w:r>
      <w:proofErr w:type="spellStart"/>
      <w:r w:rsidR="00ED4EC4">
        <w:rPr>
          <w:rFonts w:cs="Arial"/>
        </w:rPr>
        <w:t>m</w:t>
      </w:r>
      <w:r w:rsidR="00ED4EC4" w:rsidRPr="00CA424A">
        <w:rPr>
          <w:rFonts w:cs="Arial"/>
          <w:vertAlign w:val="superscript"/>
        </w:rPr>
        <w:t>3</w:t>
      </w:r>
      <w:proofErr w:type="spellEnd"/>
      <w:r w:rsidR="00ED4EC4">
        <w:rPr>
          <w:rFonts w:cs="Arial"/>
        </w:rPr>
        <w:t>)</w:t>
      </w:r>
      <w:r>
        <w:rPr>
          <w:rFonts w:cs="Arial"/>
        </w:rPr>
        <w:t xml:space="preserve"> is recommended to protect for </w:t>
      </w:r>
      <w:r w:rsidR="00A63A9A">
        <w:rPr>
          <w:rFonts w:cs="Arial"/>
        </w:rPr>
        <w:t xml:space="preserve">eye, skin and respiratory tract irritation </w:t>
      </w:r>
      <w:r>
        <w:rPr>
          <w:rFonts w:cs="Arial"/>
        </w:rPr>
        <w:t>and to reduce the risk</w:t>
      </w:r>
      <w:r w:rsidR="00D839B6">
        <w:rPr>
          <w:rFonts w:cs="Arial"/>
        </w:rPr>
        <w:t xml:space="preserve"> of</w:t>
      </w:r>
      <w:r>
        <w:rPr>
          <w:rFonts w:cs="Arial"/>
        </w:rPr>
        <w:t xml:space="preserve"> skeletal fluorosis in exposed workers.</w:t>
      </w:r>
    </w:p>
    <w:p w14:paraId="6710619D" w14:textId="08E1C5D1" w:rsidR="00F53800" w:rsidRPr="004C23F4" w:rsidRDefault="00F53800" w:rsidP="000C139A">
      <w:pPr>
        <w:rPr>
          <w:rFonts w:cs="Arial"/>
        </w:rPr>
      </w:pPr>
      <w:r>
        <w:rPr>
          <w:rFonts w:cs="Arial"/>
        </w:rPr>
        <w:t>A peak limitation of 2 ppm</w:t>
      </w:r>
      <w:r w:rsidR="005F593B">
        <w:rPr>
          <w:rFonts w:cs="Arial"/>
        </w:rPr>
        <w:t xml:space="preserve"> (1.6 mg/</w:t>
      </w:r>
      <w:proofErr w:type="spellStart"/>
      <w:r w:rsidR="005F593B">
        <w:rPr>
          <w:rFonts w:cs="Arial"/>
        </w:rPr>
        <w:t>m</w:t>
      </w:r>
      <w:r w:rsidR="005F593B" w:rsidRPr="00CA424A">
        <w:rPr>
          <w:rFonts w:cs="Arial"/>
          <w:vertAlign w:val="superscript"/>
        </w:rPr>
        <w:t>3</w:t>
      </w:r>
      <w:proofErr w:type="spellEnd"/>
      <w:r w:rsidR="005F593B">
        <w:rPr>
          <w:rFonts w:cs="Arial"/>
        </w:rPr>
        <w:t>)</w:t>
      </w:r>
      <w:r>
        <w:rPr>
          <w:rFonts w:cs="Arial"/>
        </w:rPr>
        <w:t xml:space="preserve"> is recommended to protect for </w:t>
      </w:r>
      <w:r w:rsidR="00976466">
        <w:rPr>
          <w:rFonts w:cs="Arial"/>
        </w:rPr>
        <w:t xml:space="preserve">acute </w:t>
      </w:r>
      <w:r>
        <w:rPr>
          <w:rFonts w:cs="Arial"/>
        </w:rPr>
        <w:t xml:space="preserve">respiratory tract damage in </w:t>
      </w:r>
      <w:r w:rsidR="00D839B6">
        <w:rPr>
          <w:rFonts w:cs="Arial"/>
        </w:rPr>
        <w:t>exposed workers</w:t>
      </w:r>
      <w:r w:rsidR="00963416">
        <w:rPr>
          <w:rFonts w:cs="Arial"/>
        </w:rPr>
        <w:t>.</w:t>
      </w:r>
    </w:p>
    <w:p w14:paraId="7A7DB14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306EA8D" w14:textId="371E25DD" w:rsidR="00976466" w:rsidRDefault="00415674" w:rsidP="000A6E91">
      <w:r>
        <w:t xml:space="preserve">Hydrogen fluoride </w:t>
      </w:r>
      <w:r w:rsidR="00BB1BFA">
        <w:t xml:space="preserve">(HF) </w:t>
      </w:r>
      <w:r>
        <w:t>is used in many indust</w:t>
      </w:r>
      <w:r w:rsidR="00D839B6">
        <w:t>rial processes</w:t>
      </w:r>
      <w:r>
        <w:t>, such as production of aluminium, inorganic fluorides, oil alkylation</w:t>
      </w:r>
      <w:r w:rsidR="00505C75">
        <w:t xml:space="preserve"> and</w:t>
      </w:r>
      <w:r w:rsidR="00454B4E">
        <w:t xml:space="preserve"> </w:t>
      </w:r>
      <w:r>
        <w:t>etching of glass and ceramics</w:t>
      </w:r>
      <w:r w:rsidR="00E41FBF">
        <w:t xml:space="preserve">. </w:t>
      </w:r>
    </w:p>
    <w:p w14:paraId="53D0555D" w14:textId="16959F03" w:rsidR="00E41FBF" w:rsidRDefault="00E41FBF" w:rsidP="000A6E91">
      <w:r>
        <w:t xml:space="preserve">The critical effects </w:t>
      </w:r>
      <w:r w:rsidR="00976466">
        <w:t>of</w:t>
      </w:r>
      <w:r>
        <w:t xml:space="preserve"> exposure include irritation of the respiratory system, eyes and skin </w:t>
      </w:r>
      <w:r w:rsidR="000A6E91">
        <w:t xml:space="preserve">and </w:t>
      </w:r>
      <w:r>
        <w:t>skeletal fluorosis</w:t>
      </w:r>
      <w:r w:rsidR="000A6E91">
        <w:t xml:space="preserve">. </w:t>
      </w:r>
      <w:r w:rsidR="00BB1BFA">
        <w:t>HF</w:t>
      </w:r>
      <w:r w:rsidR="000A6E91">
        <w:t xml:space="preserve"> is reported to be corrosive</w:t>
      </w:r>
      <w:r>
        <w:t xml:space="preserve">. Volunteers exposed </w:t>
      </w:r>
      <w:r w:rsidR="00C36467">
        <w:t xml:space="preserve">at </w:t>
      </w:r>
      <w:r>
        <w:t xml:space="preserve">2.59 ppm for </w:t>
      </w:r>
      <w:r w:rsidR="005C4B95">
        <w:t>six</w:t>
      </w:r>
      <w:r>
        <w:t xml:space="preserve"> h</w:t>
      </w:r>
      <w:r w:rsidR="002C5C55">
        <w:t xml:space="preserve">ours a day for </w:t>
      </w:r>
      <w:r>
        <w:t xml:space="preserve">over </w:t>
      </w:r>
      <w:r w:rsidR="00BB1BFA">
        <w:t>25</w:t>
      </w:r>
      <w:r w:rsidR="00963416">
        <w:t xml:space="preserve"> </w:t>
      </w:r>
      <w:r>
        <w:t>days demonstrated symptoms of irritation in the upper respiratory tract and erythema on the facial skin</w:t>
      </w:r>
      <w:r w:rsidR="000A6E91">
        <w:t xml:space="preserve"> (</w:t>
      </w:r>
      <w:proofErr w:type="spellStart"/>
      <w:r w:rsidR="000A6E91">
        <w:t>DFG</w:t>
      </w:r>
      <w:proofErr w:type="spellEnd"/>
      <w:r w:rsidR="000A6E91">
        <w:t xml:space="preserve">, 2016). A </w:t>
      </w:r>
      <w:proofErr w:type="spellStart"/>
      <w:r w:rsidR="008F6C10">
        <w:t>NOAEC</w:t>
      </w:r>
      <w:proofErr w:type="spellEnd"/>
      <w:r w:rsidR="008F6C10">
        <w:t xml:space="preserve"> </w:t>
      </w:r>
      <w:r w:rsidR="000A6E91">
        <w:t xml:space="preserve">of 0.9 ppm </w:t>
      </w:r>
      <w:r w:rsidR="00CA424A">
        <w:t>i</w:t>
      </w:r>
      <w:r w:rsidR="000A6E91">
        <w:t xml:space="preserve">s reported in human volunteers for changes in biochemical and cellular indices in bronchoalveolar lavage </w:t>
      </w:r>
      <w:r w:rsidR="00CA424A">
        <w:t xml:space="preserve">(BAL) </w:t>
      </w:r>
      <w:r w:rsidR="000A6E91">
        <w:t xml:space="preserve">fluid. The exposure duration for this study was reported as </w:t>
      </w:r>
      <w:r w:rsidR="005C4B95">
        <w:t>one</w:t>
      </w:r>
      <w:r w:rsidR="000A6E91">
        <w:t xml:space="preserve"> hour.</w:t>
      </w:r>
      <w:r w:rsidR="000556AB">
        <w:t xml:space="preserve"> </w:t>
      </w:r>
      <w:r w:rsidR="000A6E91">
        <w:t xml:space="preserve">In another study, human volunteers were exposed </w:t>
      </w:r>
      <w:r w:rsidR="00CA424A">
        <w:t>at</w:t>
      </w:r>
      <w:r w:rsidR="000A6E91">
        <w:t xml:space="preserve"> 4.7 ppm for </w:t>
      </w:r>
      <w:r w:rsidR="005C4B95">
        <w:t>six</w:t>
      </w:r>
      <w:r w:rsidR="000A6E91">
        <w:t xml:space="preserve"> hours a day for up to </w:t>
      </w:r>
      <w:r w:rsidR="00A90ADD">
        <w:t>50</w:t>
      </w:r>
      <w:r w:rsidR="00963416">
        <w:t xml:space="preserve"> </w:t>
      </w:r>
      <w:r w:rsidR="000A6E91">
        <w:t xml:space="preserve">days. The effects </w:t>
      </w:r>
      <w:r w:rsidR="00BB1BFA">
        <w:t>a</w:t>
      </w:r>
      <w:r w:rsidR="000A6E91">
        <w:t>re reported as tolerable and not severe.</w:t>
      </w:r>
      <w:r w:rsidR="0050617B">
        <w:t xml:space="preserve"> In humans, e</w:t>
      </w:r>
      <w:r w:rsidR="000A6E91">
        <w:t xml:space="preserve">xposure </w:t>
      </w:r>
      <w:r w:rsidR="00C36467">
        <w:t xml:space="preserve">at </w:t>
      </w:r>
      <w:r w:rsidR="000A6E91">
        <w:t>greater than 3 ppm resulted in redness of the skin and some burning and irritation of the nose and eyes. Rabbits, guinea pigs and pigeons exposed at 3</w:t>
      </w:r>
      <w:r w:rsidR="00A90ADD">
        <w:t> </w:t>
      </w:r>
      <w:r w:rsidR="000A6E91">
        <w:t>ppm for 30 days demonstrated no injurious effects (</w:t>
      </w:r>
      <w:proofErr w:type="spellStart"/>
      <w:r w:rsidR="000A6E91">
        <w:t>ACGIH</w:t>
      </w:r>
      <w:proofErr w:type="spellEnd"/>
      <w:r w:rsidR="000A6E91">
        <w:t>, 2018).</w:t>
      </w:r>
    </w:p>
    <w:p w14:paraId="1135B1BC" w14:textId="38A1F923" w:rsidR="00BB1BFA" w:rsidRDefault="000A6E91" w:rsidP="006639B4">
      <w:r>
        <w:t xml:space="preserve">Based on </w:t>
      </w:r>
      <w:r w:rsidR="00932292">
        <w:t xml:space="preserve">the </w:t>
      </w:r>
      <w:proofErr w:type="spellStart"/>
      <w:r w:rsidR="00932292">
        <w:t>NOAEC</w:t>
      </w:r>
      <w:proofErr w:type="spellEnd"/>
      <w:r w:rsidR="00932292">
        <w:t xml:space="preserve"> of 0.9 ppm</w:t>
      </w:r>
      <w:r w:rsidR="00BB1BFA">
        <w:t>,</w:t>
      </w:r>
      <w:r w:rsidR="00932292">
        <w:t xml:space="preserve"> </w:t>
      </w:r>
      <w:proofErr w:type="spellStart"/>
      <w:r w:rsidR="00454B4E">
        <w:t>ACGIH</w:t>
      </w:r>
      <w:proofErr w:type="spellEnd"/>
      <w:r w:rsidR="00454B4E">
        <w:t xml:space="preserve"> derived </w:t>
      </w:r>
      <w:r>
        <w:t xml:space="preserve">a </w:t>
      </w:r>
      <w:r w:rsidR="00CB7E58">
        <w:t>TLV-</w:t>
      </w:r>
      <w:r>
        <w:t>TWA of 0.5</w:t>
      </w:r>
      <w:r w:rsidR="00CE7B0F">
        <w:t xml:space="preserve"> ppm </w:t>
      </w:r>
      <w:r w:rsidR="00CE7B0F">
        <w:rPr>
          <w:rFonts w:cs="Arial"/>
        </w:rPr>
        <w:t>(0.4 mg/</w:t>
      </w:r>
      <w:proofErr w:type="spellStart"/>
      <w:r w:rsidR="00CE7B0F">
        <w:rPr>
          <w:rFonts w:cs="Arial"/>
        </w:rPr>
        <w:t>m</w:t>
      </w:r>
      <w:r w:rsidR="00CE7B0F" w:rsidRPr="00DE17FB">
        <w:rPr>
          <w:rFonts w:cs="Arial"/>
          <w:vertAlign w:val="superscript"/>
        </w:rPr>
        <w:t>3</w:t>
      </w:r>
      <w:proofErr w:type="spellEnd"/>
      <w:r w:rsidR="00CE7B0F">
        <w:rPr>
          <w:rFonts w:cs="Arial"/>
        </w:rPr>
        <w:t xml:space="preserve">) </w:t>
      </w:r>
      <w:r w:rsidR="00454B4E">
        <w:rPr>
          <w:rFonts w:cs="Arial"/>
        </w:rPr>
        <w:t xml:space="preserve">which is recommended to be adopted (derivation not reported). Given the evidence of </w:t>
      </w:r>
      <w:r w:rsidR="00454B4E">
        <w:t>irritation at concentrations greater than 3 ppm</w:t>
      </w:r>
      <w:r w:rsidR="00CB7E58">
        <w:t xml:space="preserve"> and the outcome</w:t>
      </w:r>
      <w:r w:rsidR="00454B4E">
        <w:t>,</w:t>
      </w:r>
      <w:r w:rsidR="00CB7E58">
        <w:t xml:space="preserve"> it is likely that </w:t>
      </w:r>
      <w:proofErr w:type="spellStart"/>
      <w:r w:rsidR="00CB7E58">
        <w:t>ACGIH</w:t>
      </w:r>
      <w:proofErr w:type="spellEnd"/>
      <w:r w:rsidR="00CB7E58">
        <w:t xml:space="preserve"> divided the </w:t>
      </w:r>
      <w:proofErr w:type="spellStart"/>
      <w:r w:rsidR="00CB7E58">
        <w:t>NOAEC</w:t>
      </w:r>
      <w:proofErr w:type="spellEnd"/>
      <w:r w:rsidR="00CB7E58">
        <w:t xml:space="preserve"> by a factor of two.</w:t>
      </w:r>
      <w:r w:rsidR="00BB1BFA">
        <w:t xml:space="preserve"> </w:t>
      </w:r>
      <w:r w:rsidR="00CB7E58">
        <w:t xml:space="preserve">This TWA </w:t>
      </w:r>
      <w:r>
        <w:t>is considered sufficiently low to protect for irritation in exposed workers</w:t>
      </w:r>
      <w:r w:rsidR="00CB7E58">
        <w:t xml:space="preserve"> and to</w:t>
      </w:r>
      <w:r>
        <w:t xml:space="preserve"> reduce the risk of skeletal fluorosis. </w:t>
      </w:r>
    </w:p>
    <w:p w14:paraId="7A67A108" w14:textId="38DF7833" w:rsidR="00E41FBF" w:rsidRPr="004C23F4" w:rsidRDefault="000A6E91" w:rsidP="006639B4">
      <w:pPr>
        <w:rPr>
          <w:rFonts w:cs="Arial"/>
        </w:rPr>
      </w:pPr>
      <w:r>
        <w:lastRenderedPageBreak/>
        <w:t xml:space="preserve">Given the corrosive nature of </w:t>
      </w:r>
      <w:r w:rsidR="00BB1BFA">
        <w:t>HF</w:t>
      </w:r>
      <w:r>
        <w:t>, a peak limitation of 2 ppm</w:t>
      </w:r>
      <w:r w:rsidR="00CE7B0F">
        <w:t xml:space="preserve"> </w:t>
      </w:r>
      <w:r w:rsidR="00CE7B0F">
        <w:rPr>
          <w:rFonts w:cs="Arial"/>
        </w:rPr>
        <w:t>(1.6 mg/</w:t>
      </w:r>
      <w:proofErr w:type="spellStart"/>
      <w:r w:rsidR="00CE7B0F">
        <w:rPr>
          <w:rFonts w:cs="Arial"/>
        </w:rPr>
        <w:t>m</w:t>
      </w:r>
      <w:r w:rsidR="00CE7B0F" w:rsidRPr="00DE17FB">
        <w:rPr>
          <w:rFonts w:cs="Arial"/>
          <w:vertAlign w:val="superscript"/>
        </w:rPr>
        <w:t>3</w:t>
      </w:r>
      <w:proofErr w:type="spellEnd"/>
      <w:r w:rsidR="00CE7B0F">
        <w:rPr>
          <w:rFonts w:cs="Arial"/>
        </w:rPr>
        <w:t>)</w:t>
      </w:r>
      <w:r>
        <w:t xml:space="preserve"> is recommended to protect for severe </w:t>
      </w:r>
      <w:r w:rsidR="00693188">
        <w:t xml:space="preserve">and acute </w:t>
      </w:r>
      <w:r>
        <w:t>damage to the respiratory tract in</w:t>
      </w:r>
      <w:r w:rsidR="00CE7B0F">
        <w:t xml:space="preserve"> </w:t>
      </w:r>
      <w:r>
        <w:t>exposed workers.</w:t>
      </w:r>
    </w:p>
    <w:p w14:paraId="74999E5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45CB2A5" w14:textId="77777777" w:rsidR="00127641" w:rsidRPr="000A6E91" w:rsidRDefault="00127641" w:rsidP="00127641">
      <w:pPr>
        <w:rPr>
          <w:rFonts w:cs="Arial"/>
        </w:rPr>
      </w:pPr>
      <w:r w:rsidRPr="000A6E91">
        <w:rPr>
          <w:rFonts w:cs="Arial"/>
        </w:rPr>
        <w:t xml:space="preserve">Not classified as a carcinogen according to the Globally Harmonized System of Classification and Labelling </w:t>
      </w:r>
      <w:r w:rsidR="005C4B95" w:rsidRPr="000A6E91">
        <w:rPr>
          <w:rFonts w:cs="Arial"/>
        </w:rPr>
        <w:t>o</w:t>
      </w:r>
      <w:r w:rsidR="005C4B95">
        <w:rPr>
          <w:rFonts w:cs="Arial"/>
        </w:rPr>
        <w:t>f</w:t>
      </w:r>
      <w:r w:rsidR="005C4B95" w:rsidRPr="000A6E91">
        <w:rPr>
          <w:rFonts w:cs="Arial"/>
        </w:rPr>
        <w:t xml:space="preserve"> </w:t>
      </w:r>
      <w:r w:rsidRPr="000A6E91">
        <w:rPr>
          <w:rFonts w:cs="Arial"/>
        </w:rPr>
        <w:t xml:space="preserve">Chemicals (GHS). </w:t>
      </w:r>
    </w:p>
    <w:p w14:paraId="333E3697" w14:textId="77777777" w:rsidR="00127641" w:rsidRPr="000A6E91" w:rsidRDefault="00127641" w:rsidP="00127641">
      <w:pPr>
        <w:rPr>
          <w:rFonts w:cs="Arial"/>
        </w:rPr>
      </w:pPr>
      <w:r w:rsidRPr="000A6E91">
        <w:rPr>
          <w:rFonts w:cs="Arial"/>
        </w:rPr>
        <w:t xml:space="preserve">Not classified as a skin </w:t>
      </w:r>
      <w:r w:rsidR="005C4B95" w:rsidRPr="000A6E91">
        <w:rPr>
          <w:rFonts w:cs="Arial"/>
        </w:rPr>
        <w:t xml:space="preserve">sensitiser </w:t>
      </w:r>
      <w:r w:rsidRPr="000A6E91">
        <w:rPr>
          <w:rFonts w:cs="Arial"/>
        </w:rPr>
        <w:t>or respiratory sensitiser according to the GHS.</w:t>
      </w:r>
    </w:p>
    <w:p w14:paraId="74C0FFBE" w14:textId="77777777" w:rsidR="004529F0" w:rsidRPr="004C23F4" w:rsidRDefault="00F53800" w:rsidP="00127641">
      <w:pPr>
        <w:rPr>
          <w:rFonts w:cs="Arial"/>
        </w:rPr>
      </w:pPr>
      <w:r>
        <w:rPr>
          <w:rFonts w:cs="Arial"/>
        </w:rPr>
        <w:t>A skin notation is recommended based on evidence of dermal uptake and systemic effects in humans.</w:t>
      </w:r>
    </w:p>
    <w:p w14:paraId="2B200167" w14:textId="77777777" w:rsidR="0025734A" w:rsidRPr="004C23F4" w:rsidRDefault="0025734A">
      <w:pPr>
        <w:rPr>
          <w:rFonts w:cs="Arial"/>
        </w:rPr>
      </w:pPr>
    </w:p>
    <w:p w14:paraId="05E29D1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1B2536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1375A0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FDBF591" w14:textId="77777777" w:rsidTr="00CA424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385D22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67151D9" w14:textId="77777777" w:rsidTr="00CA424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468758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90F0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F0743">
                  <w:t>Peak limitation</w:t>
                </w:r>
                <w:r w:rsidR="00D90F0E">
                  <w:t>: 3 ppm, (2.6 mg/</w:t>
                </w:r>
                <w:proofErr w:type="spellStart"/>
                <w:r w:rsidR="00D90F0E">
                  <w:t>m</w:t>
                </w:r>
                <w:r w:rsidR="00D90F0E" w:rsidRPr="00D90F0E">
                  <w:rPr>
                    <w:vertAlign w:val="superscript"/>
                  </w:rPr>
                  <w:t>3</w:t>
                </w:r>
                <w:proofErr w:type="spellEnd"/>
                <w:r w:rsidR="00D90F0E">
                  <w:t>)</w:t>
                </w:r>
              </w:sdtContent>
            </w:sdt>
            <w:r w:rsidR="008F0743">
              <w:t xml:space="preserve"> as F</w:t>
            </w:r>
          </w:p>
        </w:tc>
      </w:tr>
      <w:tr w:rsidR="00C978F0" w:rsidRPr="00DA352E" w14:paraId="0C89809A" w14:textId="77777777" w:rsidTr="00CA424A">
        <w:trPr>
          <w:gridAfter w:val="1"/>
          <w:wAfter w:w="8" w:type="pct"/>
        </w:trPr>
        <w:tc>
          <w:tcPr>
            <w:tcW w:w="4992" w:type="pct"/>
          </w:tcPr>
          <w:p w14:paraId="345DC63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121B729" w14:textId="77777777" w:rsidTr="00CA42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21740E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92DA8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92DA8">
                  <w:t>TLV-TWA: 0.5 ppm, as F; TLV-Ceiling</w:t>
                </w:r>
                <w:r w:rsidR="002F1926">
                  <w:t>:</w:t>
                </w:r>
                <w:r w:rsidR="00B92DA8">
                  <w:t xml:space="preserve"> 2 ppm, as F</w:t>
                </w:r>
              </w:sdtContent>
            </w:sdt>
          </w:p>
        </w:tc>
      </w:tr>
      <w:tr w:rsidR="00C978F0" w:rsidRPr="00DA352E" w14:paraId="1F93FB8E" w14:textId="77777777" w:rsidTr="00CA424A">
        <w:trPr>
          <w:gridAfter w:val="1"/>
          <w:wAfter w:w="8" w:type="pct"/>
        </w:trPr>
        <w:tc>
          <w:tcPr>
            <w:tcW w:w="4992" w:type="pct"/>
          </w:tcPr>
          <w:p w14:paraId="257C602F" w14:textId="5BE3D9FE" w:rsidR="00C978F0" w:rsidRDefault="00652341" w:rsidP="005C4B95">
            <w:pPr>
              <w:pStyle w:val="Tabletextprimarysource"/>
            </w:pPr>
            <w:r>
              <w:t>TLV-TWA recommended to minimise the potential for adverse effects in the respiratory tract, dermal or skeletal fluorosis and irritation of the eyes and skin.</w:t>
            </w:r>
          </w:p>
          <w:p w14:paraId="2F82BF12" w14:textId="77777777" w:rsidR="00652341" w:rsidRDefault="00652341" w:rsidP="005C4B95">
            <w:pPr>
              <w:pStyle w:val="Tabletextprimarysource"/>
            </w:pPr>
            <w:r>
              <w:t>Ceiling recommended due to corrosive nature</w:t>
            </w:r>
            <w:r w:rsidR="008D4EBC">
              <w:t xml:space="preserve"> and to protect for lung damage</w:t>
            </w:r>
            <w:r>
              <w:t>.</w:t>
            </w:r>
          </w:p>
          <w:p w14:paraId="45E8E0C4" w14:textId="77777777" w:rsidR="00652341" w:rsidRDefault="00652341" w:rsidP="005C4B95">
            <w:pPr>
              <w:pStyle w:val="Tabletextprimarysource"/>
            </w:pPr>
            <w:r>
              <w:t>Summary of data:</w:t>
            </w:r>
          </w:p>
          <w:p w14:paraId="1203A722" w14:textId="77777777" w:rsidR="00652341" w:rsidRDefault="00652341" w:rsidP="00A15D5C">
            <w:pPr>
              <w:pStyle w:val="Tabletextprimarysource"/>
            </w:pPr>
            <w:r>
              <w:t>Human data:</w:t>
            </w:r>
          </w:p>
          <w:p w14:paraId="312F745B" w14:textId="5A4EE9CF" w:rsidR="00976466" w:rsidRDefault="00652341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Human volunteers exposed </w:t>
            </w:r>
            <w:r w:rsidR="00585829">
              <w:t xml:space="preserve">at </w:t>
            </w:r>
            <w:r w:rsidR="00CB7E58">
              <w:t>2.6-</w:t>
            </w:r>
            <w:r>
              <w:t>4.7 ppm 6 h/d, for 10</w:t>
            </w:r>
            <w:r w:rsidR="000A3A3E">
              <w:t>–</w:t>
            </w:r>
            <w:r>
              <w:t>50 d</w:t>
            </w:r>
            <w:r w:rsidR="00A90ADD">
              <w:t>:</w:t>
            </w:r>
          </w:p>
          <w:p w14:paraId="048F98F6" w14:textId="1B709161" w:rsidR="00976466" w:rsidRDefault="00652341" w:rsidP="00CA424A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tolerable without severe adverse effects</w:t>
            </w:r>
          </w:p>
          <w:p w14:paraId="13EBB6F0" w14:textId="55EAD190" w:rsidR="00652341" w:rsidRDefault="008F0743" w:rsidP="00CA424A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exposure </w:t>
            </w:r>
            <w:r w:rsidR="00976466">
              <w:t xml:space="preserve">at </w:t>
            </w:r>
            <w:r>
              <w:t>&gt;</w:t>
            </w:r>
            <w:r w:rsidR="00E5483F">
              <w:t>3 ppm resulted in redness of skin and some burning and irritation of the nose and eyes</w:t>
            </w:r>
          </w:p>
          <w:p w14:paraId="54D5D70C" w14:textId="76832848" w:rsidR="00652341" w:rsidRDefault="00652341" w:rsidP="00CA424A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</w:t>
            </w:r>
            <w:r w:rsidR="008F6C10">
              <w:t>C</w:t>
            </w:r>
            <w:proofErr w:type="spellEnd"/>
            <w:r>
              <w:t xml:space="preserve"> of 0.6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E41FBF">
              <w:t>(0.9</w:t>
            </w:r>
            <w:r>
              <w:t xml:space="preserve"> ppm) in human volunteers; 1</w:t>
            </w:r>
            <w:r w:rsidR="005C4B95">
              <w:t xml:space="preserve"> </w:t>
            </w:r>
            <w:r>
              <w:t xml:space="preserve">h exposure; changes in biochemical and cellular indices in </w:t>
            </w:r>
            <w:r w:rsidR="00CA424A">
              <w:t>BAL</w:t>
            </w:r>
            <w:r>
              <w:t xml:space="preserve"> fluid</w:t>
            </w:r>
          </w:p>
          <w:p w14:paraId="2AA7DA9A" w14:textId="77777777" w:rsidR="00652341" w:rsidRDefault="00CC0BE3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reports of accidental combine</w:t>
            </w:r>
            <w:r w:rsidR="003B011E">
              <w:t>d</w:t>
            </w:r>
            <w:r>
              <w:t xml:space="preserve"> inhalation and dermal exposure resulting </w:t>
            </w:r>
            <w:r w:rsidR="003B011E">
              <w:t xml:space="preserve">in </w:t>
            </w:r>
            <w:r>
              <w:t>systemic effects such as cardiac arrhythmias, hypocalcaemia and hypomagnesemia in addition to fatal pulmonary oedema</w:t>
            </w:r>
          </w:p>
          <w:p w14:paraId="047A075D" w14:textId="649F8BE0" w:rsidR="00CC0BE3" w:rsidRDefault="00CC0BE3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Elevated bone </w:t>
            </w:r>
            <w:r w:rsidR="00BB1BFA">
              <w:t>F</w:t>
            </w:r>
            <w:r>
              <w:t xml:space="preserve"> measurements reported in a worker exposed for</w:t>
            </w:r>
            <w:r w:rsidR="008F0743">
              <w:t xml:space="preserve"> 10 </w:t>
            </w:r>
            <w:proofErr w:type="gramStart"/>
            <w:r w:rsidR="008F0743">
              <w:t>yr;</w:t>
            </w:r>
            <w:proofErr w:type="gramEnd"/>
            <w:r w:rsidR="008F0743">
              <w:t xml:space="preserve"> no further information</w:t>
            </w:r>
          </w:p>
          <w:p w14:paraId="58791DDA" w14:textId="57C600B1" w:rsidR="00CC0BE3" w:rsidRDefault="00CC0BE3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skeletal fluorosis in fo</w:t>
            </w:r>
            <w:r w:rsidR="008F0743">
              <w:t>u</w:t>
            </w:r>
            <w:r>
              <w:t xml:space="preserve">r workers exposed to a mixture of </w:t>
            </w:r>
            <w:r w:rsidR="00BB1BFA">
              <w:t>HF</w:t>
            </w:r>
            <w:r>
              <w:t xml:space="preserve"> and fluorides</w:t>
            </w:r>
          </w:p>
          <w:p w14:paraId="397B0E56" w14:textId="77777777" w:rsidR="00CC0BE3" w:rsidRDefault="00CC0BE3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significant changes in pulmonary function found following occupational exposure average of 1.03 ppm</w:t>
            </w:r>
          </w:p>
          <w:p w14:paraId="40E1C06D" w14:textId="7FDA1DE5" w:rsidR="00CC0BE3" w:rsidRDefault="00CC0BE3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Threshold for minimal increases (Grade I) in bone density (fluorosis)</w:t>
            </w:r>
            <w:r w:rsidR="008F0743">
              <w:t xml:space="preserve"> &lt;</w:t>
            </w:r>
            <w:r>
              <w:t>3.38 mg/</w:t>
            </w:r>
            <w:proofErr w:type="spellStart"/>
            <w:r>
              <w:t>m</w:t>
            </w:r>
            <w:r w:rsidRPr="00CC0BE3">
              <w:rPr>
                <w:vertAlign w:val="superscript"/>
              </w:rPr>
              <w:t>3</w:t>
            </w:r>
            <w:proofErr w:type="spellEnd"/>
            <w:r w:rsidR="006F08C3">
              <w:t xml:space="preserve"> (4.3</w:t>
            </w:r>
            <w:r w:rsidR="00054512">
              <w:t> </w:t>
            </w:r>
            <w:r w:rsidR="006F08C3">
              <w:t xml:space="preserve">ppm); </w:t>
            </w:r>
            <w:r>
              <w:t xml:space="preserve">Grade I fluorosis </w:t>
            </w:r>
            <w:r w:rsidR="006F08C3">
              <w:t>results in no medically recognis</w:t>
            </w:r>
            <w:r>
              <w:t>ed dysfunction</w:t>
            </w:r>
            <w:r w:rsidR="008F0743">
              <w:t>.</w:t>
            </w:r>
          </w:p>
          <w:p w14:paraId="2F9FDE81" w14:textId="77777777" w:rsidR="00251541" w:rsidRDefault="00251541" w:rsidP="005C4B95">
            <w:pPr>
              <w:pStyle w:val="Tabletextprimarysource"/>
            </w:pPr>
            <w:r>
              <w:t>Animal data:</w:t>
            </w:r>
          </w:p>
          <w:p w14:paraId="2327CA97" w14:textId="567496C4" w:rsidR="00251541" w:rsidRDefault="00251541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of brief exposures being able to produce severe injury in test animals; mucous membrane irritation, respiratory distress, corneal opacity, erythema of exposed skin, pulmonary congestion, intra</w:t>
            </w:r>
            <w:r w:rsidR="00374F10">
              <w:t>-</w:t>
            </w:r>
            <w:r>
              <w:t xml:space="preserve">alveolar oedema, thymic </w:t>
            </w:r>
            <w:r w:rsidR="00054512">
              <w:t>haemorrhage</w:t>
            </w:r>
            <w:r>
              <w:t xml:space="preserve"> and death</w:t>
            </w:r>
          </w:p>
          <w:p w14:paraId="4893C085" w14:textId="77777777" w:rsidR="00A24EA0" w:rsidRDefault="00A24EA0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Lethal to guinea pi</w:t>
            </w:r>
            <w:r w:rsidR="008F0743">
              <w:t>gs and rabbits; 300 ppm for 2 h</w:t>
            </w:r>
          </w:p>
          <w:p w14:paraId="674D9AF6" w14:textId="77777777" w:rsidR="00A24EA0" w:rsidRDefault="00A24EA0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Animals tolerated repeated daily exposures of 8.6 ppm 6 h/d for 30 </w:t>
            </w:r>
            <w:proofErr w:type="gramStart"/>
            <w:r>
              <w:t>d;</w:t>
            </w:r>
            <w:proofErr w:type="gramEnd"/>
            <w:r>
              <w:t xml:space="preserve"> mild irritation effects</w:t>
            </w:r>
          </w:p>
          <w:p w14:paraId="273EB7BE" w14:textId="51C8C953" w:rsidR="00A24EA0" w:rsidRDefault="008D4EBC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A24EA0">
              <w:t xml:space="preserve">abbits, guinea pigs and pigeons exposed </w:t>
            </w:r>
            <w:r>
              <w:t>at 3 ppm for 30 d demonstrated no injurious effects</w:t>
            </w:r>
            <w:r w:rsidR="005C4B95">
              <w:t>.</w:t>
            </w:r>
          </w:p>
          <w:p w14:paraId="2C1BCED7" w14:textId="77777777" w:rsidR="00BA7C22" w:rsidRDefault="00BA7C22" w:rsidP="005C4B95">
            <w:pPr>
              <w:pStyle w:val="Tabletextprimarysource"/>
            </w:pPr>
          </w:p>
          <w:p w14:paraId="41DAC747" w14:textId="77777777" w:rsidR="008D4EBC" w:rsidRDefault="00585B7E" w:rsidP="005C4B95">
            <w:pPr>
              <w:pStyle w:val="Tabletextprimarysource"/>
            </w:pPr>
            <w:r w:rsidRPr="008F0743">
              <w:t xml:space="preserve">Insufficient data to recommend a </w:t>
            </w:r>
            <w:r w:rsidR="008F0743" w:rsidRPr="008F0743">
              <w:t>sensitiser</w:t>
            </w:r>
            <w:r w:rsidRPr="008F0743">
              <w:t xml:space="preserve"> or carcinogenicity notation.</w:t>
            </w:r>
          </w:p>
          <w:p w14:paraId="011BB8FA" w14:textId="77777777" w:rsidR="00054512" w:rsidRPr="00DA352E" w:rsidRDefault="00054512" w:rsidP="005C4B95">
            <w:pPr>
              <w:pStyle w:val="Tabletextprimarysource"/>
            </w:pPr>
          </w:p>
        </w:tc>
      </w:tr>
      <w:tr w:rsidR="00C978F0" w:rsidRPr="00DA352E" w14:paraId="54AF47E3" w14:textId="77777777" w:rsidTr="00CA42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263AE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F1926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F1926">
                  <w:t xml:space="preserve">MAK: </w:t>
                </w:r>
                <w:r w:rsidR="00661391">
                  <w:t>1 ppm (0.83 mg/</w:t>
                </w:r>
                <w:proofErr w:type="spellStart"/>
                <w:r w:rsidR="00661391">
                  <w:t>m</w:t>
                </w:r>
                <w:r w:rsidR="00661391" w:rsidRPr="00661391">
                  <w:rPr>
                    <w:vertAlign w:val="superscript"/>
                  </w:rPr>
                  <w:t>3</w:t>
                </w:r>
                <w:proofErr w:type="spellEnd"/>
                <w:r w:rsidR="00661391">
                  <w:t>)</w:t>
                </w:r>
              </w:sdtContent>
            </w:sdt>
          </w:p>
        </w:tc>
      </w:tr>
      <w:tr w:rsidR="00C978F0" w:rsidRPr="00DA352E" w14:paraId="3B71BF3E" w14:textId="77777777" w:rsidTr="00CA424A">
        <w:trPr>
          <w:gridAfter w:val="1"/>
          <w:wAfter w:w="8" w:type="pct"/>
        </w:trPr>
        <w:tc>
          <w:tcPr>
            <w:tcW w:w="4992" w:type="pct"/>
          </w:tcPr>
          <w:p w14:paraId="6365B0FB" w14:textId="77777777" w:rsidR="00C978F0" w:rsidRDefault="00585B7E" w:rsidP="005C4B95">
            <w:pPr>
              <w:pStyle w:val="Tabletextprimarysource"/>
            </w:pPr>
            <w:r>
              <w:t>Summary of additional data:</w:t>
            </w:r>
          </w:p>
          <w:p w14:paraId="4F4389B7" w14:textId="77777777" w:rsidR="005E3D2B" w:rsidRDefault="005E3D2B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2001 MAK of 2 ppm based on following evidence:</w:t>
            </w:r>
          </w:p>
          <w:p w14:paraId="6D0706F9" w14:textId="2A49A93C" w:rsidR="00585B7E" w:rsidRDefault="00054512" w:rsidP="00CA424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v</w:t>
            </w:r>
            <w:r w:rsidR="005E3D2B">
              <w:t xml:space="preserve">olunteers exposed </w:t>
            </w:r>
            <w:r w:rsidR="00585829">
              <w:t xml:space="preserve">at </w:t>
            </w:r>
            <w:r w:rsidR="005E3D2B">
              <w:t xml:space="preserve">2.59 ppm for 6 h/d over 25 d or </w:t>
            </w:r>
            <w:r w:rsidR="005E3D2B">
              <w:rPr>
                <w:rFonts w:cs="Arial"/>
              </w:rPr>
              <w:t>≥</w:t>
            </w:r>
            <w:r w:rsidR="005E3D2B">
              <w:t>3.0 ppm for 1</w:t>
            </w:r>
            <w:r w:rsidR="00585B7E">
              <w:t xml:space="preserve"> h </w:t>
            </w:r>
            <w:r w:rsidR="005E3D2B">
              <w:t xml:space="preserve">demonstrated symptoms of irritation in </w:t>
            </w:r>
            <w:r w:rsidR="00585B7E">
              <w:t>the upper respiratory tract and erythema on the facial sk</w:t>
            </w:r>
            <w:r w:rsidR="005E3D2B">
              <w:t>in</w:t>
            </w:r>
            <w:r w:rsidR="00BB1BFA">
              <w:t>.</w:t>
            </w:r>
          </w:p>
          <w:p w14:paraId="41A361F6" w14:textId="77777777" w:rsidR="00BA7C22" w:rsidRDefault="00BA7C22" w:rsidP="008F074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33F1FC99" w14:textId="1363A8BB" w:rsidR="00BA7C22" w:rsidRDefault="005E3D2B" w:rsidP="008F074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reduced to 1 ppm because of systemic effects, </w:t>
            </w:r>
            <w:r>
              <w:rPr>
                <w:rFonts w:cs="Arial"/>
                <w:color w:val="1C1D1E"/>
                <w:shd w:val="clear" w:color="auto" w:fill="FFFFFF"/>
              </w:rPr>
              <w:t>to prevent skeletal fluorosis; no further explanation.</w:t>
            </w:r>
          </w:p>
          <w:p w14:paraId="65745870" w14:textId="77777777" w:rsidR="00A14F25" w:rsidRPr="00CA424A" w:rsidRDefault="00A14F25" w:rsidP="008F074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  <w:rPr>
                <w:rFonts w:cs="Arial"/>
                <w:color w:val="1C1D1E"/>
                <w:shd w:val="clear" w:color="auto" w:fill="FFFFFF"/>
              </w:rPr>
            </w:pPr>
          </w:p>
        </w:tc>
      </w:tr>
      <w:tr w:rsidR="00C978F0" w:rsidRPr="00DA352E" w14:paraId="619C3A4B" w14:textId="77777777" w:rsidTr="00CA42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5C27F5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00B9F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97AE9">
                  <w:t>TWA: 1</w:t>
                </w:r>
                <w:r w:rsidR="00E00B9F">
                  <w:t>.5 mg/</w:t>
                </w:r>
                <w:proofErr w:type="spellStart"/>
                <w:r w:rsidR="00E00B9F">
                  <w:t>m</w:t>
                </w:r>
                <w:r w:rsidR="00E00B9F" w:rsidRPr="00E00B9F">
                  <w:rPr>
                    <w:vertAlign w:val="superscript"/>
                  </w:rPr>
                  <w:t>3</w:t>
                </w:r>
                <w:proofErr w:type="spellEnd"/>
                <w:r w:rsidR="00E16EB1">
                  <w:t>; STEL: 2.5 mg/</w:t>
                </w:r>
                <w:proofErr w:type="spellStart"/>
                <w:r w:rsidR="00E16EB1">
                  <w:t>m</w:t>
                </w:r>
                <w:r w:rsidR="00E16EB1">
                  <w:rPr>
                    <w:vertAlign w:val="superscript"/>
                  </w:rPr>
                  <w:t>3</w:t>
                </w:r>
                <w:proofErr w:type="spellEnd"/>
                <w:r w:rsidR="00E16EB1">
                  <w:t xml:space="preserve"> (3 ppm)</w:t>
                </w:r>
              </w:sdtContent>
            </w:sdt>
          </w:p>
        </w:tc>
      </w:tr>
      <w:tr w:rsidR="00C978F0" w:rsidRPr="00DA352E" w14:paraId="5D5A2E37" w14:textId="77777777" w:rsidTr="00CA424A">
        <w:trPr>
          <w:gridAfter w:val="1"/>
          <w:wAfter w:w="8" w:type="pct"/>
        </w:trPr>
        <w:tc>
          <w:tcPr>
            <w:tcW w:w="4992" w:type="pct"/>
          </w:tcPr>
          <w:p w14:paraId="41753B98" w14:textId="77777777" w:rsidR="00C978F0" w:rsidRDefault="00997AE9" w:rsidP="005C4B95">
            <w:pPr>
              <w:pStyle w:val="Tabletextprimarysource"/>
            </w:pPr>
            <w:r>
              <w:t>Summary of additional data:</w:t>
            </w:r>
          </w:p>
          <w:p w14:paraId="497C02B8" w14:textId="1F5EAA8F" w:rsidR="00585829" w:rsidRDefault="00BB1ACD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 volunteers exposed at 2.6</w:t>
            </w:r>
            <w:r w:rsidR="005C4B95">
              <w:t>–</w:t>
            </w:r>
            <w:r>
              <w:t>4.7 ppm (2.1</w:t>
            </w:r>
            <w:r w:rsidR="005C4B95">
              <w:t>–</w:t>
            </w:r>
            <w:r>
              <w:t>3.9 mg/</w:t>
            </w:r>
            <w:proofErr w:type="spellStart"/>
            <w:r>
              <w:t>m</w:t>
            </w:r>
            <w:r w:rsidRPr="00BB1ACD">
              <w:rPr>
                <w:vertAlign w:val="superscript"/>
              </w:rPr>
              <w:t>3</w:t>
            </w:r>
            <w:proofErr w:type="spellEnd"/>
            <w:r>
              <w:t>) for 6 h/d over 10</w:t>
            </w:r>
            <w:r w:rsidR="00054512">
              <w:t>–</w:t>
            </w:r>
            <w:r>
              <w:t>50 d, showed slight irritation of the facial skin, eyes and nose</w:t>
            </w:r>
          </w:p>
          <w:p w14:paraId="35813824" w14:textId="47E05631" w:rsidR="00BB1ACD" w:rsidRDefault="00BB1ACD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1.42 ppm (1.2 mg/</w:t>
            </w:r>
            <w:proofErr w:type="spellStart"/>
            <w:r>
              <w:t>m</w:t>
            </w:r>
            <w:r w:rsidRPr="00BB1ACD">
              <w:rPr>
                <w:vertAlign w:val="superscript"/>
              </w:rPr>
              <w:t>3</w:t>
            </w:r>
            <w:proofErr w:type="spellEnd"/>
            <w:r>
              <w:t>) considered to have no effects, other than an unpleasant taste in the mouth</w:t>
            </w:r>
          </w:p>
          <w:p w14:paraId="39539B1D" w14:textId="4DA79444" w:rsidR="00997AE9" w:rsidRDefault="00E16EB1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Urinary </w:t>
            </w:r>
            <w:proofErr w:type="spellStart"/>
            <w:r>
              <w:t>NOAEL</w:t>
            </w:r>
            <w:proofErr w:type="spellEnd"/>
            <w:r>
              <w:t xml:space="preserve"> of 8 mg/L </w:t>
            </w:r>
            <w:r w:rsidR="00BB1BFA">
              <w:t xml:space="preserve">F </w:t>
            </w:r>
            <w:r w:rsidR="00BB1ACD">
              <w:t>and</w:t>
            </w:r>
            <w:r>
              <w:t xml:space="preserve"> </w:t>
            </w:r>
            <w:r w:rsidR="00BB1ACD">
              <w:t>consideration</w:t>
            </w:r>
            <w:r>
              <w:t xml:space="preserve"> absorption and kinetics</w:t>
            </w:r>
            <w:r w:rsidR="00BB1ACD">
              <w:t xml:space="preserve"> forms basis of TWA</w:t>
            </w:r>
            <w:r>
              <w:t>; no further information</w:t>
            </w:r>
          </w:p>
          <w:p w14:paraId="57727FCD" w14:textId="0C70D6C2" w:rsidR="00BB1ACD" w:rsidRDefault="00E16EB1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STEL recommended to protect </w:t>
            </w:r>
            <w:r w:rsidR="00E827A1">
              <w:t xml:space="preserve">for </w:t>
            </w:r>
            <w:r>
              <w:t xml:space="preserve">a significant increase in the critical body burden, which could result in fluorosis </w:t>
            </w:r>
          </w:p>
          <w:p w14:paraId="5E9DB443" w14:textId="77777777" w:rsidR="00E16EB1" w:rsidRDefault="00E16EB1" w:rsidP="00CA424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Pungent, irritating odour, which is detectable at about 0.04 ppm (0.03 mg/</w:t>
            </w:r>
            <w:proofErr w:type="spellStart"/>
            <w:r>
              <w:t>m</w:t>
            </w:r>
            <w:r w:rsidRPr="00E16EB1">
              <w:rPr>
                <w:vertAlign w:val="superscript"/>
              </w:rPr>
              <w:t>3</w:t>
            </w:r>
            <w:proofErr w:type="spellEnd"/>
            <w:r>
              <w:t>)</w:t>
            </w:r>
            <w:r w:rsidR="00BB1ACD">
              <w:t>.</w:t>
            </w:r>
          </w:p>
          <w:p w14:paraId="6319518B" w14:textId="77777777" w:rsidR="00BA7C22" w:rsidRPr="00DA352E" w:rsidRDefault="00BA7C22" w:rsidP="00CA424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483CBDD8" w14:textId="77777777" w:rsidTr="00CA42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7ABE35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07C3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07C30">
                  <w:t>NA</w:t>
                </w:r>
                <w:proofErr w:type="spellEnd"/>
              </w:sdtContent>
            </w:sdt>
          </w:p>
        </w:tc>
      </w:tr>
      <w:tr w:rsidR="00DA352E" w:rsidRPr="00DA352E" w14:paraId="43F83AE5" w14:textId="77777777" w:rsidTr="00CA424A">
        <w:trPr>
          <w:gridAfter w:val="1"/>
          <w:wAfter w:w="8" w:type="pct"/>
        </w:trPr>
        <w:tc>
          <w:tcPr>
            <w:tcW w:w="4992" w:type="pct"/>
          </w:tcPr>
          <w:p w14:paraId="5D4BE760" w14:textId="77777777" w:rsidR="00DA352E" w:rsidRPr="00DA352E" w:rsidRDefault="00107C30" w:rsidP="003365A5">
            <w:pPr>
              <w:pStyle w:val="Tabletextprimarysource"/>
            </w:pPr>
            <w:r>
              <w:t>No report</w:t>
            </w:r>
            <w:r w:rsidR="005C4B95">
              <w:t>.</w:t>
            </w:r>
          </w:p>
        </w:tc>
      </w:tr>
      <w:tr w:rsidR="00DA352E" w:rsidRPr="00DA352E" w14:paraId="63F0BA91" w14:textId="77777777" w:rsidTr="00CA424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4F8480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07C30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07C30">
                  <w:t>Not assigned</w:t>
                </w:r>
              </w:sdtContent>
            </w:sdt>
          </w:p>
        </w:tc>
      </w:tr>
      <w:tr w:rsidR="00DA352E" w:rsidRPr="00DA352E" w14:paraId="7A26C0A8" w14:textId="77777777" w:rsidTr="00CA424A">
        <w:trPr>
          <w:gridAfter w:val="1"/>
          <w:wAfter w:w="8" w:type="pct"/>
        </w:trPr>
        <w:tc>
          <w:tcPr>
            <w:tcW w:w="4992" w:type="pct"/>
          </w:tcPr>
          <w:p w14:paraId="25322E16" w14:textId="77777777" w:rsidR="00DA352E" w:rsidRDefault="00BB1ACD" w:rsidP="003365A5">
            <w:pPr>
              <w:pStyle w:val="Tabletextprimarysource"/>
            </w:pPr>
            <w:r>
              <w:t>Summary of additional data:</w:t>
            </w:r>
          </w:p>
          <w:p w14:paraId="111EBA91" w14:textId="77777777" w:rsidR="00BB1ACD" w:rsidRDefault="00BB1ACD" w:rsidP="00CA424A">
            <w:pPr>
              <w:pStyle w:val="ListBullet"/>
              <w:spacing w:before="60" w:after="60"/>
              <w:ind w:left="714" w:hanging="357"/>
              <w:contextualSpacing w:val="0"/>
            </w:pPr>
            <w:r w:rsidRPr="00BB1ACD">
              <w:t>Evaluation of the effects on reproduction</w:t>
            </w:r>
            <w:r>
              <w:t>; no indication of effects on development and fertility</w:t>
            </w:r>
            <w:r w:rsidR="005C4B95">
              <w:t>.</w:t>
            </w:r>
          </w:p>
          <w:p w14:paraId="62E80578" w14:textId="77777777" w:rsidR="00BA7C22" w:rsidRPr="00DA352E" w:rsidRDefault="00BA7C22" w:rsidP="00CA424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3BB9D4B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32DD2F26" w14:textId="77777777" w:rsidTr="00415674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322F2C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EC7DAB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41F4B7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1F9F070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51EDB84" w14:textId="77777777" w:rsidTr="00415674">
        <w:trPr>
          <w:cantSplit/>
        </w:trPr>
        <w:tc>
          <w:tcPr>
            <w:tcW w:w="1498" w:type="dxa"/>
          </w:tcPr>
          <w:p w14:paraId="6A668098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79604578" w14:textId="77777777" w:rsidR="004966BF" w:rsidRPr="00CE617F" w:rsidRDefault="0033750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E065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D560F44" w14:textId="77777777" w:rsidR="004966BF" w:rsidRPr="004C23F4" w:rsidRDefault="003E065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4" w:type="dxa"/>
          </w:tcPr>
          <w:p w14:paraId="69949B83" w14:textId="77777777" w:rsidR="004966BF" w:rsidRPr="004C23F4" w:rsidRDefault="003E0651" w:rsidP="00CA424A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further </w:t>
            </w:r>
            <w:r w:rsidR="003B011E">
              <w:rPr>
                <w:rStyle w:val="checkbox"/>
                <w:rFonts w:ascii="Arial" w:hAnsi="Arial" w:cs="Arial"/>
              </w:rPr>
              <w:t>relevant data</w:t>
            </w:r>
            <w:r w:rsidR="00A15D5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BD8122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DE9A4A2" w14:textId="77777777" w:rsidTr="00415674">
        <w:trPr>
          <w:trHeight w:val="454"/>
          <w:tblHeader/>
        </w:trPr>
        <w:tc>
          <w:tcPr>
            <w:tcW w:w="6603" w:type="dxa"/>
            <w:vAlign w:val="center"/>
          </w:tcPr>
          <w:p w14:paraId="7B3D024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E8E8DFA" w14:textId="77777777" w:rsidR="002E0D61" w:rsidRDefault="0041567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C7D1BA1" w14:textId="77777777" w:rsidTr="0041567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7C24799" w14:textId="77777777" w:rsidR="008A36CF" w:rsidRPr="006901A2" w:rsidRDefault="0041567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341C05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699CEB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A2A58E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59C63E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BB06BF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E324CC7" w14:textId="77777777" w:rsidTr="00812887">
        <w:trPr>
          <w:cantSplit/>
        </w:trPr>
        <w:tc>
          <w:tcPr>
            <w:tcW w:w="3227" w:type="dxa"/>
          </w:tcPr>
          <w:p w14:paraId="15A1EAB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FB642EC" w14:textId="77777777" w:rsidR="00687890" w:rsidRPr="00DD2F9B" w:rsidRDefault="00D90F0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DCE98DC" w14:textId="77777777" w:rsidTr="00812887">
        <w:trPr>
          <w:cantSplit/>
        </w:trPr>
        <w:tc>
          <w:tcPr>
            <w:tcW w:w="3227" w:type="dxa"/>
          </w:tcPr>
          <w:p w14:paraId="3AB81748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361E658" w14:textId="77777777" w:rsidR="007925F0" w:rsidRPr="00DD2F9B" w:rsidRDefault="00B92DA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3994D7B" w14:textId="77777777" w:rsidTr="00812887">
        <w:trPr>
          <w:cantSplit/>
        </w:trPr>
        <w:tc>
          <w:tcPr>
            <w:tcW w:w="3227" w:type="dxa"/>
          </w:tcPr>
          <w:p w14:paraId="19CAF010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9685BE0" w14:textId="77777777" w:rsidR="00AF483F" w:rsidRPr="00DD2F9B" w:rsidRDefault="0055004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E058D9F" w14:textId="77777777" w:rsidTr="00812887">
        <w:trPr>
          <w:cantSplit/>
        </w:trPr>
        <w:tc>
          <w:tcPr>
            <w:tcW w:w="3227" w:type="dxa"/>
          </w:tcPr>
          <w:p w14:paraId="3B3E4ED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0642C54" w14:textId="77777777" w:rsidR="00687890" w:rsidRPr="00DD2F9B" w:rsidRDefault="0055004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4514B25" w14:textId="77777777" w:rsidTr="00812887">
        <w:trPr>
          <w:cantSplit/>
        </w:trPr>
        <w:tc>
          <w:tcPr>
            <w:tcW w:w="3227" w:type="dxa"/>
          </w:tcPr>
          <w:p w14:paraId="3616F75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A1A76EE" w14:textId="77777777" w:rsidR="00E41A26" w:rsidRPr="00DD2F9B" w:rsidRDefault="0055004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EA8073" w14:textId="77777777" w:rsidTr="00812887">
        <w:trPr>
          <w:cantSplit/>
        </w:trPr>
        <w:tc>
          <w:tcPr>
            <w:tcW w:w="3227" w:type="dxa"/>
          </w:tcPr>
          <w:p w14:paraId="4DBCBD9B" w14:textId="77777777" w:rsidR="004079B4" w:rsidRPr="004C23F4" w:rsidRDefault="002E0D61" w:rsidP="00F4402E">
            <w:pPr>
              <w:pStyle w:val="Tablefont"/>
            </w:pPr>
            <w:proofErr w:type="spellStart"/>
            <w:r>
              <w:lastRenderedPageBreak/>
              <w:t>ACGIH</w:t>
            </w:r>
            <w:proofErr w:type="spellEnd"/>
          </w:p>
        </w:tc>
        <w:tc>
          <w:tcPr>
            <w:tcW w:w="6015" w:type="dxa"/>
          </w:tcPr>
          <w:p w14:paraId="5CC2C41D" w14:textId="77777777" w:rsidR="002E0D61" w:rsidRPr="00DD2F9B" w:rsidRDefault="0055370D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5994209" w14:textId="77777777" w:rsidTr="00812887">
        <w:trPr>
          <w:cantSplit/>
        </w:trPr>
        <w:tc>
          <w:tcPr>
            <w:tcW w:w="3227" w:type="dxa"/>
          </w:tcPr>
          <w:p w14:paraId="5D4E958A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ACBC034" w14:textId="77777777" w:rsidR="002E0D61" w:rsidRPr="00DD2F9B" w:rsidRDefault="00107C3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BFA3D5E" w14:textId="77777777" w:rsidTr="00812887">
        <w:trPr>
          <w:cantSplit/>
        </w:trPr>
        <w:tc>
          <w:tcPr>
            <w:tcW w:w="3227" w:type="dxa"/>
          </w:tcPr>
          <w:p w14:paraId="4387477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7CE2F52" w14:textId="77777777" w:rsidR="002E0D61" w:rsidRPr="00DD2F9B" w:rsidRDefault="008747C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84546FE" w14:textId="77777777" w:rsidTr="00812887">
        <w:trPr>
          <w:cantSplit/>
        </w:trPr>
        <w:tc>
          <w:tcPr>
            <w:tcW w:w="3227" w:type="dxa"/>
          </w:tcPr>
          <w:p w14:paraId="4A114485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137E8872" w14:textId="77777777" w:rsidR="002E0D61" w:rsidRPr="00DD2F9B" w:rsidRDefault="0055004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6989BBE" w14:textId="77777777" w:rsidTr="00812887">
        <w:trPr>
          <w:cantSplit/>
        </w:trPr>
        <w:tc>
          <w:tcPr>
            <w:tcW w:w="3227" w:type="dxa"/>
          </w:tcPr>
          <w:p w14:paraId="14C1665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A8049B5" w14:textId="77777777" w:rsidR="00386093" w:rsidRPr="00DD2F9B" w:rsidRDefault="0055004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44C5373" w14:textId="77777777" w:rsidTr="00812887">
        <w:trPr>
          <w:cantSplit/>
        </w:trPr>
        <w:tc>
          <w:tcPr>
            <w:tcW w:w="3227" w:type="dxa"/>
          </w:tcPr>
          <w:p w14:paraId="279B8C96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56D11B0" w14:textId="77777777" w:rsidR="00386093" w:rsidRPr="00DD2F9B" w:rsidRDefault="0055004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F2A135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C34725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6553AF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312E12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BE786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85" w:type="dxa"/>
              <w:tblLook w:val="04A0" w:firstRow="1" w:lastRow="0" w:firstColumn="1" w:lastColumn="0" w:noHBand="0" w:noVBand="1"/>
            </w:tblPr>
            <w:tblGrid>
              <w:gridCol w:w="3818"/>
              <w:gridCol w:w="1124"/>
              <w:gridCol w:w="1124"/>
              <w:gridCol w:w="2719"/>
            </w:tblGrid>
            <w:tr w:rsidR="00B3553D" w:rsidRPr="00B3553D" w14:paraId="1FBB9931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C3D160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94419D5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9FBE92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EB7BC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553D" w:rsidRPr="00B3553D" w14:paraId="3E5BCF07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F0A3DF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B8F41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43AA86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19E89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553D" w:rsidRPr="00B3553D" w14:paraId="467E302A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22108A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E16589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0105B8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455296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553D" w:rsidRPr="00B3553D" w14:paraId="2E831352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A95C5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09098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57CB98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2A5ECA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553D" w:rsidRPr="00B3553D" w14:paraId="507DD944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890382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89773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B6EF1D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0031A9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553D" w:rsidRPr="00B3553D" w14:paraId="46C5AFB8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04DA60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3A5217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6C258E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99353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3553D" w:rsidRPr="00B3553D" w14:paraId="0C34E6BF" w14:textId="77777777" w:rsidTr="00B3553D">
              <w:trPr>
                <w:trHeight w:val="344"/>
              </w:trPr>
              <w:tc>
                <w:tcPr>
                  <w:tcW w:w="38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2F425" w14:textId="77777777" w:rsidR="00B3553D" w:rsidRPr="00B3553D" w:rsidRDefault="00B3553D" w:rsidP="00B3553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D022A" w14:textId="77777777" w:rsidR="00B3553D" w:rsidRPr="00B3553D" w:rsidRDefault="00B3553D" w:rsidP="00B3553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98CD1D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01B2CA" w14:textId="77777777" w:rsidR="00B3553D" w:rsidRPr="00B3553D" w:rsidRDefault="00B3553D" w:rsidP="00B3553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3553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484EE7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81E8B7E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D6BFE9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6DA4CD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FC1EB48" w14:textId="77777777" w:rsidR="00EB3D1B" w:rsidRDefault="0055004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31229F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94C210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ADFC29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539E67E" w14:textId="77777777" w:rsidR="001B79E5" w:rsidRDefault="004B4FCD" w:rsidP="001B79E5">
                <w:pPr>
                  <w:pStyle w:val="Tablefont"/>
                </w:pPr>
                <w:r>
                  <w:t>20.01</w:t>
                </w:r>
              </w:p>
            </w:tc>
          </w:sdtContent>
        </w:sdt>
      </w:tr>
      <w:tr w:rsidR="00A31D99" w:rsidRPr="004C23F4" w14:paraId="7B0285C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9AE3CE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922116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BAD4B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AD298E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C3FC02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D86C2F" w14:textId="77777777" w:rsidTr="00EA6243">
        <w:trPr>
          <w:cantSplit/>
        </w:trPr>
        <w:tc>
          <w:tcPr>
            <w:tcW w:w="4077" w:type="dxa"/>
            <w:vAlign w:val="center"/>
          </w:tcPr>
          <w:p w14:paraId="6E7FF7D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5451F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41E6A3" w14:textId="77777777" w:rsidTr="00EA6243">
        <w:trPr>
          <w:cantSplit/>
        </w:trPr>
        <w:tc>
          <w:tcPr>
            <w:tcW w:w="4077" w:type="dxa"/>
            <w:vAlign w:val="center"/>
          </w:tcPr>
          <w:p w14:paraId="60BB148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10380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5EB05F1" w14:textId="77777777" w:rsidTr="00EA6243">
        <w:trPr>
          <w:cantSplit/>
        </w:trPr>
        <w:tc>
          <w:tcPr>
            <w:tcW w:w="4077" w:type="dxa"/>
            <w:vAlign w:val="center"/>
          </w:tcPr>
          <w:p w14:paraId="6439FEB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FED83EE" w14:textId="77777777" w:rsidR="00E06F40" w:rsidRPr="00A006A0" w:rsidRDefault="0033750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F0743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135E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F0743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44FEF8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298394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9A3F29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19D823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718ED8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4DA9B2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17F2E1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25DD3A0" w14:textId="77777777" w:rsidR="00F87D92" w:rsidRDefault="00F87D92" w:rsidP="00A15D5C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48C6AB5" w14:textId="77777777" w:rsidR="007F1005" w:rsidRDefault="006650FE" w:rsidP="008F0743">
      <w:pPr>
        <w:keepNext/>
      </w:pPr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9E66378" w14:textId="77777777" w:rsidR="002E18AA" w:rsidRDefault="002E18AA" w:rsidP="008F0743">
      <w:pPr>
        <w:keepNext/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(2016) </w:t>
      </w:r>
      <w:r w:rsidRPr="002E18AA">
        <w:t>Addendum to Hydrogen Fluoride and Inorganic Fluorine Compounds (Fluorides)</w:t>
      </w:r>
      <w:r>
        <w:t xml:space="preserve"> – MAK value documentation.</w:t>
      </w:r>
    </w:p>
    <w:p w14:paraId="3682B189" w14:textId="77777777" w:rsidR="002E18AA" w:rsidRDefault="002E18AA" w:rsidP="008F0743">
      <w:pPr>
        <w:keepNext/>
      </w:pPr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(1998) Recommendation from the Scientific Committee on Occupational Exposure Limits for </w:t>
      </w:r>
      <w:r w:rsidRPr="002E18AA">
        <w:t>Fluorine, Hydrogen Fluoride and Inorganic Fluorides (not uranium hexafluoride)</w:t>
      </w:r>
      <w:r>
        <w:t xml:space="preserve">. </w:t>
      </w:r>
      <w:proofErr w:type="spellStart"/>
      <w:r>
        <w:t>SCOEL</w:t>
      </w:r>
      <w:proofErr w:type="spellEnd"/>
      <w:r>
        <w:t>/SUM/56.</w:t>
      </w:r>
    </w:p>
    <w:p w14:paraId="4EE19E6C" w14:textId="77777777" w:rsidR="008D417B" w:rsidRPr="008F0743" w:rsidRDefault="008D417B" w:rsidP="008F0743">
      <w:pPr>
        <w:keepNext/>
        <w:rPr>
          <w:b/>
        </w:rPr>
      </w:pPr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(2009) Hydrogen fluoride and sodium fluoride</w:t>
      </w:r>
      <w:r w:rsidRPr="005F7416">
        <w:t xml:space="preserve">. </w:t>
      </w:r>
      <w:r w:rsidRPr="008D417B">
        <w:t xml:space="preserve">Evaluation of the effects on reproduction, </w:t>
      </w:r>
      <w:r w:rsidRPr="008F0743">
        <w:t>recommendation for classification. The Hague: Health Council of the Netherlands; publication no. 2009/</w:t>
      </w:r>
      <w:proofErr w:type="spellStart"/>
      <w:r w:rsidRPr="008F0743">
        <w:t>04OSH</w:t>
      </w:r>
      <w:proofErr w:type="spellEnd"/>
      <w:r w:rsidRPr="008F0743">
        <w:t>.</w:t>
      </w:r>
    </w:p>
    <w:p w14:paraId="40878447" w14:textId="77777777" w:rsidR="008F0743" w:rsidRDefault="00EF3E0D" w:rsidP="00EF3E0D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 (</w:t>
      </w:r>
      <w:r>
        <w:t>2001</w:t>
      </w:r>
      <w:r w:rsidRPr="00DB0A36">
        <w:t xml:space="preserve">) </w:t>
      </w:r>
      <w:r>
        <w:t>Hydrogen Fluoride</w:t>
      </w:r>
      <w:r w:rsidRPr="00DB0A36">
        <w:t>:</w:t>
      </w:r>
      <w:r>
        <w:t xml:space="preserve"> Priority Existing Chemical (PEC) report </w:t>
      </w:r>
      <w:r w:rsidRPr="00DB0A36">
        <w:t xml:space="preserve">– </w:t>
      </w:r>
      <w:r>
        <w:t>No 19</w:t>
      </w:r>
      <w:r w:rsidRPr="00DB0A36">
        <w:t>.</w:t>
      </w:r>
    </w:p>
    <w:p w14:paraId="29EA78FA" w14:textId="77777777" w:rsidR="002E18AA" w:rsidRPr="008F0743" w:rsidRDefault="002E18AA" w:rsidP="008F0743">
      <w:pPr>
        <w:keepNext/>
        <w:rPr>
          <w:b/>
        </w:rPr>
      </w:pPr>
      <w:r w:rsidRPr="008F0743">
        <w:t>US National Institute for Occupational Safety and Health (</w:t>
      </w:r>
      <w:proofErr w:type="spellStart"/>
      <w:r w:rsidRPr="008F0743">
        <w:t>NIOSH</w:t>
      </w:r>
      <w:proofErr w:type="spellEnd"/>
      <w:r w:rsidRPr="008F0743">
        <w:t>) (</w:t>
      </w:r>
      <w:sdt>
        <w:sdtPr>
          <w:id w:val="-1194999823"/>
          <w:placeholder>
            <w:docPart w:val="B24DE9943E514EFE9CF40C6FA402907D"/>
          </w:placeholder>
          <w:temporary/>
          <w:showingPlcHdr/>
        </w:sdtPr>
        <w:sdtEndPr/>
        <w:sdtContent>
          <w:r w:rsidRPr="008F0743">
            <w:t>1994</w:t>
          </w:r>
        </w:sdtContent>
      </w:sdt>
      <w:r w:rsidRPr="008F0743">
        <w:t xml:space="preserve">) Immediately dangerous to life or health concentrations – </w:t>
      </w:r>
      <w:r w:rsidR="00AC3CA4" w:rsidRPr="008F0743">
        <w:t>hydrogen fluoride (as F)</w:t>
      </w:r>
      <w:r w:rsidRPr="008F0743">
        <w:t>.</w:t>
      </w:r>
    </w:p>
    <w:p w14:paraId="232FD8DA" w14:textId="77777777" w:rsidR="002E18AA" w:rsidRPr="00351FE0" w:rsidRDefault="002E18AA" w:rsidP="00084859"/>
    <w:sectPr w:rsidR="002E18A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60A27B" w14:textId="77777777" w:rsidR="00D90321" w:rsidRDefault="00D90321" w:rsidP="00F43AD5">
      <w:pPr>
        <w:spacing w:after="0" w:line="240" w:lineRule="auto"/>
      </w:pPr>
      <w:r>
        <w:separator/>
      </w:r>
    </w:p>
  </w:endnote>
  <w:endnote w:type="continuationSeparator" w:id="0">
    <w:p w14:paraId="295CDABC" w14:textId="77777777" w:rsidR="00D90321" w:rsidRDefault="00D9032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FE929BC" w14:textId="77777777" w:rsidR="008A36CF" w:rsidRDefault="00B10C5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Hydrogen fluoride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7664-39-3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EF317B7" w14:textId="4C57E85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148F0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E9A36" w14:textId="77777777" w:rsidR="00D90321" w:rsidRDefault="00D90321" w:rsidP="00F43AD5">
      <w:pPr>
        <w:spacing w:after="0" w:line="240" w:lineRule="auto"/>
      </w:pPr>
      <w:r>
        <w:separator/>
      </w:r>
    </w:p>
  </w:footnote>
  <w:footnote w:type="continuationSeparator" w:id="0">
    <w:p w14:paraId="375C7A57" w14:textId="77777777" w:rsidR="00D90321" w:rsidRDefault="00D9032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0D04B" w14:textId="1A5186BD" w:rsidR="00C148F0" w:rsidRDefault="00C148F0" w:rsidP="00C148F0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5958CF" wp14:editId="21ED2CA8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71D36A" w14:textId="3451A2FC" w:rsidR="008A36CF" w:rsidRPr="00C148F0" w:rsidRDefault="008A36CF" w:rsidP="00C148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EF7B7" w14:textId="6C11D5CC" w:rsidR="00C148F0" w:rsidRDefault="00337506" w:rsidP="00C148F0">
    <w:pPr>
      <w:pStyle w:val="Header"/>
      <w:jc w:val="right"/>
    </w:pPr>
    <w:sdt>
      <w:sdtPr>
        <w:id w:val="-910391858"/>
        <w:docPartObj>
          <w:docPartGallery w:val="Watermarks"/>
          <w:docPartUnique/>
        </w:docPartObj>
      </w:sdtPr>
      <w:sdtEndPr/>
      <w:sdtContent/>
    </w:sdt>
    <w:r w:rsidR="00C148F0">
      <w:rPr>
        <w:noProof/>
        <w:lang w:eastAsia="en-AU"/>
      </w:rPr>
      <w:drawing>
        <wp:inline distT="0" distB="0" distL="0" distR="0" wp14:anchorId="2DBA35FC" wp14:editId="59D6EC44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CE9060" w14:textId="601F3E4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E44E6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4D0FE8"/>
    <w:multiLevelType w:val="hybridMultilevel"/>
    <w:tmpl w:val="E1F4C94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442C135C"/>
    <w:multiLevelType w:val="hybridMultilevel"/>
    <w:tmpl w:val="AB9C04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074D64"/>
    <w:multiLevelType w:val="hybridMultilevel"/>
    <w:tmpl w:val="5964C72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10452459">
    <w:abstractNumId w:val="0"/>
  </w:num>
  <w:num w:numId="2" w16cid:durableId="686103897">
    <w:abstractNumId w:val="3"/>
  </w:num>
  <w:num w:numId="3" w16cid:durableId="1949389515">
    <w:abstractNumId w:val="2"/>
  </w:num>
  <w:num w:numId="4" w16cid:durableId="663171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4512"/>
    <w:rsid w:val="000556AB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3A3E"/>
    <w:rsid w:val="000A6E9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C30"/>
    <w:rsid w:val="00113443"/>
    <w:rsid w:val="001269A7"/>
    <w:rsid w:val="00127641"/>
    <w:rsid w:val="00131092"/>
    <w:rsid w:val="00140E6A"/>
    <w:rsid w:val="00146545"/>
    <w:rsid w:val="00146B75"/>
    <w:rsid w:val="0015266D"/>
    <w:rsid w:val="0015288A"/>
    <w:rsid w:val="001535E2"/>
    <w:rsid w:val="00160F47"/>
    <w:rsid w:val="00177CA1"/>
    <w:rsid w:val="00183823"/>
    <w:rsid w:val="00183942"/>
    <w:rsid w:val="001A009E"/>
    <w:rsid w:val="001A1287"/>
    <w:rsid w:val="001A2B20"/>
    <w:rsid w:val="001A3859"/>
    <w:rsid w:val="001A3C9D"/>
    <w:rsid w:val="001A43F8"/>
    <w:rsid w:val="001B79E5"/>
    <w:rsid w:val="001D56F0"/>
    <w:rsid w:val="001D663B"/>
    <w:rsid w:val="001D7B41"/>
    <w:rsid w:val="001E0E4A"/>
    <w:rsid w:val="001E46DA"/>
    <w:rsid w:val="001E7D80"/>
    <w:rsid w:val="001F4B6C"/>
    <w:rsid w:val="001F62CB"/>
    <w:rsid w:val="001F6ED0"/>
    <w:rsid w:val="001F72E6"/>
    <w:rsid w:val="001F73C5"/>
    <w:rsid w:val="0020402E"/>
    <w:rsid w:val="002046A6"/>
    <w:rsid w:val="00204956"/>
    <w:rsid w:val="00207719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1541"/>
    <w:rsid w:val="0025734A"/>
    <w:rsid w:val="00263255"/>
    <w:rsid w:val="00276494"/>
    <w:rsid w:val="00277B0C"/>
    <w:rsid w:val="002904A5"/>
    <w:rsid w:val="002B1A2C"/>
    <w:rsid w:val="002B662E"/>
    <w:rsid w:val="002C34F2"/>
    <w:rsid w:val="002C58FF"/>
    <w:rsid w:val="002C5C55"/>
    <w:rsid w:val="002C7AFE"/>
    <w:rsid w:val="002D05D2"/>
    <w:rsid w:val="002E0D61"/>
    <w:rsid w:val="002E18AA"/>
    <w:rsid w:val="002E4C7B"/>
    <w:rsid w:val="002F192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506"/>
    <w:rsid w:val="00347192"/>
    <w:rsid w:val="0034744C"/>
    <w:rsid w:val="0034762C"/>
    <w:rsid w:val="00351FE0"/>
    <w:rsid w:val="00352615"/>
    <w:rsid w:val="0035412B"/>
    <w:rsid w:val="003567A8"/>
    <w:rsid w:val="00362895"/>
    <w:rsid w:val="00370DBF"/>
    <w:rsid w:val="00374F10"/>
    <w:rsid w:val="00386093"/>
    <w:rsid w:val="00387288"/>
    <w:rsid w:val="003904A4"/>
    <w:rsid w:val="00391841"/>
    <w:rsid w:val="00391B6D"/>
    <w:rsid w:val="00394922"/>
    <w:rsid w:val="003A0E32"/>
    <w:rsid w:val="003A1881"/>
    <w:rsid w:val="003A2B94"/>
    <w:rsid w:val="003B011E"/>
    <w:rsid w:val="003B387D"/>
    <w:rsid w:val="003C0D58"/>
    <w:rsid w:val="003C27D3"/>
    <w:rsid w:val="003D4FA3"/>
    <w:rsid w:val="003E0651"/>
    <w:rsid w:val="003E0807"/>
    <w:rsid w:val="003E51FB"/>
    <w:rsid w:val="003E6B39"/>
    <w:rsid w:val="003F07E1"/>
    <w:rsid w:val="004030BC"/>
    <w:rsid w:val="00403F7D"/>
    <w:rsid w:val="00406785"/>
    <w:rsid w:val="004079B4"/>
    <w:rsid w:val="00415674"/>
    <w:rsid w:val="00417A56"/>
    <w:rsid w:val="00420957"/>
    <w:rsid w:val="004220D0"/>
    <w:rsid w:val="00422A10"/>
    <w:rsid w:val="00430179"/>
    <w:rsid w:val="004414B5"/>
    <w:rsid w:val="00444482"/>
    <w:rsid w:val="00444B42"/>
    <w:rsid w:val="00445E44"/>
    <w:rsid w:val="00446A2D"/>
    <w:rsid w:val="004509E2"/>
    <w:rsid w:val="0045135E"/>
    <w:rsid w:val="004515EE"/>
    <w:rsid w:val="004529F0"/>
    <w:rsid w:val="00454B4E"/>
    <w:rsid w:val="00460A03"/>
    <w:rsid w:val="00472A11"/>
    <w:rsid w:val="00472AAD"/>
    <w:rsid w:val="00474E33"/>
    <w:rsid w:val="00476803"/>
    <w:rsid w:val="00484FC8"/>
    <w:rsid w:val="00485BFD"/>
    <w:rsid w:val="004867A2"/>
    <w:rsid w:val="004868E0"/>
    <w:rsid w:val="004873F2"/>
    <w:rsid w:val="00490D4C"/>
    <w:rsid w:val="00493A35"/>
    <w:rsid w:val="0049527A"/>
    <w:rsid w:val="004966BF"/>
    <w:rsid w:val="00497984"/>
    <w:rsid w:val="004A5088"/>
    <w:rsid w:val="004B4FCD"/>
    <w:rsid w:val="004C1E3F"/>
    <w:rsid w:val="004C23F4"/>
    <w:rsid w:val="004C2B3E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C75"/>
    <w:rsid w:val="0050617B"/>
    <w:rsid w:val="005142C4"/>
    <w:rsid w:val="0051509C"/>
    <w:rsid w:val="005272E2"/>
    <w:rsid w:val="0053108F"/>
    <w:rsid w:val="00532B56"/>
    <w:rsid w:val="00534B10"/>
    <w:rsid w:val="005446A2"/>
    <w:rsid w:val="00544D2F"/>
    <w:rsid w:val="0055004F"/>
    <w:rsid w:val="00551BD8"/>
    <w:rsid w:val="0055370D"/>
    <w:rsid w:val="00581055"/>
    <w:rsid w:val="00585829"/>
    <w:rsid w:val="00585B7E"/>
    <w:rsid w:val="00591E38"/>
    <w:rsid w:val="005A19C5"/>
    <w:rsid w:val="005A3034"/>
    <w:rsid w:val="005A462D"/>
    <w:rsid w:val="005B253B"/>
    <w:rsid w:val="005B3C80"/>
    <w:rsid w:val="005B771D"/>
    <w:rsid w:val="005C4B95"/>
    <w:rsid w:val="005C5D16"/>
    <w:rsid w:val="005D3193"/>
    <w:rsid w:val="005D4A6E"/>
    <w:rsid w:val="005E3D2B"/>
    <w:rsid w:val="005E6979"/>
    <w:rsid w:val="005E75CB"/>
    <w:rsid w:val="005F593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341"/>
    <w:rsid w:val="006532ED"/>
    <w:rsid w:val="006549F2"/>
    <w:rsid w:val="006567B7"/>
    <w:rsid w:val="00657BFB"/>
    <w:rsid w:val="00661391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188"/>
    <w:rsid w:val="00695B72"/>
    <w:rsid w:val="006B160A"/>
    <w:rsid w:val="006B4E6C"/>
    <w:rsid w:val="006B50B6"/>
    <w:rsid w:val="006D79EA"/>
    <w:rsid w:val="006E5539"/>
    <w:rsid w:val="006E5D05"/>
    <w:rsid w:val="006F08C3"/>
    <w:rsid w:val="00701053"/>
    <w:rsid w:val="00701507"/>
    <w:rsid w:val="00714021"/>
    <w:rsid w:val="0071414A"/>
    <w:rsid w:val="00716A0F"/>
    <w:rsid w:val="00717D45"/>
    <w:rsid w:val="007208F7"/>
    <w:rsid w:val="007218AF"/>
    <w:rsid w:val="007365D1"/>
    <w:rsid w:val="00740E0E"/>
    <w:rsid w:val="007429AC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37752"/>
    <w:rsid w:val="008414E4"/>
    <w:rsid w:val="00843E21"/>
    <w:rsid w:val="0084508E"/>
    <w:rsid w:val="00857A8A"/>
    <w:rsid w:val="008630EE"/>
    <w:rsid w:val="00864D13"/>
    <w:rsid w:val="00871CD5"/>
    <w:rsid w:val="008745A2"/>
    <w:rsid w:val="008747CA"/>
    <w:rsid w:val="008768A8"/>
    <w:rsid w:val="008866E0"/>
    <w:rsid w:val="0088798F"/>
    <w:rsid w:val="00887E4B"/>
    <w:rsid w:val="008915C8"/>
    <w:rsid w:val="008A36CF"/>
    <w:rsid w:val="008A3BC4"/>
    <w:rsid w:val="008B403C"/>
    <w:rsid w:val="008B7983"/>
    <w:rsid w:val="008C2511"/>
    <w:rsid w:val="008C59B9"/>
    <w:rsid w:val="008D026D"/>
    <w:rsid w:val="008D23AB"/>
    <w:rsid w:val="008D417B"/>
    <w:rsid w:val="008D4B8B"/>
    <w:rsid w:val="008D4EBC"/>
    <w:rsid w:val="008D5A78"/>
    <w:rsid w:val="008E7B64"/>
    <w:rsid w:val="008F0743"/>
    <w:rsid w:val="008F5DCD"/>
    <w:rsid w:val="008F6C10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292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3416"/>
    <w:rsid w:val="00974F2D"/>
    <w:rsid w:val="00976466"/>
    <w:rsid w:val="00977524"/>
    <w:rsid w:val="00977E88"/>
    <w:rsid w:val="00984920"/>
    <w:rsid w:val="0099303A"/>
    <w:rsid w:val="009971C2"/>
    <w:rsid w:val="00997AE9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C5C"/>
    <w:rsid w:val="00A01D0C"/>
    <w:rsid w:val="00A0643F"/>
    <w:rsid w:val="00A067EE"/>
    <w:rsid w:val="00A10FCE"/>
    <w:rsid w:val="00A14F25"/>
    <w:rsid w:val="00A15D5C"/>
    <w:rsid w:val="00A16D91"/>
    <w:rsid w:val="00A174CC"/>
    <w:rsid w:val="00A2073D"/>
    <w:rsid w:val="00A20751"/>
    <w:rsid w:val="00A24EA0"/>
    <w:rsid w:val="00A27E2D"/>
    <w:rsid w:val="00A31D99"/>
    <w:rsid w:val="00A357BA"/>
    <w:rsid w:val="00A35ADC"/>
    <w:rsid w:val="00A402A3"/>
    <w:rsid w:val="00A53681"/>
    <w:rsid w:val="00A633D4"/>
    <w:rsid w:val="00A63A9A"/>
    <w:rsid w:val="00A6461A"/>
    <w:rsid w:val="00A84504"/>
    <w:rsid w:val="00A8672F"/>
    <w:rsid w:val="00A90ADD"/>
    <w:rsid w:val="00A93057"/>
    <w:rsid w:val="00A968B0"/>
    <w:rsid w:val="00AB2672"/>
    <w:rsid w:val="00AB2817"/>
    <w:rsid w:val="00AB43C4"/>
    <w:rsid w:val="00AC32E7"/>
    <w:rsid w:val="00AC3A9F"/>
    <w:rsid w:val="00AC3CA4"/>
    <w:rsid w:val="00AC6D2F"/>
    <w:rsid w:val="00AE2745"/>
    <w:rsid w:val="00AE2F64"/>
    <w:rsid w:val="00AF42CB"/>
    <w:rsid w:val="00AF483F"/>
    <w:rsid w:val="00AF5E07"/>
    <w:rsid w:val="00AF5F06"/>
    <w:rsid w:val="00B00A25"/>
    <w:rsid w:val="00B10C5A"/>
    <w:rsid w:val="00B11BEA"/>
    <w:rsid w:val="00B1422A"/>
    <w:rsid w:val="00B1765C"/>
    <w:rsid w:val="00B213C4"/>
    <w:rsid w:val="00B3553D"/>
    <w:rsid w:val="00B40C60"/>
    <w:rsid w:val="00B479A9"/>
    <w:rsid w:val="00B52EDF"/>
    <w:rsid w:val="00B71188"/>
    <w:rsid w:val="00B76A41"/>
    <w:rsid w:val="00B87D4C"/>
    <w:rsid w:val="00B92DA8"/>
    <w:rsid w:val="00B93646"/>
    <w:rsid w:val="00BA0B38"/>
    <w:rsid w:val="00BA1DBB"/>
    <w:rsid w:val="00BA4510"/>
    <w:rsid w:val="00BA529A"/>
    <w:rsid w:val="00BA7C22"/>
    <w:rsid w:val="00BB1ACD"/>
    <w:rsid w:val="00BB1BFA"/>
    <w:rsid w:val="00BB612A"/>
    <w:rsid w:val="00BC4AF2"/>
    <w:rsid w:val="00BD499F"/>
    <w:rsid w:val="00BD56DE"/>
    <w:rsid w:val="00BF2406"/>
    <w:rsid w:val="00C03CFC"/>
    <w:rsid w:val="00C06E43"/>
    <w:rsid w:val="00C148F0"/>
    <w:rsid w:val="00C16315"/>
    <w:rsid w:val="00C3091E"/>
    <w:rsid w:val="00C36467"/>
    <w:rsid w:val="00C40FF1"/>
    <w:rsid w:val="00C419E2"/>
    <w:rsid w:val="00C5020E"/>
    <w:rsid w:val="00C53CED"/>
    <w:rsid w:val="00C57452"/>
    <w:rsid w:val="00C61EDF"/>
    <w:rsid w:val="00C6239D"/>
    <w:rsid w:val="00C64970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24A"/>
    <w:rsid w:val="00CA58FE"/>
    <w:rsid w:val="00CB1CB1"/>
    <w:rsid w:val="00CB6BC1"/>
    <w:rsid w:val="00CB6CB8"/>
    <w:rsid w:val="00CB7E58"/>
    <w:rsid w:val="00CC0BE3"/>
    <w:rsid w:val="00CC1A68"/>
    <w:rsid w:val="00CC2123"/>
    <w:rsid w:val="00CD2BFD"/>
    <w:rsid w:val="00CE5AD6"/>
    <w:rsid w:val="00CE617F"/>
    <w:rsid w:val="00CE78EF"/>
    <w:rsid w:val="00CE7B0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39B6"/>
    <w:rsid w:val="00D87570"/>
    <w:rsid w:val="00D90321"/>
    <w:rsid w:val="00D90F0E"/>
    <w:rsid w:val="00D91CB9"/>
    <w:rsid w:val="00D97989"/>
    <w:rsid w:val="00D97D8D"/>
    <w:rsid w:val="00DA352E"/>
    <w:rsid w:val="00DB3509"/>
    <w:rsid w:val="00DC7694"/>
    <w:rsid w:val="00DD1BF6"/>
    <w:rsid w:val="00DD2F9B"/>
    <w:rsid w:val="00DE2513"/>
    <w:rsid w:val="00DE26E8"/>
    <w:rsid w:val="00DF6F36"/>
    <w:rsid w:val="00E0084C"/>
    <w:rsid w:val="00E00B9F"/>
    <w:rsid w:val="00E025AB"/>
    <w:rsid w:val="00E02B23"/>
    <w:rsid w:val="00E06F40"/>
    <w:rsid w:val="00E07CE8"/>
    <w:rsid w:val="00E16EB1"/>
    <w:rsid w:val="00E26A07"/>
    <w:rsid w:val="00E32595"/>
    <w:rsid w:val="00E37CFD"/>
    <w:rsid w:val="00E41A26"/>
    <w:rsid w:val="00E41FBF"/>
    <w:rsid w:val="00E46BCB"/>
    <w:rsid w:val="00E51CAF"/>
    <w:rsid w:val="00E5483F"/>
    <w:rsid w:val="00E60F04"/>
    <w:rsid w:val="00E62AAC"/>
    <w:rsid w:val="00E67C2F"/>
    <w:rsid w:val="00E67EF5"/>
    <w:rsid w:val="00E804EA"/>
    <w:rsid w:val="00E80A71"/>
    <w:rsid w:val="00E82337"/>
    <w:rsid w:val="00E827A1"/>
    <w:rsid w:val="00E92499"/>
    <w:rsid w:val="00E949AF"/>
    <w:rsid w:val="00E96077"/>
    <w:rsid w:val="00EA0A06"/>
    <w:rsid w:val="00EA6243"/>
    <w:rsid w:val="00EA74AB"/>
    <w:rsid w:val="00EB3D1B"/>
    <w:rsid w:val="00ED1D89"/>
    <w:rsid w:val="00ED4EC4"/>
    <w:rsid w:val="00ED66BC"/>
    <w:rsid w:val="00EE732D"/>
    <w:rsid w:val="00EF233A"/>
    <w:rsid w:val="00EF303E"/>
    <w:rsid w:val="00EF3A40"/>
    <w:rsid w:val="00EF3E0D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1CEB"/>
    <w:rsid w:val="00F43AD5"/>
    <w:rsid w:val="00F4402E"/>
    <w:rsid w:val="00F53800"/>
    <w:rsid w:val="00F56DD0"/>
    <w:rsid w:val="00F6491C"/>
    <w:rsid w:val="00F67BBB"/>
    <w:rsid w:val="00F842CE"/>
    <w:rsid w:val="00F87D92"/>
    <w:rsid w:val="00F90AA7"/>
    <w:rsid w:val="00F91E0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0AB7"/>
    <w:rsid w:val="00FD16AE"/>
    <w:rsid w:val="00FD1871"/>
    <w:rsid w:val="00FD1CED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58E7FA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2E18A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65234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7B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7B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7B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0F"/>
    <w:rPr>
      <w:b/>
      <w:bCs/>
      <w:szCs w:val="20"/>
    </w:rPr>
  </w:style>
  <w:style w:type="paragraph" w:styleId="Revision">
    <w:name w:val="Revision"/>
    <w:hidden/>
    <w:uiPriority w:val="99"/>
    <w:semiHidden/>
    <w:rsid w:val="00BC4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4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24DE9943E514EFE9CF40C6FA40290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EC6A8-A545-4B44-900C-FE79E9B3D5B6}"/>
      </w:docPartPr>
      <w:docPartBody>
        <w:p w:rsidR="00687B05" w:rsidRDefault="0048199D" w:rsidP="0048199D">
          <w:pPr>
            <w:pStyle w:val="B24DE9943E514EFE9CF40C6FA402907D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32684CD75EFC4CD0BD571FA2281DF2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E69166-A116-421D-8F22-6B8AA9E9F880}"/>
      </w:docPartPr>
      <w:docPartBody>
        <w:p w:rsidR="009F6A60" w:rsidRDefault="003323BE" w:rsidP="003323BE">
          <w:pPr>
            <w:pStyle w:val="32684CD75EFC4CD0BD571FA2281DF2A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6330E"/>
    <w:rsid w:val="003323BE"/>
    <w:rsid w:val="003C27D3"/>
    <w:rsid w:val="0048199D"/>
    <w:rsid w:val="00687B05"/>
    <w:rsid w:val="009F6A60"/>
    <w:rsid w:val="00A446ED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23BE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24DE9943E514EFE9CF40C6FA402907D">
    <w:name w:val="B24DE9943E514EFE9CF40C6FA402907D"/>
    <w:rsid w:val="0048199D"/>
    <w:rPr>
      <w:lang w:val="en-US" w:eastAsia="en-US"/>
    </w:rPr>
  </w:style>
  <w:style w:type="paragraph" w:customStyle="1" w:styleId="32684CD75EFC4CD0BD571FA2281DF2A7">
    <w:name w:val="32684CD75EFC4CD0BD571FA2281DF2A7"/>
    <w:rsid w:val="003323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07D04F-DEBB-4B38-88BF-BEE793D10F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73006E-1682-4545-BEE1-5308E63AA9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B26A87-47F5-49CE-86C0-52EC856154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728CEB-20A8-49F6-A8E1-47A8F2CC3F30}">
  <ds:schemaRefs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1c567317-0c4d-4a62-8516-c22afd1b5354"/>
    <ds:schemaRef ds:uri="http://purl.org/dc/terms/"/>
    <ds:schemaRef ds:uri="http://purl.org/dc/dcmitype/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1368</Words>
  <Characters>7366</Characters>
  <Application>Microsoft Office Word</Application>
  <DocSecurity>0</DocSecurity>
  <Lines>245</Lines>
  <Paragraphs>178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2019-12-01T21:47:00Z</dcterms:created>
  <dcterms:modified xsi:type="dcterms:W3CDTF">2026-01-09T01:16:00Z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2025-12-23T03:48:17Z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b9f1fb34-bc6a-4603-b5c4-c5d0a3aa5f21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