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30676C9" w14:textId="77777777" w:rsidR="00BD499F" w:rsidRPr="004C23F4" w:rsidRDefault="00C80C35" w:rsidP="00B40C60">
          <w:pPr>
            <w:pStyle w:val="Heading1"/>
            <w:jc w:val="center"/>
            <w:rPr>
              <w:rFonts w:ascii="Arial" w:hAnsi="Arial" w:cs="Arial"/>
            </w:rPr>
          </w:pPr>
          <w:r w:rsidRPr="00C80C35">
            <w:rPr>
              <w:rFonts w:ascii="Arial" w:hAnsi="Arial" w:cs="Arial"/>
            </w:rPr>
            <w:t>Hexane, other isomers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0"/>
        <w:gridCol w:w="5056"/>
      </w:tblGrid>
      <w:tr w:rsidR="00F43AD5" w:rsidRPr="004F62DF" w14:paraId="60B10CE0" w14:textId="77777777" w:rsidTr="00B76A41">
        <w:trPr>
          <w:cantSplit/>
          <w:tblHeader/>
        </w:trPr>
        <w:tc>
          <w:tcPr>
            <w:tcW w:w="4077" w:type="dxa"/>
          </w:tcPr>
          <w:p w14:paraId="5A07FB0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F36E947" w14:textId="77777777" w:rsidR="00F43AD5" w:rsidRPr="004F62DF" w:rsidRDefault="00F51193" w:rsidP="00B76A41">
            <w:pPr>
              <w:pStyle w:val="Tablefont"/>
              <w:rPr>
                <w:lang w:val="it-IT"/>
              </w:rPr>
            </w:pPr>
            <w:r w:rsidRPr="004F62DF">
              <w:rPr>
                <w:lang w:val="it-IT"/>
              </w:rPr>
              <w:t>75-83-2,</w:t>
            </w:r>
            <w:r w:rsidR="00916B15" w:rsidRPr="004F62DF">
              <w:rPr>
                <w:lang w:val="it-IT"/>
              </w:rPr>
              <w:t xml:space="preserve"> </w:t>
            </w:r>
            <w:r w:rsidR="00650091" w:rsidRPr="004F62DF">
              <w:rPr>
                <w:lang w:val="it-IT"/>
              </w:rPr>
              <w:t xml:space="preserve">   </w:t>
            </w:r>
            <w:r w:rsidRPr="004F62DF">
              <w:rPr>
                <w:lang w:val="it-IT"/>
              </w:rPr>
              <w:t>(2,2-Dimethylbutane)</w:t>
            </w:r>
          </w:p>
          <w:p w14:paraId="78A03489" w14:textId="77777777" w:rsidR="00F51193" w:rsidRPr="004F62DF" w:rsidRDefault="00F51193" w:rsidP="00B76A41">
            <w:pPr>
              <w:pStyle w:val="Tablefont"/>
              <w:rPr>
                <w:lang w:val="it-IT"/>
              </w:rPr>
            </w:pPr>
            <w:r w:rsidRPr="004F62DF">
              <w:rPr>
                <w:lang w:val="it-IT"/>
              </w:rPr>
              <w:t>79-29-8,</w:t>
            </w:r>
            <w:r w:rsidR="00916B15" w:rsidRPr="004F62DF">
              <w:rPr>
                <w:lang w:val="it-IT"/>
              </w:rPr>
              <w:t xml:space="preserve"> </w:t>
            </w:r>
            <w:r w:rsidR="00650091" w:rsidRPr="004F62DF">
              <w:rPr>
                <w:lang w:val="it-IT"/>
              </w:rPr>
              <w:t xml:space="preserve">   </w:t>
            </w:r>
            <w:r w:rsidRPr="004F62DF">
              <w:rPr>
                <w:lang w:val="it-IT"/>
              </w:rPr>
              <w:t>(2,3-Dimethylbutane)</w:t>
            </w:r>
          </w:p>
          <w:p w14:paraId="350C73C4" w14:textId="77777777" w:rsidR="00F51193" w:rsidRPr="004F62DF" w:rsidRDefault="00F51193" w:rsidP="00B76A41">
            <w:pPr>
              <w:pStyle w:val="Tablefont"/>
              <w:rPr>
                <w:lang w:val="it-IT"/>
              </w:rPr>
            </w:pPr>
            <w:r w:rsidRPr="004F62DF">
              <w:rPr>
                <w:lang w:val="it-IT"/>
              </w:rPr>
              <w:t>107-83-5,</w:t>
            </w:r>
            <w:r w:rsidR="00916B15" w:rsidRPr="004F62DF">
              <w:rPr>
                <w:lang w:val="it-IT"/>
              </w:rPr>
              <w:t xml:space="preserve"> </w:t>
            </w:r>
            <w:r w:rsidR="00650091" w:rsidRPr="004F62DF">
              <w:rPr>
                <w:lang w:val="it-IT"/>
              </w:rPr>
              <w:t xml:space="preserve"> </w:t>
            </w:r>
            <w:r w:rsidRPr="004F62DF">
              <w:rPr>
                <w:lang w:val="it-IT"/>
              </w:rPr>
              <w:t>(2-Methyl pentane)</w:t>
            </w:r>
          </w:p>
          <w:p w14:paraId="39C1F3C1" w14:textId="77777777" w:rsidR="00F51193" w:rsidRPr="004F62DF" w:rsidRDefault="00F51193" w:rsidP="00B76A41">
            <w:pPr>
              <w:pStyle w:val="Tablefont"/>
              <w:rPr>
                <w:lang w:val="it-IT"/>
              </w:rPr>
            </w:pPr>
            <w:r w:rsidRPr="004F62DF">
              <w:rPr>
                <w:lang w:val="it-IT"/>
              </w:rPr>
              <w:t>96-14-0,</w:t>
            </w:r>
            <w:r w:rsidR="00916B15" w:rsidRPr="004F62DF">
              <w:rPr>
                <w:lang w:val="it-IT"/>
              </w:rPr>
              <w:t xml:space="preserve"> </w:t>
            </w:r>
            <w:r w:rsidR="00650091" w:rsidRPr="004F62DF">
              <w:rPr>
                <w:lang w:val="it-IT"/>
              </w:rPr>
              <w:t xml:space="preserve">   </w:t>
            </w:r>
            <w:r w:rsidRPr="004F62DF">
              <w:rPr>
                <w:lang w:val="it-IT"/>
              </w:rPr>
              <w:t>(3-Methyl pentane)</w:t>
            </w:r>
          </w:p>
        </w:tc>
      </w:tr>
      <w:tr w:rsidR="00F43AD5" w:rsidRPr="004C23F4" w14:paraId="65C3C85A" w14:textId="77777777" w:rsidTr="00B76A41">
        <w:trPr>
          <w:cantSplit/>
        </w:trPr>
        <w:tc>
          <w:tcPr>
            <w:tcW w:w="4077" w:type="dxa"/>
          </w:tcPr>
          <w:p w14:paraId="0347DE7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72D728F" w14:textId="77777777" w:rsidR="00F51193" w:rsidRDefault="00F51193" w:rsidP="00F51193">
            <w:pPr>
              <w:pStyle w:val="Tablefont"/>
            </w:pPr>
            <w:r>
              <w:t>75-83-</w:t>
            </w:r>
            <w:proofErr w:type="gramStart"/>
            <w:r>
              <w:t>2,</w:t>
            </w:r>
            <w:r w:rsidR="00650091">
              <w:t xml:space="preserve">   </w:t>
            </w:r>
            <w:proofErr w:type="gramEnd"/>
            <w:r w:rsidR="00916B15">
              <w:t xml:space="preserve"> </w:t>
            </w:r>
            <w:r>
              <w:t>(</w:t>
            </w:r>
            <w:proofErr w:type="spellStart"/>
            <w:r>
              <w:t>Neohexane</w:t>
            </w:r>
            <w:proofErr w:type="spellEnd"/>
            <w:r>
              <w:t>)</w:t>
            </w:r>
          </w:p>
          <w:p w14:paraId="2590CC2B" w14:textId="77777777" w:rsidR="00F51193" w:rsidRDefault="00F51193" w:rsidP="00F51193">
            <w:pPr>
              <w:pStyle w:val="Tablefont"/>
            </w:pPr>
            <w:r>
              <w:t>79-29-</w:t>
            </w:r>
            <w:proofErr w:type="gramStart"/>
            <w:r>
              <w:t>8,</w:t>
            </w:r>
            <w:r w:rsidR="00916B15">
              <w:t xml:space="preserve"> </w:t>
            </w:r>
            <w:r w:rsidR="00650091">
              <w:t xml:space="preserve">  </w:t>
            </w:r>
            <w:proofErr w:type="gramEnd"/>
            <w:r w:rsidR="00650091">
              <w:t xml:space="preserve"> </w:t>
            </w:r>
            <w:r>
              <w:t>(</w:t>
            </w:r>
            <w:proofErr w:type="spellStart"/>
            <w:r>
              <w:t>Diisopropyl</w:t>
            </w:r>
            <w:proofErr w:type="spellEnd"/>
            <w:r>
              <w:t>)</w:t>
            </w:r>
          </w:p>
          <w:p w14:paraId="3EF54D89" w14:textId="77777777" w:rsidR="00F51193" w:rsidRDefault="00F51193" w:rsidP="00F51193">
            <w:pPr>
              <w:pStyle w:val="Tablefont"/>
            </w:pPr>
            <w:r>
              <w:t>107-83-</w:t>
            </w:r>
            <w:proofErr w:type="gramStart"/>
            <w:r>
              <w:t>5,</w:t>
            </w:r>
            <w:r w:rsidR="00916B15">
              <w:t xml:space="preserve"> </w:t>
            </w:r>
            <w:r w:rsidR="00650091">
              <w:t xml:space="preserve"> </w:t>
            </w:r>
            <w:r>
              <w:t>(</w:t>
            </w:r>
            <w:proofErr w:type="spellStart"/>
            <w:proofErr w:type="gramEnd"/>
            <w:r>
              <w:t>Isohexane</w:t>
            </w:r>
            <w:proofErr w:type="spellEnd"/>
            <w:r>
              <w:t>)</w:t>
            </w:r>
          </w:p>
          <w:p w14:paraId="63AC5849" w14:textId="77777777" w:rsidR="00F43AD5" w:rsidRPr="00717D45" w:rsidRDefault="00F51193" w:rsidP="00F51193">
            <w:pPr>
              <w:pStyle w:val="Tablefont"/>
            </w:pPr>
            <w:r>
              <w:t>96-14-</w:t>
            </w:r>
            <w:proofErr w:type="gramStart"/>
            <w:r>
              <w:t>0,</w:t>
            </w:r>
            <w:r w:rsidR="00916B15">
              <w:t xml:space="preserve"> </w:t>
            </w:r>
            <w:r w:rsidR="00650091">
              <w:t xml:space="preserve">  </w:t>
            </w:r>
            <w:proofErr w:type="gramEnd"/>
            <w:r w:rsidR="00650091">
              <w:t xml:space="preserve"> </w:t>
            </w:r>
            <w:r>
              <w:t>(</w:t>
            </w:r>
            <w:proofErr w:type="spellStart"/>
            <w:r>
              <w:t>Diethylmethylmethane</w:t>
            </w:r>
            <w:proofErr w:type="spellEnd"/>
            <w:r>
              <w:t>)</w:t>
            </w:r>
          </w:p>
        </w:tc>
      </w:tr>
      <w:tr w:rsidR="00F43AD5" w:rsidRPr="004C23F4" w14:paraId="4C84F79E" w14:textId="77777777" w:rsidTr="00B76A41">
        <w:trPr>
          <w:cantSplit/>
        </w:trPr>
        <w:tc>
          <w:tcPr>
            <w:tcW w:w="4077" w:type="dxa"/>
          </w:tcPr>
          <w:p w14:paraId="22EA0AC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7AB2A5D" w14:textId="77777777" w:rsidR="00F43AD5" w:rsidRPr="00717D45" w:rsidRDefault="00C2043D" w:rsidP="00B76A41">
            <w:pPr>
              <w:pStyle w:val="Tablefont"/>
            </w:pPr>
            <w:r>
              <w:t>C</w:t>
            </w:r>
            <w:r w:rsidRPr="00C2043D">
              <w:rPr>
                <w:vertAlign w:val="subscript"/>
              </w:rPr>
              <w:t>6</w:t>
            </w:r>
            <w:r>
              <w:t>H</w:t>
            </w:r>
            <w:r w:rsidRPr="00C2043D">
              <w:rPr>
                <w:vertAlign w:val="subscript"/>
              </w:rPr>
              <w:t>14</w:t>
            </w:r>
          </w:p>
        </w:tc>
      </w:tr>
      <w:tr w:rsidR="00F43AD5" w:rsidRPr="004C23F4" w14:paraId="6A23CF96" w14:textId="77777777" w:rsidTr="00B76A41">
        <w:trPr>
          <w:cantSplit/>
        </w:trPr>
        <w:tc>
          <w:tcPr>
            <w:tcW w:w="4077" w:type="dxa"/>
          </w:tcPr>
          <w:p w14:paraId="241C4D5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CCF5CB0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ADF8CDF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26F0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9637757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D2C4FF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8052B85" w14:textId="77777777" w:rsidR="002C7AFE" w:rsidRPr="00EA026E" w:rsidRDefault="00EA026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 (1,760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037E52" w:rsidRPr="004C23F4" w14:paraId="6C112B2D" w14:textId="77777777" w:rsidTr="00037E52">
        <w:trPr>
          <w:cantSplit/>
        </w:trPr>
        <w:tc>
          <w:tcPr>
            <w:tcW w:w="4010" w:type="dxa"/>
            <w:vAlign w:val="center"/>
          </w:tcPr>
          <w:p w14:paraId="57E61F44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24A6BAA" w14:textId="77777777" w:rsidR="00037E52" w:rsidRPr="00EA026E" w:rsidRDefault="00EA026E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1,000 ppm (3,500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037E52" w:rsidRPr="004C23F4" w14:paraId="7BA59C62" w14:textId="77777777" w:rsidTr="00037E52">
        <w:trPr>
          <w:cantSplit/>
        </w:trPr>
        <w:tc>
          <w:tcPr>
            <w:tcW w:w="4010" w:type="dxa"/>
            <w:vAlign w:val="center"/>
          </w:tcPr>
          <w:p w14:paraId="69B2560E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99C48E6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24484EB" w14:textId="77777777" w:rsidTr="00037E52">
        <w:trPr>
          <w:cantSplit/>
        </w:trPr>
        <w:tc>
          <w:tcPr>
            <w:tcW w:w="4010" w:type="dxa"/>
          </w:tcPr>
          <w:p w14:paraId="1B6D4D1F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4B3458EE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D5ED86C" w14:textId="77777777" w:rsidTr="00037E52">
        <w:trPr>
          <w:cantSplit/>
        </w:trPr>
        <w:tc>
          <w:tcPr>
            <w:tcW w:w="4010" w:type="dxa"/>
            <w:vAlign w:val="center"/>
          </w:tcPr>
          <w:p w14:paraId="09ABF8C7" w14:textId="77777777" w:rsidR="00037E52" w:rsidRPr="002C58FF" w:rsidRDefault="00037E52" w:rsidP="00037E5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6" w:type="dxa"/>
          </w:tcPr>
          <w:p w14:paraId="25738FC2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4151A288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1AA18400" w14:textId="77777777" w:rsidR="00155999" w:rsidRPr="00EB3D1B" w:rsidRDefault="00155999" w:rsidP="00037E52">
            <w:pPr>
              <w:pStyle w:val="Tablefont"/>
              <w:rPr>
                <w:b/>
              </w:rPr>
            </w:pPr>
            <w:r w:rsidRPr="00916B15">
              <w:rPr>
                <w:b/>
              </w:rPr>
              <w:t>Sampling and analysis:</w:t>
            </w:r>
            <w:r w:rsidRPr="00916B15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50091" w:rsidRPr="0065009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3D50D8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F74D0E1" w14:textId="77777777" w:rsidR="006639B4" w:rsidRDefault="00EA026E" w:rsidP="000C139A">
      <w:r>
        <w:rPr>
          <w:rFonts w:cs="Arial"/>
        </w:rPr>
        <w:t>A TWA of 500 ppm (1,760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protect for </w:t>
      </w:r>
      <w:r>
        <w:t>eye and mucous membrane irritation</w:t>
      </w:r>
      <w:r w:rsidR="000F08DE">
        <w:t xml:space="preserve"> and</w:t>
      </w:r>
      <w:r>
        <w:t xml:space="preserve"> </w:t>
      </w:r>
      <w:r w:rsidR="000F08DE">
        <w:t>central nervous system (</w:t>
      </w:r>
      <w:r>
        <w:t>CNS</w:t>
      </w:r>
      <w:r w:rsidR="000F08DE">
        <w:t>)</w:t>
      </w:r>
      <w:r>
        <w:t xml:space="preserve"> </w:t>
      </w:r>
      <w:r w:rsidR="000F08DE">
        <w:t>depression</w:t>
      </w:r>
      <w:r>
        <w:t xml:space="preserve"> in exposed workers.</w:t>
      </w:r>
    </w:p>
    <w:p w14:paraId="4F7E23AD" w14:textId="77777777" w:rsidR="00EA026E" w:rsidRPr="00EA026E" w:rsidRDefault="00EA026E" w:rsidP="000C139A">
      <w:pPr>
        <w:rPr>
          <w:rFonts w:cs="Arial"/>
        </w:rPr>
      </w:pPr>
      <w:r>
        <w:rPr>
          <w:rFonts w:cs="Arial"/>
        </w:rPr>
        <w:t>A STEL of 1,000 ppm (3,500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protect for </w:t>
      </w:r>
      <w:r w:rsidR="00DB759D">
        <w:rPr>
          <w:rFonts w:cs="Arial"/>
        </w:rPr>
        <w:t xml:space="preserve">acute </w:t>
      </w:r>
      <w:r>
        <w:t>eye and mucous membrane irritation</w:t>
      </w:r>
      <w:r w:rsidR="000F08DE">
        <w:t xml:space="preserve"> and</w:t>
      </w:r>
      <w:r>
        <w:t xml:space="preserve"> CNS effects in </w:t>
      </w:r>
      <w:r w:rsidR="00DB759D">
        <w:t>exposed workers</w:t>
      </w:r>
      <w:r>
        <w:t>.</w:t>
      </w:r>
    </w:p>
    <w:p w14:paraId="352B78D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FC6C304" w14:textId="77777777" w:rsidR="00DB759D" w:rsidRDefault="00D26F08" w:rsidP="006639B4">
      <w:r>
        <w:t>Hexanes are solvents used in vegetable oils, glues, coatings and paints. They are also found in petroleum fuels.</w:t>
      </w:r>
      <w:r w:rsidR="00916B15">
        <w:t xml:space="preserve"> </w:t>
      </w:r>
    </w:p>
    <w:p w14:paraId="6734492B" w14:textId="10192F74" w:rsidR="004D130B" w:rsidRDefault="00D26F08" w:rsidP="006639B4">
      <w:r>
        <w:t>Critical effects</w:t>
      </w:r>
      <w:r w:rsidR="00DB759D">
        <w:t xml:space="preserve"> of exposure</w:t>
      </w:r>
      <w:r>
        <w:t xml:space="preserve"> are irritation of the eyes and mucous membranes, dizziness and </w:t>
      </w:r>
      <w:r w:rsidR="00650091">
        <w:t>CNS</w:t>
      </w:r>
      <w:r w:rsidR="000F08DE">
        <w:t xml:space="preserve"> </w:t>
      </w:r>
      <w:r w:rsidR="0049114C">
        <w:t>depression</w:t>
      </w:r>
      <w:r>
        <w:t xml:space="preserve">. Exposure of volunteers </w:t>
      </w:r>
      <w:r w:rsidR="004D130B">
        <w:t xml:space="preserve">at </w:t>
      </w:r>
      <w:r>
        <w:t xml:space="preserve">2,000 ppm for </w:t>
      </w:r>
      <w:r w:rsidR="00650091">
        <w:t xml:space="preserve">ten </w:t>
      </w:r>
      <w:r>
        <w:t>min</w:t>
      </w:r>
      <w:r w:rsidR="00916B15">
        <w:t>utes</w:t>
      </w:r>
      <w:r>
        <w:t xml:space="preserve"> caused no reported effect with 5,000 ppm causing dizziness and </w:t>
      </w:r>
      <w:r w:rsidR="006C4F57">
        <w:t xml:space="preserve">a </w:t>
      </w:r>
      <w:r>
        <w:t xml:space="preserve">sense of giddiness. </w:t>
      </w:r>
      <w:r w:rsidR="000F08DE">
        <w:t>S</w:t>
      </w:r>
      <w:r>
        <w:t>light nausea, headach</w:t>
      </w:r>
      <w:r w:rsidR="00220067">
        <w:t>e</w:t>
      </w:r>
      <w:r>
        <w:t xml:space="preserve"> and eye and throat irritation </w:t>
      </w:r>
      <w:r w:rsidR="000F08DE">
        <w:t xml:space="preserve">is reported </w:t>
      </w:r>
      <w:r>
        <w:t>in humans at 1,400 to 1,500 ppm.</w:t>
      </w:r>
      <w:r w:rsidR="00916B15">
        <w:t xml:space="preserve"> </w:t>
      </w:r>
      <w:r>
        <w:t xml:space="preserve">Exposure </w:t>
      </w:r>
      <w:r w:rsidR="004D130B">
        <w:t xml:space="preserve">at </w:t>
      </w:r>
      <w:r>
        <w:t>1,000</w:t>
      </w:r>
      <w:r w:rsidR="00E9464E">
        <w:t> </w:t>
      </w:r>
      <w:r>
        <w:t>ppm produced signs of CNS depression</w:t>
      </w:r>
      <w:r w:rsidR="000F08DE">
        <w:t xml:space="preserve"> including</w:t>
      </w:r>
      <w:r>
        <w:t xml:space="preserve"> dizziness but these</w:t>
      </w:r>
      <w:r w:rsidR="003E76B6">
        <w:t xml:space="preserve"> effects</w:t>
      </w:r>
      <w:r>
        <w:t xml:space="preserve"> were not observed </w:t>
      </w:r>
      <w:r w:rsidR="000F08DE">
        <w:t>at concentrations</w:t>
      </w:r>
      <w:r w:rsidR="00FD2848">
        <w:t xml:space="preserve"> less than 500 </w:t>
      </w:r>
      <w:r>
        <w:t>ppm (</w:t>
      </w:r>
      <w:proofErr w:type="spellStart"/>
      <w:r>
        <w:t>ACGIH</w:t>
      </w:r>
      <w:proofErr w:type="spellEnd"/>
      <w:r>
        <w:t>, 2018).</w:t>
      </w:r>
      <w:r w:rsidR="00EA026E">
        <w:t xml:space="preserve"> </w:t>
      </w:r>
    </w:p>
    <w:p w14:paraId="5BE7D2DB" w14:textId="77777777" w:rsidR="006639B4" w:rsidRPr="00EA026E" w:rsidRDefault="00D26F08" w:rsidP="006639B4">
      <w:r>
        <w:rPr>
          <w:rFonts w:cs="Arial"/>
        </w:rPr>
        <w:t>The evidence in humans suggests no effects at 500</w:t>
      </w:r>
      <w:r w:rsidR="00E9464E">
        <w:rPr>
          <w:rFonts w:cs="Arial"/>
        </w:rPr>
        <w:t> </w:t>
      </w:r>
      <w:r>
        <w:rPr>
          <w:rFonts w:cs="Arial"/>
        </w:rPr>
        <w:t>ppm and acute, non-severe effects at concentrations greater than 1,400 ppm.</w:t>
      </w:r>
      <w:r w:rsidR="00EA026E">
        <w:rPr>
          <w:rFonts w:cs="Arial"/>
        </w:rPr>
        <w:t xml:space="preserve"> As </w:t>
      </w:r>
      <w:r w:rsidR="001901DE">
        <w:rPr>
          <w:rFonts w:cs="Arial"/>
        </w:rPr>
        <w:t xml:space="preserve">such, it is recommended that </w:t>
      </w:r>
      <w:r w:rsidR="00EA026E">
        <w:rPr>
          <w:rFonts w:cs="Arial"/>
        </w:rPr>
        <w:t>the TWA of 500</w:t>
      </w:r>
      <w:r w:rsidR="00E9464E">
        <w:rPr>
          <w:rFonts w:cs="Arial"/>
        </w:rPr>
        <w:t> </w:t>
      </w:r>
      <w:r w:rsidR="00EA026E">
        <w:rPr>
          <w:rFonts w:cs="Arial"/>
        </w:rPr>
        <w:t xml:space="preserve">ppm and STEL of 1,000 ppm </w:t>
      </w:r>
      <w:r w:rsidR="001901DE">
        <w:rPr>
          <w:rFonts w:cs="Arial"/>
        </w:rPr>
        <w:t>be retained</w:t>
      </w:r>
      <w:r w:rsidR="00EA026E">
        <w:rPr>
          <w:rFonts w:cs="Arial"/>
        </w:rPr>
        <w:t>.</w:t>
      </w:r>
    </w:p>
    <w:p w14:paraId="67910C66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42959406" w14:textId="77777777" w:rsidR="008E4F1F" w:rsidRPr="00EA026E" w:rsidRDefault="008E4F1F" w:rsidP="008E4F1F">
      <w:pPr>
        <w:rPr>
          <w:rFonts w:cs="Arial"/>
        </w:rPr>
      </w:pPr>
      <w:r w:rsidRPr="00EA026E">
        <w:rPr>
          <w:rFonts w:cs="Arial"/>
        </w:rPr>
        <w:t>Not classified as a carcinogen according to the Globally Harmonized System of</w:t>
      </w:r>
      <w:r w:rsidR="00155999" w:rsidRPr="00EA026E">
        <w:rPr>
          <w:rFonts w:cs="Arial"/>
        </w:rPr>
        <w:t xml:space="preserve"> Classification and Labelling of</w:t>
      </w:r>
      <w:r w:rsidRPr="00EA026E">
        <w:rPr>
          <w:rFonts w:cs="Arial"/>
        </w:rPr>
        <w:t xml:space="preserve"> Chemicals (GHS). </w:t>
      </w:r>
    </w:p>
    <w:p w14:paraId="7F5C8464" w14:textId="77777777" w:rsidR="008E4F1F" w:rsidRPr="00EA026E" w:rsidRDefault="008E4F1F" w:rsidP="008E4F1F">
      <w:pPr>
        <w:rPr>
          <w:rFonts w:cs="Arial"/>
        </w:rPr>
      </w:pPr>
      <w:r w:rsidRPr="00EA026E">
        <w:rPr>
          <w:rFonts w:cs="Arial"/>
        </w:rPr>
        <w:t xml:space="preserve">Not classified as a skin </w:t>
      </w:r>
      <w:r w:rsidR="00155999" w:rsidRPr="00EA026E">
        <w:rPr>
          <w:rFonts w:cs="Arial"/>
        </w:rPr>
        <w:t xml:space="preserve">sensitiser </w:t>
      </w:r>
      <w:r w:rsidRPr="00EA026E">
        <w:rPr>
          <w:rFonts w:cs="Arial"/>
        </w:rPr>
        <w:t>or respiratory sensitiser according to the GHS.</w:t>
      </w:r>
    </w:p>
    <w:p w14:paraId="1B4FE4D8" w14:textId="77777777" w:rsidR="004529F0" w:rsidRPr="004C23F4" w:rsidRDefault="00650091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EA026E">
        <w:rPr>
          <w:rFonts w:cs="Arial"/>
        </w:rPr>
        <w:t xml:space="preserve">nsufficient </w:t>
      </w:r>
      <w:r>
        <w:rPr>
          <w:rFonts w:cs="Arial"/>
        </w:rPr>
        <w:t>data</w:t>
      </w:r>
      <w:r w:rsidRPr="00EA026E">
        <w:rPr>
          <w:rFonts w:cs="Arial"/>
        </w:rPr>
        <w:t xml:space="preserve"> </w:t>
      </w:r>
      <w:r w:rsidR="008E4F1F" w:rsidRPr="00EA026E">
        <w:rPr>
          <w:rFonts w:cs="Arial"/>
        </w:rPr>
        <w:t>to recommend a skin notation.</w:t>
      </w:r>
    </w:p>
    <w:p w14:paraId="630AF753" w14:textId="77777777" w:rsidR="0025734A" w:rsidRPr="004C23F4" w:rsidRDefault="0025734A">
      <w:pPr>
        <w:rPr>
          <w:rFonts w:cs="Arial"/>
        </w:rPr>
      </w:pPr>
    </w:p>
    <w:p w14:paraId="36BF289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E84B88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4A7785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879305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7C194E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7FF6E6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C4040B7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2043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2043D">
                  <w:t>TWA: 500 ppm (1760 mg/</w:t>
                </w:r>
                <w:proofErr w:type="spellStart"/>
                <w:r w:rsidR="00C2043D">
                  <w:t>m</w:t>
                </w:r>
                <w:r w:rsidR="00C2043D" w:rsidRPr="00C2043D">
                  <w:rPr>
                    <w:vertAlign w:val="superscript"/>
                  </w:rPr>
                  <w:t>3</w:t>
                </w:r>
                <w:proofErr w:type="spellEnd"/>
                <w:r w:rsidR="00C2043D">
                  <w:t>); STEL: 1</w:t>
                </w:r>
                <w:r w:rsidR="00220067">
                  <w:t>,</w:t>
                </w:r>
                <w:r w:rsidR="00C2043D">
                  <w:t>000 ppm (3</w:t>
                </w:r>
                <w:r w:rsidR="00220067">
                  <w:t>,</w:t>
                </w:r>
                <w:r w:rsidR="00C2043D">
                  <w:t>500 mg/</w:t>
                </w:r>
                <w:proofErr w:type="spellStart"/>
                <w:r w:rsidR="00C2043D">
                  <w:t>m</w:t>
                </w:r>
                <w:r w:rsidR="00C2043D" w:rsidRPr="00C2043D">
                  <w:rPr>
                    <w:vertAlign w:val="superscript"/>
                  </w:rPr>
                  <w:t>3</w:t>
                </w:r>
                <w:proofErr w:type="spellEnd"/>
                <w:r w:rsidR="00C2043D">
                  <w:t>)</w:t>
                </w:r>
              </w:sdtContent>
            </w:sdt>
          </w:p>
        </w:tc>
      </w:tr>
      <w:tr w:rsidR="00C978F0" w:rsidRPr="00DA352E" w14:paraId="3B0F9A2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3BD2B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7CF96E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98FA84" w14:textId="6669E4D7" w:rsidR="00C978F0" w:rsidRPr="00DA352E" w:rsidRDefault="00DA352E" w:rsidP="003A5CB0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2" w:hanging="2852"/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2043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2043D">
                  <w:t>TLV-TWA: 500 ppm (1760 mg/</w:t>
                </w:r>
                <w:proofErr w:type="spellStart"/>
                <w:r w:rsidR="00C2043D">
                  <w:t>m</w:t>
                </w:r>
                <w:r w:rsidR="00C2043D" w:rsidRPr="00C2043D">
                  <w:rPr>
                    <w:vertAlign w:val="superscript"/>
                  </w:rPr>
                  <w:t>3</w:t>
                </w:r>
                <w:proofErr w:type="spellEnd"/>
                <w:r w:rsidR="00C2043D">
                  <w:t>); TLV-STEL: 1</w:t>
                </w:r>
                <w:r w:rsidR="00D26F08">
                  <w:t>,</w:t>
                </w:r>
                <w:r w:rsidR="00C2043D">
                  <w:t>000 ppm (3</w:t>
                </w:r>
                <w:r w:rsidR="00D26F08">
                  <w:t>,</w:t>
                </w:r>
                <w:r w:rsidR="00C2043D">
                  <w:t>500</w:t>
                </w:r>
                <w:r w:rsidR="003A5CB0">
                  <w:t> </w:t>
                </w:r>
                <w:r w:rsidR="00C2043D">
                  <w:t>mg/</w:t>
                </w:r>
                <w:proofErr w:type="spellStart"/>
                <w:r w:rsidR="00C2043D">
                  <w:t>m</w:t>
                </w:r>
                <w:r w:rsidR="00C2043D" w:rsidRPr="00C2043D">
                  <w:rPr>
                    <w:vertAlign w:val="superscript"/>
                  </w:rPr>
                  <w:t>3</w:t>
                </w:r>
                <w:proofErr w:type="spellEnd"/>
                <w:r w:rsidR="00C2043D">
                  <w:t>)</w:t>
                </w:r>
              </w:sdtContent>
            </w:sdt>
          </w:p>
        </w:tc>
      </w:tr>
      <w:tr w:rsidR="00C978F0" w:rsidRPr="00DA352E" w14:paraId="45EF20B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DE27C4" w14:textId="77777777" w:rsidR="00C978F0" w:rsidRDefault="00724273" w:rsidP="00916B15">
            <w:pPr>
              <w:pStyle w:val="Tabletextprimarysource"/>
            </w:pPr>
            <w:r>
              <w:t>TLV-TWA recommended to minimise the potential for eye and mucous membrane irritation, dizziness and CNS depression.</w:t>
            </w:r>
          </w:p>
          <w:p w14:paraId="62A854FB" w14:textId="77777777" w:rsidR="00724273" w:rsidRDefault="00724273" w:rsidP="00916B15">
            <w:pPr>
              <w:pStyle w:val="Tabletextprimarysource"/>
            </w:pPr>
            <w:r>
              <w:t>Summary of data:</w:t>
            </w:r>
          </w:p>
          <w:p w14:paraId="6ED105A9" w14:textId="77777777" w:rsidR="00724273" w:rsidRDefault="00724273">
            <w:pPr>
              <w:pStyle w:val="Tabletextprimarysource"/>
            </w:pPr>
            <w:r>
              <w:t>Human data:</w:t>
            </w:r>
          </w:p>
          <w:p w14:paraId="63D3147C" w14:textId="4B6AC856" w:rsidR="000F08DE" w:rsidRDefault="00FD2848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effects reported following e</w:t>
            </w:r>
            <w:r w:rsidR="00724273">
              <w:t xml:space="preserve">xposure </w:t>
            </w:r>
            <w:r w:rsidR="006258C5">
              <w:t xml:space="preserve">at </w:t>
            </w:r>
            <w:r w:rsidR="00724273">
              <w:t>2,000 ppm for 10 min</w:t>
            </w:r>
            <w:r w:rsidR="003B418F">
              <w:t>:</w:t>
            </w:r>
          </w:p>
          <w:p w14:paraId="33C5CF0F" w14:textId="77777777" w:rsidR="00724273" w:rsidRDefault="00724273" w:rsidP="000F08DE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 xml:space="preserve">5,000 ppm caused dizziness and sense of </w:t>
            </w:r>
            <w:proofErr w:type="gramStart"/>
            <w:r>
              <w:t>giddiness;</w:t>
            </w:r>
            <w:proofErr w:type="gramEnd"/>
            <w:r>
              <w:t xml:space="preserve"> no further information</w:t>
            </w:r>
          </w:p>
          <w:p w14:paraId="46A54F83" w14:textId="5858D023" w:rsidR="00724273" w:rsidRDefault="00FD2848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</w:t>
            </w:r>
            <w:r w:rsidR="00724273">
              <w:t xml:space="preserve">light nausea, headache and eye and throat irritation </w:t>
            </w:r>
            <w:r>
              <w:t xml:space="preserve">reported </w:t>
            </w:r>
            <w:r w:rsidR="00724273">
              <w:t>at 1,400</w:t>
            </w:r>
            <w:r w:rsidR="00220067">
              <w:t>–</w:t>
            </w:r>
            <w:r w:rsidR="00724273">
              <w:t xml:space="preserve">1,500 </w:t>
            </w:r>
            <w:proofErr w:type="gramStart"/>
            <w:r w:rsidR="00724273">
              <w:t>ppm;</w:t>
            </w:r>
            <w:proofErr w:type="gramEnd"/>
            <w:r w:rsidR="00724273">
              <w:t xml:space="preserve"> no further information</w:t>
            </w:r>
          </w:p>
          <w:p w14:paraId="4EE81EFE" w14:textId="77777777" w:rsidR="00724273" w:rsidRDefault="00724273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Unacclimated subjects exposed at 500 ppm reported no </w:t>
            </w:r>
            <w:proofErr w:type="gramStart"/>
            <w:r>
              <w:t>irritation;</w:t>
            </w:r>
            <w:proofErr w:type="gramEnd"/>
            <w:r>
              <w:t xml:space="preserve"> no further information</w:t>
            </w:r>
          </w:p>
          <w:p w14:paraId="39F9DE46" w14:textId="77777777" w:rsidR="003A3329" w:rsidRDefault="00724273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&gt;1,000 ppm frequent observations of signs of CNS depression, such as dizziness</w:t>
            </w:r>
            <w:r w:rsidR="00793692">
              <w:t>:</w:t>
            </w:r>
          </w:p>
          <w:p w14:paraId="41D101C4" w14:textId="77777777" w:rsidR="00724273" w:rsidRDefault="00724273" w:rsidP="000F08DE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 xml:space="preserve">not observed </w:t>
            </w:r>
            <w:r w:rsidR="000F08DE">
              <w:t>at</w:t>
            </w:r>
            <w:r>
              <w:t xml:space="preserve"> levels &lt;500 ppm</w:t>
            </w:r>
          </w:p>
          <w:p w14:paraId="0A3D89FB" w14:textId="77777777" w:rsidR="00724273" w:rsidRDefault="00724273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Metabolic process likely different to that of </w:t>
            </w:r>
            <w:r w:rsidRPr="00371589">
              <w:rPr>
                <w:i/>
              </w:rPr>
              <w:t>n</w:t>
            </w:r>
            <w:r>
              <w:t>-hexane</w:t>
            </w:r>
            <w:r w:rsidR="00650091">
              <w:t>.</w:t>
            </w:r>
          </w:p>
          <w:p w14:paraId="75E32A7D" w14:textId="77777777" w:rsidR="008E5835" w:rsidRDefault="008E5835" w:rsidP="00916B15">
            <w:pPr>
              <w:pStyle w:val="Tabletextprimarysource"/>
            </w:pPr>
            <w:r>
              <w:t>Animal data:</w:t>
            </w:r>
          </w:p>
          <w:p w14:paraId="26E1E21E" w14:textId="77777777" w:rsidR="003A3329" w:rsidRDefault="008E5835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Narcosis in mice within 30</w:t>
            </w:r>
            <w:r w:rsidR="00220067">
              <w:t>–</w:t>
            </w:r>
            <w:r>
              <w:t>60 min when exposed at 30,000 ppm</w:t>
            </w:r>
          </w:p>
          <w:p w14:paraId="42AC512B" w14:textId="77777777" w:rsidR="008E5835" w:rsidRDefault="008E5835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35,000</w:t>
            </w:r>
            <w:r w:rsidR="00220067">
              <w:t>–</w:t>
            </w:r>
            <w:r>
              <w:t>40,000 ppm resulted in convulsions and death</w:t>
            </w:r>
            <w:r w:rsidR="00916B15">
              <w:t>.</w:t>
            </w:r>
          </w:p>
          <w:p w14:paraId="67B2C845" w14:textId="77777777" w:rsidR="00B121D3" w:rsidRDefault="00B121D3" w:rsidP="00916B15">
            <w:pPr>
              <w:pStyle w:val="Tabletextprimarysource"/>
            </w:pPr>
          </w:p>
          <w:p w14:paraId="50B9DD40" w14:textId="77777777" w:rsidR="008E5835" w:rsidRDefault="00C410CA" w:rsidP="00916B15">
            <w:pPr>
              <w:pStyle w:val="Tabletextprimarysource"/>
            </w:pPr>
            <w:r>
              <w:t>Insufficient data to recommend a skin, sensitiser or carcinogen notation.</w:t>
            </w:r>
          </w:p>
          <w:p w14:paraId="0569C675" w14:textId="77777777" w:rsidR="00B121D3" w:rsidRPr="00DA352E" w:rsidRDefault="00B121D3" w:rsidP="00916B15">
            <w:pPr>
              <w:pStyle w:val="Tabletextprimarysource"/>
            </w:pPr>
          </w:p>
        </w:tc>
      </w:tr>
      <w:tr w:rsidR="00C978F0" w:rsidRPr="00DA352E" w14:paraId="1FC4878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C5E3E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2043D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2043D">
                  <w:t>MAK: 200 ppm (700 mg/</w:t>
                </w:r>
                <w:proofErr w:type="spellStart"/>
                <w:r w:rsidR="00C2043D">
                  <w:t>m</w:t>
                </w:r>
                <w:r w:rsidR="00C2043D" w:rsidRPr="00C2043D">
                  <w:rPr>
                    <w:vertAlign w:val="superscript"/>
                  </w:rPr>
                  <w:t>3</w:t>
                </w:r>
                <w:proofErr w:type="spellEnd"/>
                <w:r w:rsidR="00C2043D">
                  <w:t>)</w:t>
                </w:r>
              </w:sdtContent>
            </w:sdt>
          </w:p>
        </w:tc>
      </w:tr>
      <w:tr w:rsidR="00C978F0" w:rsidRPr="00DA352E" w14:paraId="06C2177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8F4C5C" w14:textId="77777777" w:rsidR="00C978F0" w:rsidRDefault="00C410CA" w:rsidP="00916B15">
            <w:pPr>
              <w:pStyle w:val="Tabletextprimarysource"/>
            </w:pPr>
            <w:r>
              <w:t xml:space="preserve">MAK recommended to </w:t>
            </w:r>
            <w:r w:rsidR="00E20477">
              <w:t>minimise irritation</w:t>
            </w:r>
            <w:r w:rsidR="00B42D58">
              <w:t>, CNS effects</w:t>
            </w:r>
            <w:r w:rsidR="00E20477">
              <w:t xml:space="preserve"> and </w:t>
            </w:r>
            <w:r w:rsidR="00B42D58">
              <w:t xml:space="preserve">potential </w:t>
            </w:r>
            <w:r w:rsidR="00E20477">
              <w:t>kidney effects in exposed workers.</w:t>
            </w:r>
          </w:p>
          <w:p w14:paraId="017156DE" w14:textId="77777777" w:rsidR="00E20477" w:rsidRDefault="00E20477" w:rsidP="00916B15">
            <w:pPr>
              <w:pStyle w:val="Tabletextprimarysource"/>
            </w:pPr>
            <w:r>
              <w:t>Summary of additional data:</w:t>
            </w:r>
          </w:p>
          <w:p w14:paraId="741E3645" w14:textId="77777777" w:rsidR="006258C5" w:rsidRPr="000F08DE" w:rsidRDefault="00E20477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exposed </w:t>
            </w:r>
            <w:r w:rsidR="006258C5">
              <w:t xml:space="preserve">at </w:t>
            </w:r>
            <w:r>
              <w:t>1,500 ppm (</w:t>
            </w:r>
            <w:r>
              <w:rPr>
                <w:rFonts w:cs="Arial"/>
                <w:color w:val="1C1D1E"/>
                <w:shd w:val="clear" w:color="auto" w:fill="FFFFFF"/>
              </w:rPr>
              <w:t>purified 2</w:t>
            </w:r>
            <w:r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methylpentane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(98%) or 3</w:t>
            </w:r>
            <w:r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methylpentane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(99%) for 9 h/d, 5 d/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wk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for 15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wk</w:t>
            </w:r>
            <w:proofErr w:type="spellEnd"/>
            <w:r w:rsidR="00793692">
              <w:rPr>
                <w:rFonts w:cs="Arial"/>
                <w:color w:val="1C1D1E"/>
                <w:shd w:val="clear" w:color="auto" w:fill="FFFFFF"/>
              </w:rPr>
              <w:t>:</w:t>
            </w:r>
          </w:p>
          <w:p w14:paraId="4614FB0A" w14:textId="30839623" w:rsidR="006258C5" w:rsidRPr="000F08DE" w:rsidRDefault="006258C5" w:rsidP="000F08D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n</w:t>
            </w:r>
            <w:r w:rsidR="00E20477">
              <w:rPr>
                <w:rFonts w:cs="Arial"/>
                <w:color w:val="1C1D1E"/>
                <w:shd w:val="clear" w:color="auto" w:fill="FFFFFF"/>
              </w:rPr>
              <w:t xml:space="preserve">o effects observed other than </w:t>
            </w:r>
            <w:r w:rsidR="004F62DF">
              <w:rPr>
                <w:rFonts w:cs="Arial"/>
                <w:color w:val="1C1D1E"/>
                <w:shd w:val="clear" w:color="auto" w:fill="FFFFFF"/>
              </w:rPr>
              <w:t>body weight</w:t>
            </w:r>
            <w:r w:rsidR="00E20477">
              <w:rPr>
                <w:rFonts w:cs="Arial"/>
                <w:color w:val="1C1D1E"/>
                <w:shd w:val="clear" w:color="auto" w:fill="FFFFFF"/>
              </w:rPr>
              <w:t xml:space="preserve"> reduction in 2</w:t>
            </w:r>
            <w:r w:rsidR="00E20477"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proofErr w:type="spellStart"/>
            <w:r w:rsidR="00E20477">
              <w:rPr>
                <w:rFonts w:cs="Arial"/>
                <w:color w:val="1C1D1E"/>
                <w:shd w:val="clear" w:color="auto" w:fill="FFFFFF"/>
              </w:rPr>
              <w:t>methylpentane</w:t>
            </w:r>
            <w:proofErr w:type="spellEnd"/>
            <w:r w:rsidR="00E20477">
              <w:rPr>
                <w:rFonts w:cs="Arial"/>
                <w:color w:val="1C1D1E"/>
                <w:shd w:val="clear" w:color="auto" w:fill="FFFFFF"/>
              </w:rPr>
              <w:t xml:space="preserve"> group</w:t>
            </w:r>
          </w:p>
          <w:p w14:paraId="2DEF8B52" w14:textId="77777777" w:rsidR="00E20477" w:rsidRPr="00B42D58" w:rsidRDefault="00B64DFA" w:rsidP="000F08D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no pathological changes</w:t>
            </w:r>
            <w:r w:rsidR="00B42D58">
              <w:rPr>
                <w:rFonts w:cs="Arial"/>
                <w:color w:val="1C1D1E"/>
                <w:shd w:val="clear" w:color="auto" w:fill="FFFFFF"/>
              </w:rPr>
              <w:t xml:space="preserve"> in peripheral nerve tissue on examination 7 and 14 </w:t>
            </w:r>
            <w:proofErr w:type="spellStart"/>
            <w:r w:rsidR="00B42D58">
              <w:rPr>
                <w:rFonts w:cs="Arial"/>
                <w:color w:val="1C1D1E"/>
                <w:shd w:val="clear" w:color="auto" w:fill="FFFFFF"/>
              </w:rPr>
              <w:t>wk</w:t>
            </w:r>
            <w:proofErr w:type="spellEnd"/>
            <w:r w:rsidR="00B42D58">
              <w:rPr>
                <w:rFonts w:cs="Arial"/>
                <w:color w:val="1C1D1E"/>
                <w:shd w:val="clear" w:color="auto" w:fill="FFFFFF"/>
              </w:rPr>
              <w:t xml:space="preserve"> later</w:t>
            </w:r>
          </w:p>
          <w:p w14:paraId="59C096B7" w14:textId="77777777" w:rsidR="006258C5" w:rsidRDefault="00B42D58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dosed by gavage at 0.5 mg/kg or 2.0 mg/kg </w:t>
            </w:r>
            <w:r>
              <w:rPr>
                <w:rFonts w:cs="Arial"/>
                <w:color w:val="1C1D1E"/>
                <w:shd w:val="clear" w:color="auto" w:fill="FFFFFF"/>
              </w:rPr>
              <w:t>2</w:t>
            </w:r>
            <w:r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methylpentane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or 2,3</w:t>
            </w:r>
            <w:r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r>
              <w:rPr>
                <w:rFonts w:cs="Arial"/>
                <w:color w:val="1C1D1E"/>
                <w:shd w:val="clear" w:color="auto" w:fill="FFFFFF"/>
              </w:rPr>
              <w:t>dimethylbutane,</w:t>
            </w:r>
            <w:r>
              <w:t xml:space="preserve"> 5</w:t>
            </w:r>
            <w:r w:rsidR="00B121D3">
              <w:t> 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 xml:space="preserve"> for 4 </w:t>
            </w:r>
            <w:proofErr w:type="spellStart"/>
            <w:r>
              <w:t>wk</w:t>
            </w:r>
            <w:proofErr w:type="spellEnd"/>
            <w:r>
              <w:t xml:space="preserve"> demonstrated reduced </w:t>
            </w:r>
            <w:proofErr w:type="spellStart"/>
            <w:r>
              <w:t>bw</w:t>
            </w:r>
            <w:proofErr w:type="spellEnd"/>
            <w:r w:rsidR="00793692">
              <w:t>:</w:t>
            </w:r>
          </w:p>
          <w:p w14:paraId="4C62C0B9" w14:textId="47EED046" w:rsidR="00B42D58" w:rsidRPr="00E20477" w:rsidRDefault="00B42D58" w:rsidP="000F08DE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 xml:space="preserve">kidney effects in male rats attributed to sex and </w:t>
            </w:r>
            <w:r w:rsidR="004F62DF">
              <w:t>species-specific</w:t>
            </w:r>
            <w:r>
              <w:t xml:space="preserve"> metabolism</w:t>
            </w:r>
          </w:p>
          <w:p w14:paraId="038855AC" w14:textId="77777777" w:rsidR="00E20477" w:rsidRDefault="00B42D58" w:rsidP="00DB759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consider </w:t>
            </w:r>
            <w:proofErr w:type="gramStart"/>
            <w:r>
              <w:t>provisional;</w:t>
            </w:r>
            <w:proofErr w:type="gramEnd"/>
            <w:r>
              <w:t xml:space="preserve"> no information on its derivation.</w:t>
            </w:r>
          </w:p>
          <w:p w14:paraId="204B6082" w14:textId="77777777" w:rsidR="00B121D3" w:rsidRPr="00DA352E" w:rsidRDefault="00B121D3" w:rsidP="00DB759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B8761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0B31E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2043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2043D">
                  <w:t>NA</w:t>
                </w:r>
                <w:proofErr w:type="spellEnd"/>
              </w:sdtContent>
            </w:sdt>
          </w:p>
        </w:tc>
      </w:tr>
      <w:tr w:rsidR="00C978F0" w:rsidRPr="00DA352E" w14:paraId="50AF29D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B0CCD7" w14:textId="77777777" w:rsidR="00C978F0" w:rsidRPr="00DA352E" w:rsidRDefault="00C2043D" w:rsidP="003365A5">
            <w:pPr>
              <w:pStyle w:val="Tabletextprimarysource"/>
            </w:pPr>
            <w:r>
              <w:t>No report</w:t>
            </w:r>
            <w:r w:rsidR="00916B15">
              <w:t>.</w:t>
            </w:r>
          </w:p>
        </w:tc>
      </w:tr>
      <w:tr w:rsidR="00DA352E" w:rsidRPr="00DA352E" w14:paraId="54B889E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E455B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2043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2043D">
                  <w:t>NA</w:t>
                </w:r>
                <w:proofErr w:type="spellEnd"/>
              </w:sdtContent>
            </w:sdt>
          </w:p>
        </w:tc>
      </w:tr>
      <w:tr w:rsidR="00DA352E" w:rsidRPr="00DA352E" w14:paraId="758CA9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8EF653" w14:textId="77777777" w:rsidR="00DA352E" w:rsidRPr="00DA352E" w:rsidRDefault="00C2043D" w:rsidP="003365A5">
            <w:pPr>
              <w:pStyle w:val="Tabletextprimarysource"/>
            </w:pPr>
            <w:r>
              <w:t>No report</w:t>
            </w:r>
            <w:r w:rsidR="00916B15">
              <w:t>.</w:t>
            </w:r>
          </w:p>
        </w:tc>
      </w:tr>
      <w:tr w:rsidR="00DA352E" w:rsidRPr="00DA352E" w14:paraId="2E207CD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57A9F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2043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2043D">
                  <w:t>NA</w:t>
                </w:r>
                <w:proofErr w:type="spellEnd"/>
              </w:sdtContent>
            </w:sdt>
          </w:p>
        </w:tc>
      </w:tr>
      <w:tr w:rsidR="00DA352E" w:rsidRPr="00DA352E" w14:paraId="053A6A7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630819" w14:textId="77777777" w:rsidR="00DA352E" w:rsidRPr="00DA352E" w:rsidRDefault="00C2043D" w:rsidP="003365A5">
            <w:pPr>
              <w:pStyle w:val="Tabletextprimarysource"/>
            </w:pPr>
            <w:r>
              <w:t>No report</w:t>
            </w:r>
            <w:r w:rsidR="00916B15">
              <w:t>.</w:t>
            </w:r>
          </w:p>
        </w:tc>
      </w:tr>
    </w:tbl>
    <w:p w14:paraId="2D12563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381EAF9" w14:textId="77777777" w:rsidR="007E2A4B" w:rsidRDefault="0014146D">
      <w:r>
        <w:t>N</w:t>
      </w:r>
      <w:r w:rsidR="00916B15">
        <w:t>IL</w:t>
      </w:r>
      <w:r w:rsidR="001901DE">
        <w:t>.</w:t>
      </w:r>
    </w:p>
    <w:bookmarkEnd w:id="0"/>
    <w:p w14:paraId="1A20236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59430F6" w14:textId="77777777" w:rsidTr="00D26F08">
        <w:trPr>
          <w:trHeight w:val="454"/>
          <w:tblHeader/>
        </w:trPr>
        <w:tc>
          <w:tcPr>
            <w:tcW w:w="6603" w:type="dxa"/>
            <w:vAlign w:val="center"/>
          </w:tcPr>
          <w:p w14:paraId="5DFA20A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FC4378E" w14:textId="77777777" w:rsidR="002E0D61" w:rsidRDefault="00D26F0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9CBC94A" w14:textId="77777777" w:rsidTr="00D26F0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126EFD6" w14:textId="77777777" w:rsidR="008A36CF" w:rsidRPr="006901A2" w:rsidRDefault="00D26F0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DCBAD7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9F5E1F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CBBDAB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8E9AE0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7C5DCF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4352E88" w14:textId="77777777" w:rsidTr="00812887">
        <w:trPr>
          <w:cantSplit/>
        </w:trPr>
        <w:tc>
          <w:tcPr>
            <w:tcW w:w="3227" w:type="dxa"/>
          </w:tcPr>
          <w:p w14:paraId="1DC1405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9CD4DFA" w14:textId="77777777" w:rsidR="00687890" w:rsidRPr="00DD2F9B" w:rsidRDefault="00C2043D" w:rsidP="00DD2F9B">
            <w:pPr>
              <w:pStyle w:val="Tablefont"/>
            </w:pPr>
            <w:r w:rsidRPr="00C2043D">
              <w:t>—</w:t>
            </w:r>
          </w:p>
        </w:tc>
      </w:tr>
      <w:tr w:rsidR="007925F0" w:rsidRPr="004C23F4" w14:paraId="35254A80" w14:textId="77777777" w:rsidTr="00812887">
        <w:trPr>
          <w:cantSplit/>
        </w:trPr>
        <w:tc>
          <w:tcPr>
            <w:tcW w:w="3227" w:type="dxa"/>
          </w:tcPr>
          <w:p w14:paraId="374718E2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3D926B25" w14:textId="77777777" w:rsidR="007925F0" w:rsidRPr="00DD2F9B" w:rsidRDefault="00C2043D" w:rsidP="00DD2F9B">
            <w:pPr>
              <w:pStyle w:val="Tablefont"/>
            </w:pPr>
            <w:r w:rsidRPr="00C2043D">
              <w:t>—</w:t>
            </w:r>
          </w:p>
        </w:tc>
      </w:tr>
      <w:tr w:rsidR="00AF483F" w:rsidRPr="004C23F4" w14:paraId="3655D1D6" w14:textId="77777777" w:rsidTr="00812887">
        <w:trPr>
          <w:cantSplit/>
        </w:trPr>
        <w:tc>
          <w:tcPr>
            <w:tcW w:w="3227" w:type="dxa"/>
          </w:tcPr>
          <w:p w14:paraId="72A7E517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E0CA655" w14:textId="77777777" w:rsidR="00AF483F" w:rsidRPr="00DD2F9B" w:rsidRDefault="00473F3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5138018" w14:textId="77777777" w:rsidTr="00812887">
        <w:trPr>
          <w:cantSplit/>
        </w:trPr>
        <w:tc>
          <w:tcPr>
            <w:tcW w:w="3227" w:type="dxa"/>
          </w:tcPr>
          <w:p w14:paraId="155FD91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918BCE6" w14:textId="77777777" w:rsidR="00687890" w:rsidRPr="00DD2F9B" w:rsidRDefault="00473F3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F36B74B" w14:textId="77777777" w:rsidTr="00812887">
        <w:trPr>
          <w:cantSplit/>
        </w:trPr>
        <w:tc>
          <w:tcPr>
            <w:tcW w:w="3227" w:type="dxa"/>
          </w:tcPr>
          <w:p w14:paraId="38260FE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73DF6ED" w14:textId="77777777" w:rsidR="00E41A26" w:rsidRPr="00DD2F9B" w:rsidRDefault="00473F3B" w:rsidP="00DD2F9B">
            <w:pPr>
              <w:pStyle w:val="Tablefont"/>
            </w:pPr>
            <w:r w:rsidRPr="00C2043D">
              <w:t>—</w:t>
            </w:r>
          </w:p>
        </w:tc>
      </w:tr>
      <w:tr w:rsidR="002E0D61" w:rsidRPr="004C23F4" w14:paraId="3F66FAB7" w14:textId="77777777" w:rsidTr="00812887">
        <w:trPr>
          <w:cantSplit/>
        </w:trPr>
        <w:tc>
          <w:tcPr>
            <w:tcW w:w="3227" w:type="dxa"/>
          </w:tcPr>
          <w:p w14:paraId="41227FE1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6390A717" w14:textId="77777777" w:rsidR="002E0D61" w:rsidRPr="00DD2F9B" w:rsidRDefault="00473F3B" w:rsidP="00DD2F9B">
            <w:pPr>
              <w:pStyle w:val="Tablefont"/>
            </w:pPr>
            <w:r w:rsidRPr="00C2043D">
              <w:t>—</w:t>
            </w:r>
          </w:p>
        </w:tc>
      </w:tr>
      <w:tr w:rsidR="002E0D61" w:rsidRPr="004C23F4" w14:paraId="3587D91C" w14:textId="77777777" w:rsidTr="00812887">
        <w:trPr>
          <w:cantSplit/>
        </w:trPr>
        <w:tc>
          <w:tcPr>
            <w:tcW w:w="3227" w:type="dxa"/>
          </w:tcPr>
          <w:p w14:paraId="6CAD24C1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967FDFE" w14:textId="77777777" w:rsidR="002E0D61" w:rsidRPr="00DD2F9B" w:rsidRDefault="00473F3B" w:rsidP="00DD2F9B">
            <w:pPr>
              <w:pStyle w:val="Tablefont"/>
            </w:pPr>
            <w:r w:rsidRPr="00473F3B">
              <w:t>—</w:t>
            </w:r>
          </w:p>
        </w:tc>
      </w:tr>
      <w:tr w:rsidR="002E0D61" w:rsidRPr="004C23F4" w14:paraId="63831363" w14:textId="77777777" w:rsidTr="00812887">
        <w:trPr>
          <w:cantSplit/>
        </w:trPr>
        <w:tc>
          <w:tcPr>
            <w:tcW w:w="3227" w:type="dxa"/>
          </w:tcPr>
          <w:p w14:paraId="37A0C6DD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DF9CEE6" w14:textId="77777777" w:rsidR="002E0D61" w:rsidRPr="00DD2F9B" w:rsidRDefault="00473F3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22B4270" w14:textId="77777777" w:rsidTr="00812887">
        <w:trPr>
          <w:cantSplit/>
        </w:trPr>
        <w:tc>
          <w:tcPr>
            <w:tcW w:w="3227" w:type="dxa"/>
          </w:tcPr>
          <w:p w14:paraId="368BA1E5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5CE9B5F" w14:textId="77777777" w:rsidR="002E0D61" w:rsidRPr="00DD2F9B" w:rsidRDefault="00473F3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8789EE0" w14:textId="77777777" w:rsidTr="00812887">
        <w:trPr>
          <w:cantSplit/>
        </w:trPr>
        <w:tc>
          <w:tcPr>
            <w:tcW w:w="3227" w:type="dxa"/>
          </w:tcPr>
          <w:p w14:paraId="50A07BA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7B3D17E" w14:textId="77777777" w:rsidR="00386093" w:rsidRPr="00DD2F9B" w:rsidRDefault="00473F3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CE9744E" w14:textId="77777777" w:rsidTr="00812887">
        <w:trPr>
          <w:cantSplit/>
        </w:trPr>
        <w:tc>
          <w:tcPr>
            <w:tcW w:w="3227" w:type="dxa"/>
          </w:tcPr>
          <w:p w14:paraId="1673B186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F6E135B" w14:textId="77777777" w:rsidR="00386093" w:rsidRPr="00DD2F9B" w:rsidRDefault="00473F3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31FC40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4B1205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247AF9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A322F2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07468B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3279462" w14:textId="77777777" w:rsidR="00932DCE" w:rsidRPr="004C23F4" w:rsidRDefault="00D26F08" w:rsidP="00F9496B">
            <w:pPr>
              <w:pStyle w:val="Tablefont"/>
            </w:pPr>
            <w:r>
              <w:t>Insufficient data</w:t>
            </w:r>
            <w:r w:rsidR="00916B15">
              <w:t xml:space="preserve"> to assign a skin notation</w:t>
            </w:r>
            <w:r w:rsidR="001901DE">
              <w:t>.</w:t>
            </w:r>
          </w:p>
        </w:tc>
      </w:tr>
    </w:tbl>
    <w:bookmarkEnd w:id="3"/>
    <w:p w14:paraId="0CE20AA7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77B756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6BF57C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5981C1F" w14:textId="77777777" w:rsidR="00EB3D1B" w:rsidRDefault="00473F3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652D2D9" w14:textId="77777777" w:rsidR="00687890" w:rsidRPr="004C23F4" w:rsidRDefault="00B479A9" w:rsidP="00916B15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DE7415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6F82B0" w14:textId="77777777" w:rsidR="001B79E5" w:rsidRDefault="001B79E5" w:rsidP="00371589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AF541BA" w14:textId="77777777" w:rsidR="001B79E5" w:rsidRDefault="00473F3B" w:rsidP="00371589">
                <w:pPr>
                  <w:pStyle w:val="Tablefont"/>
                  <w:keepNext/>
                </w:pPr>
                <w:r w:rsidRPr="00473F3B">
                  <w:t>86.18</w:t>
                </w:r>
              </w:p>
            </w:tc>
          </w:sdtContent>
        </w:sdt>
      </w:tr>
      <w:tr w:rsidR="00A31D99" w:rsidRPr="004C23F4" w14:paraId="3DA7C5A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BC32727" w14:textId="77777777" w:rsidR="00A31D99" w:rsidRPr="00263255" w:rsidRDefault="00A31D99" w:rsidP="00371589">
            <w:pPr>
              <w:pStyle w:val="Tablefont"/>
              <w:keepNext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8C1CB78" w14:textId="77777777" w:rsidR="00A31D99" w:rsidRDefault="00A0643F" w:rsidP="00371589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73F3B">
                  <w:t>3.52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73F3B">
                  <w:t>0.284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8C0AEF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856C307" w14:textId="77777777" w:rsidR="00687890" w:rsidRPr="00263255" w:rsidRDefault="00687890" w:rsidP="00371589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84CD31" w14:textId="77777777" w:rsidR="00687890" w:rsidRPr="004C23F4" w:rsidRDefault="00E46BCB" w:rsidP="00371589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BB6DC90" w14:textId="77777777" w:rsidTr="00EA6243">
        <w:trPr>
          <w:cantSplit/>
        </w:trPr>
        <w:tc>
          <w:tcPr>
            <w:tcW w:w="4077" w:type="dxa"/>
            <w:vAlign w:val="center"/>
          </w:tcPr>
          <w:p w14:paraId="1305DFC1" w14:textId="77777777" w:rsidR="00687890" w:rsidRPr="00263255" w:rsidRDefault="00687890" w:rsidP="00371589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65994C" w14:textId="77777777" w:rsidR="00687890" w:rsidRPr="004C23F4" w:rsidRDefault="00A20751" w:rsidP="00371589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B307B38" w14:textId="77777777" w:rsidTr="00EA6243">
        <w:trPr>
          <w:cantSplit/>
        </w:trPr>
        <w:tc>
          <w:tcPr>
            <w:tcW w:w="4077" w:type="dxa"/>
            <w:vAlign w:val="center"/>
          </w:tcPr>
          <w:p w14:paraId="413865FE" w14:textId="77777777" w:rsidR="00687890" w:rsidRPr="00263255" w:rsidRDefault="00687890" w:rsidP="00371589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BAD8768" w14:textId="77777777" w:rsidR="00687890" w:rsidRPr="004C23F4" w:rsidRDefault="00687890" w:rsidP="00371589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D5B5A53" w14:textId="77777777" w:rsidTr="00EA6243">
        <w:trPr>
          <w:cantSplit/>
        </w:trPr>
        <w:tc>
          <w:tcPr>
            <w:tcW w:w="4077" w:type="dxa"/>
            <w:vAlign w:val="center"/>
          </w:tcPr>
          <w:p w14:paraId="4DF3F666" w14:textId="77777777" w:rsidR="00E06F40" w:rsidRPr="00263255" w:rsidRDefault="00E06F40" w:rsidP="00371589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34085D7" w14:textId="77777777" w:rsidR="00E06F40" w:rsidRPr="00A006A0" w:rsidRDefault="00A05548" w:rsidP="00371589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4A51E7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8051EB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D8E558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87412E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1538E0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778890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62CD77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D7BB40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DB62718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40068030" w14:textId="77777777" w:rsidR="008E4F1F" w:rsidRDefault="008E4F1F" w:rsidP="00473F3B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473F3B">
        <w:t>1992</w:t>
      </w:r>
      <w:r>
        <w:t xml:space="preserve">) </w:t>
      </w:r>
      <w:r w:rsidR="00473F3B">
        <w:t>Hexane</w:t>
      </w:r>
      <w:r w:rsidR="00916B15">
        <w:t xml:space="preserve"> </w:t>
      </w:r>
      <w:r w:rsidR="00473F3B">
        <w:t>(all isomers except n-hexane)</w:t>
      </w:r>
      <w:r>
        <w:t xml:space="preserve"> – MAK value documentation.</w:t>
      </w:r>
    </w:p>
    <w:p w14:paraId="54707B51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BB477" w14:textId="77777777" w:rsidR="00C5319F" w:rsidRDefault="00C5319F" w:rsidP="00F43AD5">
      <w:pPr>
        <w:spacing w:after="0" w:line="240" w:lineRule="auto"/>
      </w:pPr>
      <w:r>
        <w:separator/>
      </w:r>
    </w:p>
  </w:endnote>
  <w:endnote w:type="continuationSeparator" w:id="0">
    <w:p w14:paraId="534A6A2D" w14:textId="77777777" w:rsidR="00C5319F" w:rsidRDefault="00C5319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264E108" w14:textId="77777777" w:rsidR="008A36CF" w:rsidRDefault="00C2043D" w:rsidP="0034744C">
        <w:pPr>
          <w:pStyle w:val="Footer"/>
          <w:rPr>
            <w:sz w:val="18"/>
            <w:szCs w:val="18"/>
          </w:rPr>
        </w:pPr>
        <w:r w:rsidRPr="00C2043D">
          <w:rPr>
            <w:b/>
            <w:sz w:val="18"/>
            <w:szCs w:val="18"/>
          </w:rPr>
          <w:t>Hexane, other isomers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319E70B" w14:textId="3121778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D6DB2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ABCF6" w14:textId="77777777" w:rsidR="00C5319F" w:rsidRDefault="00C5319F" w:rsidP="00F43AD5">
      <w:pPr>
        <w:spacing w:after="0" w:line="240" w:lineRule="auto"/>
      </w:pPr>
      <w:r>
        <w:separator/>
      </w:r>
    </w:p>
  </w:footnote>
  <w:footnote w:type="continuationSeparator" w:id="0">
    <w:p w14:paraId="35D66F31" w14:textId="77777777" w:rsidR="00C5319F" w:rsidRDefault="00C5319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7CAB4" w14:textId="4BADCDE6" w:rsidR="007D6DB2" w:rsidRDefault="007D6DB2" w:rsidP="007D6DB2">
    <w:pPr>
      <w:pStyle w:val="Header"/>
      <w:jc w:val="right"/>
    </w:pPr>
    <w:r>
      <w:rPr>
        <w:noProof/>
        <w:lang w:eastAsia="en-AU"/>
      </w:rPr>
      <w:drawing>
        <wp:inline distT="0" distB="0" distL="0" distR="0" wp14:anchorId="16AC3988" wp14:editId="51334F44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305D15" w14:textId="239E499B" w:rsidR="008A36CF" w:rsidRPr="007D6DB2" w:rsidRDefault="008A36CF" w:rsidP="007D6D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15673" w14:textId="73ED6666" w:rsidR="007D6DB2" w:rsidRDefault="00A05548" w:rsidP="007D6DB2">
    <w:pPr>
      <w:pStyle w:val="Header"/>
      <w:jc w:val="right"/>
    </w:pPr>
    <w:sdt>
      <w:sdtPr>
        <w:id w:val="-642584417"/>
        <w:docPartObj>
          <w:docPartGallery w:val="Watermarks"/>
          <w:docPartUnique/>
        </w:docPartObj>
      </w:sdtPr>
      <w:sdtEndPr/>
      <w:sdtContent/>
    </w:sdt>
    <w:r w:rsidR="007D6DB2">
      <w:rPr>
        <w:noProof/>
        <w:lang w:eastAsia="en-AU"/>
      </w:rPr>
      <w:drawing>
        <wp:inline distT="0" distB="0" distL="0" distR="0" wp14:anchorId="64865C62" wp14:editId="0E893D78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12B216" w14:textId="0BBDE71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2D477D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9F3944"/>
    <w:multiLevelType w:val="hybridMultilevel"/>
    <w:tmpl w:val="3B0CCEC8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210E6160"/>
    <w:multiLevelType w:val="hybridMultilevel"/>
    <w:tmpl w:val="E3E6B05C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7971439B"/>
    <w:multiLevelType w:val="hybridMultilevel"/>
    <w:tmpl w:val="B95A3722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844931742">
    <w:abstractNumId w:val="0"/>
  </w:num>
  <w:num w:numId="2" w16cid:durableId="554970180">
    <w:abstractNumId w:val="0"/>
  </w:num>
  <w:num w:numId="3" w16cid:durableId="128594983">
    <w:abstractNumId w:val="0"/>
  </w:num>
  <w:num w:numId="4" w16cid:durableId="1749040234">
    <w:abstractNumId w:val="3"/>
  </w:num>
  <w:num w:numId="5" w16cid:durableId="38017944">
    <w:abstractNumId w:val="2"/>
  </w:num>
  <w:num w:numId="6" w16cid:durableId="484736683">
    <w:abstractNumId w:val="1"/>
  </w:num>
  <w:num w:numId="7" w16cid:durableId="733045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5E07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08DE"/>
    <w:rsid w:val="0010461E"/>
    <w:rsid w:val="00106FAA"/>
    <w:rsid w:val="00113443"/>
    <w:rsid w:val="001269A7"/>
    <w:rsid w:val="00131092"/>
    <w:rsid w:val="00140E6A"/>
    <w:rsid w:val="0014146D"/>
    <w:rsid w:val="00146545"/>
    <w:rsid w:val="00146B75"/>
    <w:rsid w:val="0015266D"/>
    <w:rsid w:val="001526FD"/>
    <w:rsid w:val="0015288A"/>
    <w:rsid w:val="00155999"/>
    <w:rsid w:val="00160F47"/>
    <w:rsid w:val="00177CA1"/>
    <w:rsid w:val="00183823"/>
    <w:rsid w:val="00183942"/>
    <w:rsid w:val="001901DE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50C3"/>
    <w:rsid w:val="00213640"/>
    <w:rsid w:val="00220067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14E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5BE5"/>
    <w:rsid w:val="003567A8"/>
    <w:rsid w:val="00362895"/>
    <w:rsid w:val="00370DBF"/>
    <w:rsid w:val="00371589"/>
    <w:rsid w:val="00386093"/>
    <w:rsid w:val="003904A4"/>
    <w:rsid w:val="00391841"/>
    <w:rsid w:val="00391B6D"/>
    <w:rsid w:val="00394922"/>
    <w:rsid w:val="003A0E32"/>
    <w:rsid w:val="003A2B94"/>
    <w:rsid w:val="003A3329"/>
    <w:rsid w:val="003A5CB0"/>
    <w:rsid w:val="003B387D"/>
    <w:rsid w:val="003B418F"/>
    <w:rsid w:val="003C0D58"/>
    <w:rsid w:val="003D4FA3"/>
    <w:rsid w:val="003E0807"/>
    <w:rsid w:val="003E51FB"/>
    <w:rsid w:val="003E6B39"/>
    <w:rsid w:val="003E76B6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02A6"/>
    <w:rsid w:val="00472645"/>
    <w:rsid w:val="00472A11"/>
    <w:rsid w:val="00472AAD"/>
    <w:rsid w:val="00473F3B"/>
    <w:rsid w:val="00474E33"/>
    <w:rsid w:val="00476803"/>
    <w:rsid w:val="00485BFD"/>
    <w:rsid w:val="004867A2"/>
    <w:rsid w:val="004873F2"/>
    <w:rsid w:val="00490D4C"/>
    <w:rsid w:val="004911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30B"/>
    <w:rsid w:val="004D16A3"/>
    <w:rsid w:val="004D4AA1"/>
    <w:rsid w:val="004D6D68"/>
    <w:rsid w:val="004E5EDD"/>
    <w:rsid w:val="004F448A"/>
    <w:rsid w:val="004F493D"/>
    <w:rsid w:val="004F62DF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58C5"/>
    <w:rsid w:val="006363A8"/>
    <w:rsid w:val="00636DB7"/>
    <w:rsid w:val="00650091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4F57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4273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692"/>
    <w:rsid w:val="007939B3"/>
    <w:rsid w:val="0079509C"/>
    <w:rsid w:val="00796708"/>
    <w:rsid w:val="007B1B42"/>
    <w:rsid w:val="007C30EB"/>
    <w:rsid w:val="007C7A16"/>
    <w:rsid w:val="007D6DB2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5835"/>
    <w:rsid w:val="008E7B64"/>
    <w:rsid w:val="008F5DCD"/>
    <w:rsid w:val="00900951"/>
    <w:rsid w:val="009118A6"/>
    <w:rsid w:val="00916909"/>
    <w:rsid w:val="00916B15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5548"/>
    <w:rsid w:val="00A0643F"/>
    <w:rsid w:val="00A067EE"/>
    <w:rsid w:val="00A10FCE"/>
    <w:rsid w:val="00A16D91"/>
    <w:rsid w:val="00A174CC"/>
    <w:rsid w:val="00A2073D"/>
    <w:rsid w:val="00A20751"/>
    <w:rsid w:val="00A27E2D"/>
    <w:rsid w:val="00A31921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21D3"/>
    <w:rsid w:val="00B1422A"/>
    <w:rsid w:val="00B1765C"/>
    <w:rsid w:val="00B213C4"/>
    <w:rsid w:val="00B40C60"/>
    <w:rsid w:val="00B42D58"/>
    <w:rsid w:val="00B479A9"/>
    <w:rsid w:val="00B52EDF"/>
    <w:rsid w:val="00B64DFA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B665B"/>
    <w:rsid w:val="00BD499F"/>
    <w:rsid w:val="00BD56DE"/>
    <w:rsid w:val="00BF2406"/>
    <w:rsid w:val="00C06E43"/>
    <w:rsid w:val="00C16315"/>
    <w:rsid w:val="00C2043D"/>
    <w:rsid w:val="00C3091E"/>
    <w:rsid w:val="00C40FF1"/>
    <w:rsid w:val="00C410CA"/>
    <w:rsid w:val="00C419E2"/>
    <w:rsid w:val="00C438F8"/>
    <w:rsid w:val="00C5020E"/>
    <w:rsid w:val="00C5319F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C35"/>
    <w:rsid w:val="00C850A0"/>
    <w:rsid w:val="00C85A86"/>
    <w:rsid w:val="00C85B25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6F08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759D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0477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64E"/>
    <w:rsid w:val="00E949AF"/>
    <w:rsid w:val="00E96077"/>
    <w:rsid w:val="00EA026E"/>
    <w:rsid w:val="00EA0A06"/>
    <w:rsid w:val="00EA6243"/>
    <w:rsid w:val="00EA74AB"/>
    <w:rsid w:val="00EB07C1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1193"/>
    <w:rsid w:val="00F56DD0"/>
    <w:rsid w:val="00F6491C"/>
    <w:rsid w:val="00F67BBB"/>
    <w:rsid w:val="00F75A55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2848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5C0F1242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724273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C85B2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55B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5BE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5BE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5B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5BE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6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6B46BB"/>
    <w:rsid w:val="00755FBF"/>
    <w:rsid w:val="00BB665B"/>
    <w:rsid w:val="00CA72D3"/>
    <w:rsid w:val="00D21A9F"/>
    <w:rsid w:val="00D7462E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1c567317-0c4d-4a62-8516-c22afd1b5354"/>
    <ds:schemaRef ds:uri="http://purl.org/dc/dcmitype/"/>
    <ds:schemaRef ds:uri="http://schemas.microsoft.com/office/infopath/2007/PartnerControls"/>
    <ds:schemaRef ds:uri="a0509f21-ed56-4150-9955-96be669e5f2d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517B63B-6235-4BAA-BA45-B50EF7ED7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93A353-DEB1-4091-A93F-AB1096EF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5</Pages>
  <Words>897</Words>
  <Characters>4660</Characters>
  <Application>Microsoft Office Word</Application>
  <DocSecurity>0</DocSecurity>
  <Lines>137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25</cp:revision>
  <cp:lastPrinted>2018-10-22T22:41:00Z</cp:lastPrinted>
  <dcterms:created xsi:type="dcterms:W3CDTF">2019-10-16T22:16:00Z</dcterms:created>
  <dcterms:modified xsi:type="dcterms:W3CDTF">2026-01-09T01:06:00Z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2025-12-23T03:46:55Z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113a4e00-c923-4f28-b37a-bd333749c1d2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