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39BA884" w14:textId="77777777" w:rsidR="00BD499F" w:rsidRPr="004C23F4" w:rsidRDefault="00D82DD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</w:t>
          </w:r>
          <w:r w:rsidR="00CF49F7">
            <w:rPr>
              <w:rFonts w:ascii="Arial" w:hAnsi="Arial" w:cs="Arial"/>
            </w:rPr>
            <w:t>exane (n-hexane)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2"/>
        <w:gridCol w:w="5034"/>
      </w:tblGrid>
      <w:tr w:rsidR="00F43AD5" w:rsidRPr="004C23F4" w14:paraId="37C2A995" w14:textId="77777777" w:rsidTr="00B76A41">
        <w:trPr>
          <w:cantSplit/>
          <w:tblHeader/>
        </w:trPr>
        <w:tc>
          <w:tcPr>
            <w:tcW w:w="4077" w:type="dxa"/>
          </w:tcPr>
          <w:p w14:paraId="159CBC1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8E802DD" w14:textId="77777777" w:rsidR="00F43AD5" w:rsidRPr="00717D45" w:rsidRDefault="00CF49F7" w:rsidP="00B76A41">
            <w:pPr>
              <w:pStyle w:val="Tablefont"/>
            </w:pPr>
            <w:r>
              <w:t>110-54-3</w:t>
            </w:r>
          </w:p>
        </w:tc>
      </w:tr>
      <w:tr w:rsidR="00F43AD5" w:rsidRPr="004C23F4" w14:paraId="6087FF1C" w14:textId="77777777" w:rsidTr="00B76A41">
        <w:trPr>
          <w:cantSplit/>
        </w:trPr>
        <w:tc>
          <w:tcPr>
            <w:tcW w:w="4077" w:type="dxa"/>
          </w:tcPr>
          <w:p w14:paraId="41F0960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5B8E077" w14:textId="77777777" w:rsidR="00F43AD5" w:rsidRPr="00717D45" w:rsidRDefault="00F93B6D" w:rsidP="00B76A41">
            <w:pPr>
              <w:pStyle w:val="Tablefont"/>
            </w:pPr>
            <w:r>
              <w:t>Hexane</w:t>
            </w:r>
          </w:p>
        </w:tc>
      </w:tr>
      <w:tr w:rsidR="00F43AD5" w:rsidRPr="004C23F4" w14:paraId="09F2DBC4" w14:textId="77777777" w:rsidTr="00B76A41">
        <w:trPr>
          <w:cantSplit/>
        </w:trPr>
        <w:tc>
          <w:tcPr>
            <w:tcW w:w="4077" w:type="dxa"/>
          </w:tcPr>
          <w:p w14:paraId="5C52B2C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BA0914B" w14:textId="77777777" w:rsidR="00F43AD5" w:rsidRPr="00717D45" w:rsidRDefault="00CF49F7" w:rsidP="00B76A41">
            <w:pPr>
              <w:pStyle w:val="Tablefont"/>
            </w:pPr>
            <w:r>
              <w:t>C</w:t>
            </w:r>
            <w:r w:rsidRPr="00CF49F7">
              <w:rPr>
                <w:vertAlign w:val="subscript"/>
              </w:rPr>
              <w:t>6</w:t>
            </w:r>
            <w:r>
              <w:t>H</w:t>
            </w:r>
            <w:r w:rsidRPr="00CF49F7">
              <w:rPr>
                <w:vertAlign w:val="subscript"/>
              </w:rPr>
              <w:t>14</w:t>
            </w:r>
          </w:p>
        </w:tc>
      </w:tr>
      <w:tr w:rsidR="00F43AD5" w:rsidRPr="004C23F4" w14:paraId="57B7A9FE" w14:textId="77777777" w:rsidTr="00B76A41">
        <w:trPr>
          <w:cantSplit/>
        </w:trPr>
        <w:tc>
          <w:tcPr>
            <w:tcW w:w="4077" w:type="dxa"/>
          </w:tcPr>
          <w:p w14:paraId="44E5A8D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98C5578" w14:textId="77777777" w:rsidR="00F43AD5" w:rsidRPr="00B40C60" w:rsidRDefault="00CF49F7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3C016777" w14:textId="3D20D4D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A7F69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8CB4111" w14:textId="77777777" w:rsidTr="00D82DD1">
        <w:trPr>
          <w:cantSplit/>
          <w:tblHeader/>
        </w:trPr>
        <w:tc>
          <w:tcPr>
            <w:tcW w:w="4005" w:type="dxa"/>
            <w:vAlign w:val="center"/>
          </w:tcPr>
          <w:p w14:paraId="1CEB132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14B821D" w14:textId="2A126224" w:rsidR="002C7AFE" w:rsidRPr="005A6A17" w:rsidRDefault="001A7F6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50 </w:t>
            </w:r>
            <w:r w:rsidR="005A6A17">
              <w:rPr>
                <w:b/>
              </w:rPr>
              <w:t>ppm (</w:t>
            </w:r>
            <w:r>
              <w:rPr>
                <w:b/>
              </w:rPr>
              <w:t>1</w:t>
            </w:r>
            <w:r w:rsidR="005A6A17">
              <w:rPr>
                <w:b/>
              </w:rPr>
              <w:t>7</w:t>
            </w:r>
            <w:r>
              <w:rPr>
                <w:b/>
              </w:rPr>
              <w:t>6</w:t>
            </w:r>
            <w:r w:rsidR="005A6A17">
              <w:rPr>
                <w:b/>
              </w:rPr>
              <w:t xml:space="preserve"> mg/</w:t>
            </w:r>
            <w:proofErr w:type="spellStart"/>
            <w:r w:rsidR="005A6A17">
              <w:rPr>
                <w:b/>
              </w:rPr>
              <w:t>m</w:t>
            </w:r>
            <w:r w:rsidR="005A6A17">
              <w:rPr>
                <w:b/>
                <w:vertAlign w:val="superscript"/>
              </w:rPr>
              <w:t>3</w:t>
            </w:r>
            <w:proofErr w:type="spellEnd"/>
            <w:r w:rsidR="005A6A17">
              <w:rPr>
                <w:b/>
              </w:rPr>
              <w:t>)</w:t>
            </w:r>
          </w:p>
        </w:tc>
      </w:tr>
      <w:tr w:rsidR="002C7AFE" w:rsidRPr="004C23F4" w14:paraId="115C107E" w14:textId="77777777" w:rsidTr="00D82DD1">
        <w:trPr>
          <w:cantSplit/>
        </w:trPr>
        <w:tc>
          <w:tcPr>
            <w:tcW w:w="4005" w:type="dxa"/>
            <w:vAlign w:val="center"/>
          </w:tcPr>
          <w:p w14:paraId="388BFB4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D347AE8" w14:textId="77777777" w:rsidR="002C7AFE" w:rsidRPr="00EB3D1B" w:rsidRDefault="00CF49F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D2BE5B1" w14:textId="77777777" w:rsidTr="00D82DD1">
        <w:trPr>
          <w:cantSplit/>
        </w:trPr>
        <w:tc>
          <w:tcPr>
            <w:tcW w:w="4005" w:type="dxa"/>
            <w:vAlign w:val="center"/>
          </w:tcPr>
          <w:p w14:paraId="13F16F2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04188DA" w14:textId="77777777" w:rsidR="002C7AFE" w:rsidRPr="00EB3D1B" w:rsidRDefault="00CF49F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06C30FC" w14:textId="77777777" w:rsidTr="00D82DD1">
        <w:trPr>
          <w:cantSplit/>
        </w:trPr>
        <w:tc>
          <w:tcPr>
            <w:tcW w:w="4005" w:type="dxa"/>
          </w:tcPr>
          <w:p w14:paraId="7817909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B13C4A8" w14:textId="77777777" w:rsidR="002C7AFE" w:rsidRPr="00EB3D1B" w:rsidRDefault="003949B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2CBC4AA8" w14:textId="77777777" w:rsidTr="00D82DD1">
        <w:trPr>
          <w:cantSplit/>
        </w:trPr>
        <w:tc>
          <w:tcPr>
            <w:tcW w:w="4005" w:type="dxa"/>
            <w:vAlign w:val="center"/>
          </w:tcPr>
          <w:p w14:paraId="519FDFC1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7D57CF65" w14:textId="77777777" w:rsidR="002C7AFE" w:rsidRPr="00EB3D1B" w:rsidRDefault="005373F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1,100 ppm</w:t>
            </w:r>
          </w:p>
        </w:tc>
      </w:tr>
      <w:tr w:rsidR="00D82DD1" w:rsidRPr="004C23F4" w14:paraId="72B9E2F1" w14:textId="77777777" w:rsidTr="003949BF">
        <w:trPr>
          <w:cantSplit/>
          <w:trHeight w:val="229"/>
        </w:trPr>
        <w:tc>
          <w:tcPr>
            <w:tcW w:w="9026" w:type="dxa"/>
            <w:gridSpan w:val="2"/>
            <w:vAlign w:val="center"/>
          </w:tcPr>
          <w:p w14:paraId="4E88D756" w14:textId="77777777" w:rsidR="00D82DD1" w:rsidRPr="00EB3D1B" w:rsidRDefault="00D82DD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</w:t>
            </w:r>
            <w:r w:rsidRPr="00BF66C8">
              <w:rPr>
                <w:b/>
              </w:rPr>
              <w:t>:</w:t>
            </w:r>
            <w:r w:rsidRPr="00BF66C8"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FDE54DE1A6648EA99C581F8A519BAD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3949BF" w:rsidRPr="00BF66C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0443C8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4D3B096" w14:textId="00B5E291" w:rsidR="006639B4" w:rsidRPr="005A6A17" w:rsidRDefault="005A6A17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1A7F69">
        <w:rPr>
          <w:rFonts w:cs="Arial"/>
        </w:rPr>
        <w:t>5</w:t>
      </w:r>
      <w:r>
        <w:rPr>
          <w:rFonts w:cs="Arial"/>
        </w:rPr>
        <w:t>0 ppm (</w:t>
      </w:r>
      <w:r w:rsidR="001A7F69">
        <w:rPr>
          <w:rFonts w:cs="Arial"/>
        </w:rPr>
        <w:t>176</w:t>
      </w:r>
      <w:r>
        <w:rPr>
          <w:rFonts w:cs="Arial"/>
        </w:rPr>
        <w:t xml:space="preserve">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>) is recommended to protect for neurotoxic effects in exposed workers.</w:t>
      </w:r>
    </w:p>
    <w:p w14:paraId="382A294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47E913D" w14:textId="77777777" w:rsidR="007B4F13" w:rsidRDefault="005A6A17" w:rsidP="007C4C87">
      <w:r>
        <w:t xml:space="preserve">Commercial grades of </w:t>
      </w:r>
      <w:r w:rsidR="003949BF" w:rsidRPr="003949BF">
        <w:rPr>
          <w:i/>
        </w:rPr>
        <w:t>n</w:t>
      </w:r>
      <w:r w:rsidR="003949BF">
        <w:t>-</w:t>
      </w:r>
      <w:r>
        <w:t>hexane are used as solvents for vegetable oils, coatings, paints, or adhesives and are employed as denaturants for ethanol.</w:t>
      </w:r>
      <w:r w:rsidR="003949BF">
        <w:t xml:space="preserve"> Analytical grade </w:t>
      </w:r>
      <w:r w:rsidR="003949BF" w:rsidRPr="003949BF">
        <w:rPr>
          <w:i/>
        </w:rPr>
        <w:t>n</w:t>
      </w:r>
      <w:r w:rsidR="003949BF">
        <w:t xml:space="preserve">-hexane is </w:t>
      </w:r>
      <w:r w:rsidR="005373F6">
        <w:t xml:space="preserve">a </w:t>
      </w:r>
      <w:r w:rsidR="003949BF">
        <w:t>commonly used solvent in laboratories.</w:t>
      </w:r>
      <w:r>
        <w:t xml:space="preserve"> </w:t>
      </w:r>
    </w:p>
    <w:p w14:paraId="4696A215" w14:textId="5D1679F7" w:rsidR="007C4C87" w:rsidRDefault="005A6A17" w:rsidP="007C4C87">
      <w:r>
        <w:t xml:space="preserve">The critical effects </w:t>
      </w:r>
      <w:r w:rsidR="007B4F13">
        <w:t>of</w:t>
      </w:r>
      <w:r>
        <w:t xml:space="preserve"> exposure are neurotoxic</w:t>
      </w:r>
      <w:r w:rsidR="007B4F13">
        <w:t>ity including</w:t>
      </w:r>
      <w:r>
        <w:t xml:space="preserve"> polyneuropathy and narcosis.</w:t>
      </w:r>
      <w:r w:rsidR="007C4C87">
        <w:t xml:space="preserve"> Numerous case reports </w:t>
      </w:r>
      <w:r w:rsidR="00BD057F">
        <w:t xml:space="preserve">exist </w:t>
      </w:r>
      <w:r w:rsidR="007B4F13">
        <w:t xml:space="preserve">reporting </w:t>
      </w:r>
      <w:r w:rsidR="007C4C87">
        <w:t xml:space="preserve">polyneuropathy in workers following exposure to solvents containing </w:t>
      </w:r>
      <w:r w:rsidR="007C4C87" w:rsidRPr="003949BF">
        <w:rPr>
          <w:i/>
        </w:rPr>
        <w:t>n</w:t>
      </w:r>
      <w:r w:rsidR="00192769">
        <w:noBreakHyphen/>
      </w:r>
      <w:r w:rsidR="007C4C87">
        <w:t>hexane</w:t>
      </w:r>
      <w:r w:rsidR="00BD057F">
        <w:t xml:space="preserve">. </w:t>
      </w:r>
      <w:r w:rsidR="006C2DAD">
        <w:t xml:space="preserve">There is one </w:t>
      </w:r>
      <w:r w:rsidR="00BD057F">
        <w:t xml:space="preserve">report of severe intoxication following dermal </w:t>
      </w:r>
      <w:r w:rsidR="007B4F13">
        <w:t xml:space="preserve">exposure and </w:t>
      </w:r>
      <w:r w:rsidR="006C2DAD">
        <w:t>absorption (</w:t>
      </w:r>
      <w:proofErr w:type="spellStart"/>
      <w:r w:rsidR="007C4C87">
        <w:t>ACGIH</w:t>
      </w:r>
      <w:proofErr w:type="spellEnd"/>
      <w:r w:rsidR="007C4C87">
        <w:t xml:space="preserve">, 2018). </w:t>
      </w:r>
      <w:r w:rsidR="0071047C">
        <w:t xml:space="preserve">A </w:t>
      </w:r>
      <w:proofErr w:type="spellStart"/>
      <w:r w:rsidR="0071047C">
        <w:t>LOAEL</w:t>
      </w:r>
      <w:proofErr w:type="spellEnd"/>
      <w:r w:rsidR="0071047C">
        <w:t xml:space="preserve"> of approximately 70</w:t>
      </w:r>
      <w:r w:rsidR="00761D3C">
        <w:t> </w:t>
      </w:r>
      <w:r w:rsidR="0071047C">
        <w:t xml:space="preserve">ppm associated with </w:t>
      </w:r>
      <w:proofErr w:type="spellStart"/>
      <w:r w:rsidR="0071047C">
        <w:t>electroneuromyographic</w:t>
      </w:r>
      <w:proofErr w:type="spellEnd"/>
      <w:r w:rsidR="0071047C">
        <w:t xml:space="preserve"> abnormalities </w:t>
      </w:r>
      <w:r w:rsidR="00822D83">
        <w:t>is</w:t>
      </w:r>
      <w:r w:rsidR="0071047C">
        <w:t xml:space="preserve"> reported in a study of post-shift metabolite concentrations in workers (</w:t>
      </w:r>
      <w:proofErr w:type="spellStart"/>
      <w:r w:rsidR="0071047C">
        <w:t>SCOEL</w:t>
      </w:r>
      <w:proofErr w:type="spellEnd"/>
      <w:r w:rsidR="0071047C">
        <w:t>,</w:t>
      </w:r>
      <w:r w:rsidR="00192769">
        <w:t> </w:t>
      </w:r>
      <w:r w:rsidR="0071047C">
        <w:t xml:space="preserve">1995). </w:t>
      </w:r>
      <w:r w:rsidR="007C4C87">
        <w:t xml:space="preserve">Two groups of workers exposed </w:t>
      </w:r>
      <w:r w:rsidR="007B4F13">
        <w:t>at</w:t>
      </w:r>
      <w:r w:rsidR="007C4C87">
        <w:t xml:space="preserve"> an average of 58 ppm showed no significant toxic effects on the peripheral nervous system. A </w:t>
      </w:r>
      <w:proofErr w:type="spellStart"/>
      <w:r w:rsidR="007C4C87">
        <w:t>NOEC</w:t>
      </w:r>
      <w:proofErr w:type="spellEnd"/>
      <w:r w:rsidR="007C4C87">
        <w:t xml:space="preserve"> of 100</w:t>
      </w:r>
      <w:r w:rsidR="00761D3C">
        <w:t> </w:t>
      </w:r>
      <w:r w:rsidR="007C4C87">
        <w:t xml:space="preserve">ppm </w:t>
      </w:r>
      <w:r w:rsidR="007B4F13">
        <w:t>i</w:t>
      </w:r>
      <w:r w:rsidR="007C4C87">
        <w:t xml:space="preserve">s identified </w:t>
      </w:r>
      <w:r w:rsidR="00822D83">
        <w:t>for electrophysiological measurements of the tail nerve of</w:t>
      </w:r>
      <w:r w:rsidR="007C4C87">
        <w:t xml:space="preserve"> rats in a </w:t>
      </w:r>
      <w:proofErr w:type="gramStart"/>
      <w:r w:rsidR="00196487">
        <w:t>24</w:t>
      </w:r>
      <w:r w:rsidR="00FA0A81">
        <w:t xml:space="preserve"> </w:t>
      </w:r>
      <w:r w:rsidR="00196487">
        <w:t>week</w:t>
      </w:r>
      <w:proofErr w:type="gramEnd"/>
      <w:r w:rsidR="007C4C87">
        <w:t xml:space="preserve"> </w:t>
      </w:r>
      <w:r w:rsidR="007B4F13">
        <w:t>study</w:t>
      </w:r>
      <w:r w:rsidR="001A7F69">
        <w:t xml:space="preserve">. This </w:t>
      </w:r>
      <w:proofErr w:type="spellStart"/>
      <w:r w:rsidR="001A7F69">
        <w:t>NOEC</w:t>
      </w:r>
      <w:proofErr w:type="spellEnd"/>
      <w:r w:rsidR="001A7F69">
        <w:t xml:space="preserve"> formed</w:t>
      </w:r>
      <w:r w:rsidR="00227298">
        <w:t xml:space="preserve"> the basis </w:t>
      </w:r>
      <w:r w:rsidR="00905C8C">
        <w:t>of</w:t>
      </w:r>
      <w:r w:rsidR="00227298">
        <w:t xml:space="preserve"> the recommended </w:t>
      </w:r>
      <w:proofErr w:type="spellStart"/>
      <w:r w:rsidR="00227298">
        <w:t>DFG</w:t>
      </w:r>
      <w:proofErr w:type="spellEnd"/>
      <w:r w:rsidR="00227298">
        <w:t xml:space="preserve"> M</w:t>
      </w:r>
      <w:r w:rsidR="001A7F69">
        <w:t>AK of 50 ppm</w:t>
      </w:r>
      <w:r w:rsidR="007B4F13">
        <w:t xml:space="preserve"> </w:t>
      </w:r>
      <w:r w:rsidR="007C4C87">
        <w:t>(</w:t>
      </w:r>
      <w:proofErr w:type="spellStart"/>
      <w:r w:rsidR="007C4C87">
        <w:t>DFG</w:t>
      </w:r>
      <w:proofErr w:type="spellEnd"/>
      <w:r w:rsidR="007C4C87">
        <w:t>,</w:t>
      </w:r>
      <w:r w:rsidR="00D50A0C">
        <w:t> </w:t>
      </w:r>
      <w:r w:rsidR="007C4C87">
        <w:t>2000).</w:t>
      </w:r>
      <w:r w:rsidR="001A7F69">
        <w:t xml:space="preserve"> The previous </w:t>
      </w:r>
      <w:r w:rsidR="00E46B02">
        <w:t>TLV-</w:t>
      </w:r>
      <w:r w:rsidR="001A7F69">
        <w:t xml:space="preserve">TWA of 25 ppm recommended by </w:t>
      </w:r>
      <w:proofErr w:type="spellStart"/>
      <w:r w:rsidR="001A7F69">
        <w:t>ACGIH</w:t>
      </w:r>
      <w:proofErr w:type="spellEnd"/>
      <w:r w:rsidR="001A7F69">
        <w:t xml:space="preserve"> was </w:t>
      </w:r>
      <w:r w:rsidR="00784BC0">
        <w:t>based on the</w:t>
      </w:r>
      <w:r w:rsidR="001A7F69">
        <w:t xml:space="preserve"> studies involving exposures to solvent assumed to contain 30% n-hexane. A detailed review of that data identified n-hexane content at 50</w:t>
      </w:r>
      <w:r w:rsidR="0051749D">
        <w:t xml:space="preserve"> to </w:t>
      </w:r>
      <w:r w:rsidR="001A7F69">
        <w:t xml:space="preserve">70%. This provided justification to amend the </w:t>
      </w:r>
      <w:r w:rsidR="00E46B02">
        <w:t>TLV-</w:t>
      </w:r>
      <w:r w:rsidR="001A7F69">
        <w:t>TWA to 50 ppm (</w:t>
      </w:r>
      <w:proofErr w:type="spellStart"/>
      <w:r w:rsidR="001A7F69">
        <w:t>ACGIH</w:t>
      </w:r>
      <w:proofErr w:type="spellEnd"/>
      <w:r w:rsidR="001A7F69">
        <w:t>, 2018).</w:t>
      </w:r>
    </w:p>
    <w:p w14:paraId="7060C66C" w14:textId="468DD22A" w:rsidR="00227298" w:rsidRDefault="00227298" w:rsidP="007C4C87">
      <w:r>
        <w:t>Based on the evidence presented, a</w:t>
      </w:r>
      <w:r w:rsidRPr="00227298">
        <w:t xml:space="preserve"> TWA of 5</w:t>
      </w:r>
      <w:r>
        <w:t>0</w:t>
      </w:r>
      <w:r w:rsidRPr="00227298">
        <w:t xml:space="preserve"> ppm is recommended as derived by </w:t>
      </w:r>
      <w:proofErr w:type="spellStart"/>
      <w:r w:rsidRPr="00227298">
        <w:t>ACGIH</w:t>
      </w:r>
      <w:proofErr w:type="spellEnd"/>
      <w:r w:rsidRPr="00227298">
        <w:t xml:space="preserve"> (2018) and </w:t>
      </w:r>
      <w:proofErr w:type="spellStart"/>
      <w:r w:rsidRPr="00227298">
        <w:t>DFG</w:t>
      </w:r>
      <w:proofErr w:type="spellEnd"/>
      <w:r w:rsidRPr="00227298">
        <w:t xml:space="preserve"> (2016). This TWA is cited to be protective of </w:t>
      </w:r>
      <w:r>
        <w:t>neurotoxic effects, narcosis and eye and mucous membrane irritation.</w:t>
      </w:r>
    </w:p>
    <w:p w14:paraId="50A496E2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553D4A78" w14:textId="77777777" w:rsidR="00CF49F7" w:rsidRPr="005A6A17" w:rsidRDefault="00CF49F7" w:rsidP="00CF49F7">
      <w:pPr>
        <w:rPr>
          <w:rFonts w:cs="Arial"/>
        </w:rPr>
      </w:pPr>
      <w:r w:rsidRPr="005A6A17">
        <w:rPr>
          <w:rFonts w:cs="Arial"/>
        </w:rPr>
        <w:t xml:space="preserve">Not classified as a carcinogen according to the Globally Harmonized System of Classification and Labelling </w:t>
      </w:r>
      <w:r w:rsidR="008F27A7" w:rsidRPr="005A6A17">
        <w:rPr>
          <w:rFonts w:cs="Arial"/>
        </w:rPr>
        <w:t>o</w:t>
      </w:r>
      <w:r w:rsidR="008F27A7">
        <w:rPr>
          <w:rFonts w:cs="Arial"/>
        </w:rPr>
        <w:t>f</w:t>
      </w:r>
      <w:r w:rsidR="008F27A7" w:rsidRPr="005A6A17">
        <w:rPr>
          <w:rFonts w:cs="Arial"/>
        </w:rPr>
        <w:t xml:space="preserve"> </w:t>
      </w:r>
      <w:r w:rsidR="003949BF">
        <w:rPr>
          <w:rFonts w:cs="Arial"/>
        </w:rPr>
        <w:t>Chemicals (GHS).</w:t>
      </w:r>
    </w:p>
    <w:p w14:paraId="2B5ECCCA" w14:textId="77777777" w:rsidR="00CF49F7" w:rsidRPr="005A6A17" w:rsidRDefault="00CF49F7" w:rsidP="00CF49F7">
      <w:pPr>
        <w:rPr>
          <w:rFonts w:cs="Arial"/>
        </w:rPr>
      </w:pPr>
      <w:r w:rsidRPr="005A6A17">
        <w:rPr>
          <w:rFonts w:cs="Arial"/>
        </w:rPr>
        <w:t xml:space="preserve">Not classified as a skin </w:t>
      </w:r>
      <w:r w:rsidR="005A6A17" w:rsidRPr="005A6A17">
        <w:rPr>
          <w:rFonts w:cs="Arial"/>
        </w:rPr>
        <w:t xml:space="preserve">sensitiser </w:t>
      </w:r>
      <w:r w:rsidRPr="005A6A17">
        <w:rPr>
          <w:rFonts w:cs="Arial"/>
        </w:rPr>
        <w:t>or respiratory sensitiser according to the GHS.</w:t>
      </w:r>
    </w:p>
    <w:p w14:paraId="6EE32A23" w14:textId="77777777" w:rsidR="005E6979" w:rsidRPr="004C23F4" w:rsidRDefault="005A6A17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5A6A17">
        <w:rPr>
          <w:rFonts w:cs="Arial"/>
        </w:rPr>
        <w:t>A skin notation is recommended based on case report evidence in humans</w:t>
      </w:r>
      <w:r w:rsidR="003949BF">
        <w:rPr>
          <w:rFonts w:cs="Arial"/>
        </w:rPr>
        <w:t>.</w:t>
      </w:r>
    </w:p>
    <w:p w14:paraId="1BD468D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EC7D2B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5989AE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2EB3D3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F85AC5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A7AAE8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F49F7" w:rsidRPr="00BD057F">
                  <w:t>2001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F49F7">
                  <w:t>TWA: 20 ppm (72 mg/</w:t>
                </w:r>
                <w:proofErr w:type="spellStart"/>
                <w:r w:rsidR="00CF49F7">
                  <w:t>m</w:t>
                </w:r>
                <w:r w:rsidR="00CF49F7" w:rsidRPr="00CF49F7">
                  <w:rPr>
                    <w:vertAlign w:val="superscript"/>
                  </w:rPr>
                  <w:t>3</w:t>
                </w:r>
                <w:proofErr w:type="spellEnd"/>
                <w:r w:rsidR="00CF49F7">
                  <w:t>)</w:t>
                </w:r>
              </w:sdtContent>
            </w:sdt>
          </w:p>
        </w:tc>
      </w:tr>
      <w:tr w:rsidR="00C978F0" w:rsidRPr="00DA352E" w14:paraId="2628F1A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31236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8E4366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BCC54F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F49F7" w:rsidRPr="00CC5E6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F49F7">
                  <w:t>TLV-TWA: 50 ppm (176 mg/</w:t>
                </w:r>
                <w:proofErr w:type="spellStart"/>
                <w:r w:rsidR="00CF49F7">
                  <w:t>m</w:t>
                </w:r>
                <w:r w:rsidR="00CF49F7" w:rsidRPr="00CF49F7">
                  <w:rPr>
                    <w:vertAlign w:val="superscript"/>
                  </w:rPr>
                  <w:t>3</w:t>
                </w:r>
                <w:proofErr w:type="spellEnd"/>
                <w:r w:rsidR="00CF49F7">
                  <w:t>)</w:t>
                </w:r>
              </w:sdtContent>
            </w:sdt>
          </w:p>
        </w:tc>
      </w:tr>
      <w:tr w:rsidR="00C978F0" w:rsidRPr="00DA352E" w14:paraId="01D2D3E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6083A34" w14:textId="6A9B5C74" w:rsidR="00C978F0" w:rsidRDefault="00A46343" w:rsidP="003365A5">
            <w:pPr>
              <w:pStyle w:val="Tabletextprimarysource"/>
            </w:pPr>
            <w:r>
              <w:t>TLV-TWA recommended to minimise the potential for neurotoxic effects, narcosis and eye and mucous membrane irritation.</w:t>
            </w:r>
          </w:p>
          <w:p w14:paraId="24ADB17D" w14:textId="77777777" w:rsidR="00A46343" w:rsidRDefault="00A46343" w:rsidP="003365A5">
            <w:pPr>
              <w:pStyle w:val="Tabletextprimarysource"/>
            </w:pPr>
            <w:r>
              <w:t>Summary of data:</w:t>
            </w:r>
          </w:p>
          <w:p w14:paraId="05FBA124" w14:textId="700182CC" w:rsidR="001A7F69" w:rsidRDefault="001A7F69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Previous TLV-TWA of 25 ppm </w:t>
            </w:r>
            <w:r w:rsidR="00447194">
              <w:t>based on</w:t>
            </w:r>
            <w:r>
              <w:t xml:space="preserve"> studies with exposures to commercial hexane with a n-hexane content as low as 30%; recent more detailed review concluded that n-hexane content of 50</w:t>
            </w:r>
            <w:r w:rsidR="0051749D">
              <w:t>–</w:t>
            </w:r>
            <w:r>
              <w:t>70%; TLV-TWA amended to 50 ppm</w:t>
            </w:r>
          </w:p>
          <w:p w14:paraId="367EBEA9" w14:textId="7476A096" w:rsidR="005445D2" w:rsidRDefault="005445D2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Literature references to hexane possible refer to a mean normal hexane isomer or a specific isomer blend</w:t>
            </w:r>
          </w:p>
          <w:p w14:paraId="3765205A" w14:textId="7FBCB87C" w:rsidR="005445D2" w:rsidRDefault="005445D2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Neurotoxicity of </w:t>
            </w:r>
            <w:r w:rsidRPr="003949BF">
              <w:rPr>
                <w:i/>
              </w:rPr>
              <w:t>n</w:t>
            </w:r>
            <w:r>
              <w:t xml:space="preserve">-hexane is not </w:t>
            </w:r>
            <w:r w:rsidR="007B4F13">
              <w:t>seen in</w:t>
            </w:r>
            <w:r>
              <w:t xml:space="preserve"> other isomers </w:t>
            </w:r>
          </w:p>
          <w:p w14:paraId="3D96F70F" w14:textId="77777777" w:rsidR="005445D2" w:rsidRDefault="003949BF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Metabolises</w:t>
            </w:r>
            <w:r w:rsidR="00587965">
              <w:t xml:space="preserve"> to 2,5-</w:t>
            </w:r>
            <w:proofErr w:type="spellStart"/>
            <w:r w:rsidR="005445D2">
              <w:t>hexanedione</w:t>
            </w:r>
            <w:proofErr w:type="spellEnd"/>
            <w:r w:rsidR="005445D2">
              <w:t xml:space="preserve"> and 2,5-hexanediol </w:t>
            </w:r>
            <w:r w:rsidRPr="005445D2">
              <w:rPr>
                <w:i/>
              </w:rPr>
              <w:t>in vivo</w:t>
            </w:r>
            <w:r>
              <w:t xml:space="preserve"> producing</w:t>
            </w:r>
            <w:r w:rsidR="005445D2">
              <w:t xml:space="preserve"> neuropathy</w:t>
            </w:r>
            <w:r>
              <w:t>.</w:t>
            </w:r>
          </w:p>
          <w:p w14:paraId="6390D689" w14:textId="77777777" w:rsidR="00A46343" w:rsidRDefault="00A46343" w:rsidP="003365A5">
            <w:pPr>
              <w:pStyle w:val="Tabletextprimarysource"/>
            </w:pPr>
            <w:r>
              <w:t>Human data:</w:t>
            </w:r>
          </w:p>
          <w:p w14:paraId="468328AD" w14:textId="77777777" w:rsidR="00587965" w:rsidRDefault="00587965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 of severe intoxicat</w:t>
            </w:r>
            <w:r w:rsidR="005373F6">
              <w:t>ion following dermal absorption</w:t>
            </w:r>
          </w:p>
          <w:p w14:paraId="30BC45B2" w14:textId="77777777" w:rsidR="00A46343" w:rsidRDefault="003949BF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2,000 ppm</w:t>
            </w:r>
            <w:r w:rsidR="0049021C">
              <w:t xml:space="preserve"> </w:t>
            </w:r>
            <w:r w:rsidR="00B46B8C">
              <w:t>for 10 min caused no effects; 5,000 ppm caused dizziness and giddiness</w:t>
            </w:r>
          </w:p>
          <w:p w14:paraId="41CA9721" w14:textId="05FE77BE" w:rsidR="00805593" w:rsidRDefault="007B4F13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</w:t>
            </w:r>
            <w:r w:rsidR="0049021C">
              <w:t xml:space="preserve">olyneuropathy reported </w:t>
            </w:r>
            <w:r>
              <w:t xml:space="preserve">in worker study </w:t>
            </w:r>
            <w:r w:rsidR="0049021C">
              <w:t>at 500 ppm</w:t>
            </w:r>
            <w:r w:rsidR="00805593">
              <w:t>; duration described as 48 h or longer work</w:t>
            </w:r>
            <w:r w:rsidR="003949BF">
              <w:t xml:space="preserve"> </w:t>
            </w:r>
            <w:r w:rsidR="00805593">
              <w:t>weeks</w:t>
            </w:r>
          </w:p>
          <w:p w14:paraId="1414A22F" w14:textId="0E446FE5" w:rsidR="00B46B8C" w:rsidRDefault="00805593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</w:t>
            </w:r>
            <w:r w:rsidR="003949BF">
              <w:t xml:space="preserve">inimal </w:t>
            </w:r>
            <w:r w:rsidR="007B4F13">
              <w:t>concentration</w:t>
            </w:r>
            <w:r w:rsidR="003949BF">
              <w:t xml:space="preserve"> </w:t>
            </w:r>
            <w:r w:rsidR="0049021C">
              <w:t>required for neurotoxic effects not identified</w:t>
            </w:r>
          </w:p>
          <w:p w14:paraId="769EACB4" w14:textId="0141A422" w:rsidR="00A427D2" w:rsidRDefault="00A427D2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Numerous case reports of polyneuropathy in workers from </w:t>
            </w:r>
            <w:r w:rsidR="003949BF">
              <w:t xml:space="preserve">solvent </w:t>
            </w:r>
            <w:r>
              <w:t>exposure; a review indicated most solvents were believed to contain 50</w:t>
            </w:r>
            <w:r w:rsidR="00045E16">
              <w:t>–</w:t>
            </w:r>
            <w:r>
              <w:t xml:space="preserve">70% </w:t>
            </w:r>
            <w:r w:rsidRPr="003949BF">
              <w:rPr>
                <w:i/>
              </w:rPr>
              <w:t>n</w:t>
            </w:r>
            <w:r>
              <w:t>-hexane</w:t>
            </w:r>
            <w:r w:rsidR="003949BF">
              <w:t>.</w:t>
            </w:r>
          </w:p>
          <w:p w14:paraId="4054681B" w14:textId="77777777" w:rsidR="00805593" w:rsidRDefault="00805593" w:rsidP="00805593">
            <w:pPr>
              <w:pStyle w:val="Tabletextprimarysource"/>
            </w:pPr>
            <w:r>
              <w:t>Animal data:</w:t>
            </w:r>
          </w:p>
          <w:p w14:paraId="012AB140" w14:textId="4E4257E2" w:rsidR="00805593" w:rsidRDefault="003949BF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Mice exposed </w:t>
            </w:r>
            <w:r w:rsidR="007B4F13">
              <w:t>at</w:t>
            </w:r>
            <w:r>
              <w:t xml:space="preserve"> 250 ppm, </w:t>
            </w:r>
            <w:r w:rsidR="00805593">
              <w:t>24 h/d, 6 d/</w:t>
            </w:r>
            <w:proofErr w:type="spellStart"/>
            <w:r w:rsidR="00805593">
              <w:t>wk</w:t>
            </w:r>
            <w:proofErr w:type="spellEnd"/>
            <w:r w:rsidR="00805593">
              <w:t xml:space="preserve"> for 1 yr showed signs of neurotoxicity</w:t>
            </w:r>
          </w:p>
          <w:p w14:paraId="5DDE84C4" w14:textId="77777777" w:rsidR="00805593" w:rsidRDefault="00805593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evidence of peripheral polyneuropathy in mice inhaling 100 ppm for 7 </w:t>
            </w:r>
            <w:proofErr w:type="spellStart"/>
            <w:r>
              <w:t>mo</w:t>
            </w:r>
            <w:proofErr w:type="spellEnd"/>
            <w:r>
              <w:t>; no further information</w:t>
            </w:r>
            <w:r w:rsidR="003949BF">
              <w:t xml:space="preserve"> on isomers mix</w:t>
            </w:r>
          </w:p>
          <w:p w14:paraId="3C984CF7" w14:textId="77777777" w:rsidR="00805593" w:rsidRDefault="00BC7718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</w:t>
            </w:r>
            <w:r w:rsidR="00805593">
              <w:t>rogressi</w:t>
            </w:r>
            <w:r>
              <w:t>ve testicular toxicity from 2,5-</w:t>
            </w:r>
            <w:proofErr w:type="spellStart"/>
            <w:r>
              <w:t>hexanedione</w:t>
            </w:r>
            <w:proofErr w:type="spellEnd"/>
            <w:r>
              <w:t xml:space="preserve"> in rats in feeding study at doses less than those producing neurotoxicity</w:t>
            </w:r>
            <w:r w:rsidR="008F27A7">
              <w:t>.</w:t>
            </w:r>
          </w:p>
          <w:p w14:paraId="39CD650A" w14:textId="77777777" w:rsidR="00D50A0C" w:rsidRDefault="00D50A0C" w:rsidP="002254FE">
            <w:pPr>
              <w:pStyle w:val="Tabletextprimarysource"/>
            </w:pPr>
          </w:p>
          <w:p w14:paraId="17AA0B26" w14:textId="77777777" w:rsidR="002254FE" w:rsidRDefault="002254FE" w:rsidP="002254FE">
            <w:pPr>
              <w:pStyle w:val="Tabletextprimarysource"/>
            </w:pPr>
            <w:r>
              <w:t>Insufficient data available to recommend sensitiser or carcinogenicity notation or TLV-STEL.</w:t>
            </w:r>
          </w:p>
          <w:p w14:paraId="717A7476" w14:textId="77777777" w:rsidR="00402D23" w:rsidRPr="00DA352E" w:rsidRDefault="00402D23" w:rsidP="002254FE">
            <w:pPr>
              <w:pStyle w:val="Tabletextprimarysource"/>
            </w:pPr>
          </w:p>
        </w:tc>
      </w:tr>
      <w:tr w:rsidR="00C978F0" w:rsidRPr="00DA352E" w14:paraId="7BAADC8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017C9F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F49F7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F49F7">
                  <w:t>MAK: 50 ppm (180 mg/</w:t>
                </w:r>
                <w:proofErr w:type="spellStart"/>
                <w:r w:rsidR="00CF49F7">
                  <w:t>m</w:t>
                </w:r>
                <w:r w:rsidR="00CF49F7" w:rsidRPr="00CF49F7">
                  <w:rPr>
                    <w:vertAlign w:val="superscript"/>
                  </w:rPr>
                  <w:t>3</w:t>
                </w:r>
                <w:proofErr w:type="spellEnd"/>
                <w:r w:rsidR="00CF49F7">
                  <w:t>)</w:t>
                </w:r>
              </w:sdtContent>
            </w:sdt>
          </w:p>
        </w:tc>
      </w:tr>
      <w:tr w:rsidR="00C978F0" w:rsidRPr="00DA352E" w14:paraId="75B618B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DBC7F7" w14:textId="77777777" w:rsidR="00C978F0" w:rsidRDefault="00AF6F5F" w:rsidP="003365A5">
            <w:pPr>
              <w:pStyle w:val="Tabletextprimarysource"/>
            </w:pPr>
            <w:r>
              <w:t>Summary of additional data:</w:t>
            </w:r>
          </w:p>
          <w:p w14:paraId="5E933827" w14:textId="77777777" w:rsidR="00AF6F5F" w:rsidRDefault="00AF6F5F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Observations in workers confirms occurrence of neurotoxic symptoms after long-term exposure to hexane; most studies limited in terms of concentration data</w:t>
            </w:r>
          </w:p>
          <w:p w14:paraId="50DE1FCF" w14:textId="7770BB33" w:rsidR="00AF6F5F" w:rsidRDefault="00AF6F5F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2 groups of workers exposed </w:t>
            </w:r>
            <w:r w:rsidR="007B4F13">
              <w:t>at</w:t>
            </w:r>
            <w:r>
              <w:t xml:space="preserve"> an average of 58 ppm for an average of 5.2 or 6.2 yr; no clinically manifest polyneuropathy</w:t>
            </w:r>
            <w:r w:rsidR="00D373F7">
              <w:t xml:space="preserve"> or significant toxic effects on the peripheral nervous system</w:t>
            </w:r>
          </w:p>
          <w:p w14:paraId="74773AC3" w14:textId="77777777" w:rsidR="00D373F7" w:rsidRDefault="00D373F7" w:rsidP="007B4F13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NOEC</w:t>
            </w:r>
            <w:proofErr w:type="spellEnd"/>
            <w:r>
              <w:t xml:space="preserve"> of 100 ppm identified in rats; daily exposure for 12 h for up to 24 </w:t>
            </w:r>
            <w:proofErr w:type="spellStart"/>
            <w:r>
              <w:t>wk</w:t>
            </w:r>
            <w:proofErr w:type="spellEnd"/>
            <w:r>
              <w:t xml:space="preserve">; </w:t>
            </w:r>
            <w:r w:rsidR="00D32945">
              <w:t xml:space="preserve">no significant deviations from the control values in terms of electrophysiological measurements of the tail nerve; regarded the most sensitive </w:t>
            </w:r>
            <w:proofErr w:type="gramStart"/>
            <w:r w:rsidR="00D32945">
              <w:t>end-point</w:t>
            </w:r>
            <w:proofErr w:type="gramEnd"/>
            <w:r w:rsidR="00D32945">
              <w:t xml:space="preserve"> of chronic intoxication</w:t>
            </w:r>
          </w:p>
          <w:p w14:paraId="1D1640A1" w14:textId="77777777" w:rsidR="00D32945" w:rsidRDefault="002254FE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Evidence presented justifies retention of MAK</w:t>
            </w:r>
            <w:r w:rsidR="008F27A7">
              <w:t>.</w:t>
            </w:r>
          </w:p>
          <w:p w14:paraId="79BA28A4" w14:textId="77777777" w:rsidR="00402D23" w:rsidRPr="00DA352E" w:rsidRDefault="00402D23" w:rsidP="007B4F13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2D49CF3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DEBEC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36782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636782" w:rsidRPr="005373F6">
                  <w:t>TWA: 20 ppm (72 mg/</w:t>
                </w:r>
                <w:proofErr w:type="spellStart"/>
                <w:r w:rsidR="00636782" w:rsidRPr="005373F6">
                  <w:t>m</w:t>
                </w:r>
                <w:r w:rsidR="00636782" w:rsidRPr="005373F6">
                  <w:rPr>
                    <w:vertAlign w:val="superscript"/>
                  </w:rPr>
                  <w:t>3</w:t>
                </w:r>
                <w:proofErr w:type="spellEnd"/>
                <w:r w:rsidR="00636782" w:rsidRPr="005373F6">
                  <w:t>)</w:t>
                </w:r>
              </w:sdtContent>
            </w:sdt>
          </w:p>
        </w:tc>
      </w:tr>
      <w:tr w:rsidR="00C978F0" w:rsidRPr="00DA352E" w14:paraId="299615B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39EE1D9" w14:textId="77777777" w:rsidR="00C978F0" w:rsidRDefault="002254FE" w:rsidP="003365A5">
            <w:pPr>
              <w:pStyle w:val="Tabletextprimarysource"/>
            </w:pPr>
            <w:r>
              <w:t>Summary of additional data:</w:t>
            </w:r>
          </w:p>
          <w:p w14:paraId="014B0127" w14:textId="571E716F" w:rsidR="002254FE" w:rsidRDefault="002254FE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Worker post-shift concentration of metabo</w:t>
            </w:r>
            <w:r w:rsidR="005373F6">
              <w:t>lite 2,5-</w:t>
            </w:r>
            <w:proofErr w:type="spellStart"/>
            <w:r w:rsidR="005373F6">
              <w:t>hexanedione</w:t>
            </w:r>
            <w:proofErr w:type="spellEnd"/>
            <w:r w:rsidR="005373F6">
              <w:t xml:space="preserve"> in urine &gt;</w:t>
            </w:r>
            <w:r>
              <w:t xml:space="preserve">7.5 mg/L associated with </w:t>
            </w:r>
            <w:proofErr w:type="spellStart"/>
            <w:r>
              <w:t>electroneuromyographic</w:t>
            </w:r>
            <w:proofErr w:type="spellEnd"/>
            <w:r>
              <w:t xml:space="preserve"> abnormalities; </w:t>
            </w:r>
            <w:r w:rsidR="005373F6">
              <w:rPr>
                <w:rFonts w:cs="Arial"/>
              </w:rPr>
              <w:t>≡</w:t>
            </w:r>
            <w:r w:rsidR="005373F6">
              <w:t xml:space="preserve">8 h </w:t>
            </w:r>
            <w:r>
              <w:t xml:space="preserve">TWA of </w:t>
            </w:r>
            <w:r w:rsidR="00045E16">
              <w:rPr>
                <w:rFonts w:cs="Arial"/>
              </w:rPr>
              <w:t>≈</w:t>
            </w:r>
            <w:r>
              <w:t>70 ppm (250</w:t>
            </w:r>
            <w:r w:rsidR="00D50A0C">
              <w:t> </w:t>
            </w:r>
            <w:r>
              <w:t>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); considered a </w:t>
            </w:r>
            <w:proofErr w:type="spellStart"/>
            <w:r>
              <w:t>LOAEL</w:t>
            </w:r>
            <w:proofErr w:type="spellEnd"/>
          </w:p>
          <w:p w14:paraId="3577D4F0" w14:textId="08B246D9" w:rsidR="002254FE" w:rsidRDefault="002254FE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TWA derived by application of </w:t>
            </w:r>
            <w:proofErr w:type="spellStart"/>
            <w:r w:rsidR="007B4F13">
              <w:t>UF</w:t>
            </w:r>
            <w:proofErr w:type="spellEnd"/>
            <w:r>
              <w:t xml:space="preserve"> of 2 to</w:t>
            </w:r>
            <w:r w:rsidR="007B4F13">
              <w:t xml:space="preserve"> </w:t>
            </w:r>
            <w:proofErr w:type="spellStart"/>
            <w:r>
              <w:t>LOAEL</w:t>
            </w:r>
            <w:proofErr w:type="spellEnd"/>
            <w:r>
              <w:t xml:space="preserve"> and rounding to arrive at 20 ppm</w:t>
            </w:r>
          </w:p>
          <w:p w14:paraId="5130D5A0" w14:textId="77777777" w:rsidR="002254FE" w:rsidRDefault="002254FE" w:rsidP="007B4F1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STEL or skin notation not considered necessary</w:t>
            </w:r>
            <w:r w:rsidR="008F27A7">
              <w:t>.</w:t>
            </w:r>
          </w:p>
          <w:p w14:paraId="598049A5" w14:textId="77777777" w:rsidR="00402D23" w:rsidRPr="00DA352E" w:rsidRDefault="00402D23" w:rsidP="007B4F13">
            <w:pPr>
              <w:pStyle w:val="ListBullet"/>
              <w:numPr>
                <w:ilvl w:val="0"/>
                <w:numId w:val="0"/>
              </w:numPr>
              <w:spacing w:before="60" w:after="60"/>
              <w:ind w:left="1077"/>
              <w:contextualSpacing w:val="0"/>
            </w:pPr>
          </w:p>
        </w:tc>
      </w:tr>
      <w:tr w:rsidR="00DA352E" w:rsidRPr="00DA352E" w14:paraId="08EAB46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DCBA7A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3678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36782">
                  <w:t>NA</w:t>
                </w:r>
                <w:proofErr w:type="spellEnd"/>
              </w:sdtContent>
            </w:sdt>
          </w:p>
        </w:tc>
      </w:tr>
      <w:tr w:rsidR="00DA352E" w:rsidRPr="00DA352E" w14:paraId="251483D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F171F32" w14:textId="77777777" w:rsidR="00DA352E" w:rsidRPr="00DA352E" w:rsidRDefault="00636782" w:rsidP="003365A5">
            <w:pPr>
              <w:pStyle w:val="Tabletextprimarysource"/>
            </w:pPr>
            <w:r>
              <w:t>No report</w:t>
            </w:r>
            <w:r w:rsidR="008F27A7">
              <w:t>.</w:t>
            </w:r>
          </w:p>
        </w:tc>
      </w:tr>
      <w:tr w:rsidR="00DA352E" w:rsidRPr="00DA352E" w14:paraId="39332D7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130F0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3678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636782">
                  <w:t>NA</w:t>
                </w:r>
                <w:proofErr w:type="spellEnd"/>
              </w:sdtContent>
            </w:sdt>
          </w:p>
        </w:tc>
      </w:tr>
      <w:tr w:rsidR="00DA352E" w:rsidRPr="00DA352E" w14:paraId="29004C7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633BF6" w14:textId="77777777" w:rsidR="00DA352E" w:rsidRPr="00DA352E" w:rsidRDefault="00636782" w:rsidP="003365A5">
            <w:pPr>
              <w:pStyle w:val="Tabletextprimarysource"/>
            </w:pPr>
            <w:r>
              <w:t>No report</w:t>
            </w:r>
            <w:r w:rsidR="008F27A7">
              <w:t>.</w:t>
            </w:r>
            <w:r>
              <w:t xml:space="preserve"> </w:t>
            </w:r>
          </w:p>
        </w:tc>
      </w:tr>
    </w:tbl>
    <w:p w14:paraId="0B836EF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20A2E82A" w14:textId="77777777" w:rsidTr="005A6A17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4C45CB5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C974E0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39958E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6CF57BF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5BA69E2" w14:textId="77777777" w:rsidTr="005A6A17">
        <w:trPr>
          <w:cantSplit/>
        </w:trPr>
        <w:tc>
          <w:tcPr>
            <w:tcW w:w="1497" w:type="dxa"/>
          </w:tcPr>
          <w:p w14:paraId="24B156EC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42605009" w14:textId="77777777" w:rsidR="004966BF" w:rsidRPr="00CE617F" w:rsidRDefault="00C2694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264C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3EB3ADF" w14:textId="77777777" w:rsidR="004966BF" w:rsidRPr="004C23F4" w:rsidRDefault="004264C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5" w:type="dxa"/>
          </w:tcPr>
          <w:p w14:paraId="723E2911" w14:textId="77777777" w:rsidR="005A6A17" w:rsidRPr="005A6A17" w:rsidRDefault="005A6A17" w:rsidP="007B4F1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NOAEC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of 500 ppm in rats for nasal legions; 13</w:t>
            </w:r>
            <w:r w:rsidR="008F27A7">
              <w:rPr>
                <w:rStyle w:val="checkbox"/>
                <w:rFonts w:ascii="Arial" w:hAnsi="Arial" w:cs="Arial"/>
              </w:rPr>
              <w:t xml:space="preserve"> 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inhalation study</w:t>
            </w:r>
            <w:r w:rsidR="00D50A0C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6B7CF4E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246D4F0" w14:textId="77777777" w:rsidTr="005A6A17">
        <w:trPr>
          <w:trHeight w:val="454"/>
          <w:tblHeader/>
        </w:trPr>
        <w:tc>
          <w:tcPr>
            <w:tcW w:w="6603" w:type="dxa"/>
            <w:vAlign w:val="center"/>
          </w:tcPr>
          <w:p w14:paraId="33CCB1D7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ECF5042" w14:textId="77777777" w:rsidR="002E0D61" w:rsidRDefault="005A6A1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AEF6306" w14:textId="77777777" w:rsidTr="005A6A1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263B04F" w14:textId="77777777" w:rsidR="008A36CF" w:rsidRPr="006901A2" w:rsidRDefault="005A6A1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56FBE9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CB6B1A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C63282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7C915C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85628A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3B4A6B4" w14:textId="77777777" w:rsidTr="00812887">
        <w:trPr>
          <w:cantSplit/>
        </w:trPr>
        <w:tc>
          <w:tcPr>
            <w:tcW w:w="3227" w:type="dxa"/>
          </w:tcPr>
          <w:p w14:paraId="23090A2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CD78922" w14:textId="77777777" w:rsidR="00687890" w:rsidRPr="00DD2F9B" w:rsidRDefault="00CF49F7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6BA12AF2" w14:textId="77777777" w:rsidTr="00812887">
        <w:trPr>
          <w:cantSplit/>
        </w:trPr>
        <w:tc>
          <w:tcPr>
            <w:tcW w:w="3227" w:type="dxa"/>
          </w:tcPr>
          <w:p w14:paraId="246C40ED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68038F66" w14:textId="77777777" w:rsidR="007925F0" w:rsidRPr="00DD2F9B" w:rsidRDefault="00CF49F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FF379EC" w14:textId="77777777" w:rsidTr="00812887">
        <w:trPr>
          <w:cantSplit/>
        </w:trPr>
        <w:tc>
          <w:tcPr>
            <w:tcW w:w="3227" w:type="dxa"/>
          </w:tcPr>
          <w:p w14:paraId="20F97F86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1E9E0A07" w14:textId="77777777" w:rsidR="00AF483F" w:rsidRPr="00DD2F9B" w:rsidRDefault="00DE3A9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CB8FE62" w14:textId="77777777" w:rsidTr="00812887">
        <w:trPr>
          <w:cantSplit/>
        </w:trPr>
        <w:tc>
          <w:tcPr>
            <w:tcW w:w="3227" w:type="dxa"/>
          </w:tcPr>
          <w:p w14:paraId="2A99223C" w14:textId="77777777" w:rsidR="004079B4" w:rsidRPr="004C23F4" w:rsidRDefault="00687890" w:rsidP="00F4402E">
            <w:pPr>
              <w:pStyle w:val="Tablefont"/>
            </w:pPr>
            <w:r w:rsidRPr="004C23F4">
              <w:lastRenderedPageBreak/>
              <w:t>EU Annex</w:t>
            </w:r>
          </w:p>
        </w:tc>
        <w:tc>
          <w:tcPr>
            <w:tcW w:w="6015" w:type="dxa"/>
          </w:tcPr>
          <w:p w14:paraId="4FC326EC" w14:textId="77777777" w:rsidR="00687890" w:rsidRPr="00DD2F9B" w:rsidRDefault="00DE3A9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1B01C01" w14:textId="77777777" w:rsidTr="00812887">
        <w:trPr>
          <w:cantSplit/>
        </w:trPr>
        <w:tc>
          <w:tcPr>
            <w:tcW w:w="3227" w:type="dxa"/>
          </w:tcPr>
          <w:p w14:paraId="3003B67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97CBECA" w14:textId="77777777" w:rsidR="00E41A26" w:rsidRPr="00DD2F9B" w:rsidRDefault="00DE3A9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002F4C7" w14:textId="77777777" w:rsidTr="00812887">
        <w:trPr>
          <w:cantSplit/>
        </w:trPr>
        <w:tc>
          <w:tcPr>
            <w:tcW w:w="3227" w:type="dxa"/>
          </w:tcPr>
          <w:p w14:paraId="3C2F3D49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7B4EFB13" w14:textId="77777777" w:rsidR="002E0D61" w:rsidRPr="00DD2F9B" w:rsidRDefault="00CF49F7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623011B4" w14:textId="77777777" w:rsidTr="00812887">
        <w:trPr>
          <w:cantSplit/>
        </w:trPr>
        <w:tc>
          <w:tcPr>
            <w:tcW w:w="3227" w:type="dxa"/>
          </w:tcPr>
          <w:p w14:paraId="2C7526EC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25630128" w14:textId="77777777" w:rsidR="002E0D61" w:rsidRPr="00DD2F9B" w:rsidRDefault="00CF49F7" w:rsidP="00DD2F9B">
            <w:pPr>
              <w:pStyle w:val="Tablefont"/>
            </w:pPr>
            <w:r>
              <w:t>H</w:t>
            </w:r>
          </w:p>
        </w:tc>
      </w:tr>
      <w:tr w:rsidR="002E0D61" w:rsidRPr="004C23F4" w14:paraId="3A385DF1" w14:textId="77777777" w:rsidTr="00812887">
        <w:trPr>
          <w:cantSplit/>
        </w:trPr>
        <w:tc>
          <w:tcPr>
            <w:tcW w:w="3227" w:type="dxa"/>
          </w:tcPr>
          <w:p w14:paraId="69240CBE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2709B383" w14:textId="77777777" w:rsidR="002E0D61" w:rsidRPr="00DD2F9B" w:rsidRDefault="00DE3A9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1AB2501" w14:textId="77777777" w:rsidTr="00812887">
        <w:trPr>
          <w:cantSplit/>
        </w:trPr>
        <w:tc>
          <w:tcPr>
            <w:tcW w:w="3227" w:type="dxa"/>
          </w:tcPr>
          <w:p w14:paraId="1F78A69E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729CBA7C" w14:textId="77777777" w:rsidR="002E0D61" w:rsidRPr="00DD2F9B" w:rsidRDefault="00DE3A9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A441AA8" w14:textId="77777777" w:rsidTr="00812887">
        <w:trPr>
          <w:cantSplit/>
        </w:trPr>
        <w:tc>
          <w:tcPr>
            <w:tcW w:w="3227" w:type="dxa"/>
          </w:tcPr>
          <w:p w14:paraId="1DB757E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DB31548" w14:textId="77777777" w:rsidR="00386093" w:rsidRPr="00DD2F9B" w:rsidRDefault="00DE3A9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A2CA9E4" w14:textId="77777777" w:rsidTr="00812887">
        <w:trPr>
          <w:cantSplit/>
        </w:trPr>
        <w:tc>
          <w:tcPr>
            <w:tcW w:w="3227" w:type="dxa"/>
          </w:tcPr>
          <w:p w14:paraId="21BFA561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503847F0" w14:textId="77777777" w:rsidR="00386093" w:rsidRPr="00DD2F9B" w:rsidRDefault="00DE3A9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E7E524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F27BF2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82224A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2DCB54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F64B9D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78" w:type="dxa"/>
              <w:tblLook w:val="04A0" w:firstRow="1" w:lastRow="0" w:firstColumn="1" w:lastColumn="0" w:noHBand="0" w:noVBand="1"/>
            </w:tblPr>
            <w:tblGrid>
              <w:gridCol w:w="3815"/>
              <w:gridCol w:w="1123"/>
              <w:gridCol w:w="1123"/>
              <w:gridCol w:w="2717"/>
            </w:tblGrid>
            <w:tr w:rsidR="005A6A17" w:rsidRPr="005A6A17" w14:paraId="1B2BDA72" w14:textId="77777777" w:rsidTr="005A6A17">
              <w:trPr>
                <w:trHeight w:val="34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5E52F" w14:textId="77777777" w:rsidR="005A6A17" w:rsidRPr="005A6A17" w:rsidRDefault="005A6A17" w:rsidP="005A6A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E95E883" w14:textId="77777777" w:rsidR="005A6A17" w:rsidRPr="005A6A17" w:rsidRDefault="005A6A17" w:rsidP="005A6A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05920E" w14:textId="77777777" w:rsidR="005A6A17" w:rsidRPr="005A6A17" w:rsidRDefault="005A6A17" w:rsidP="005A6A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C0E55B" w14:textId="77777777" w:rsidR="005A6A17" w:rsidRPr="005A6A17" w:rsidRDefault="005A6A17" w:rsidP="005A6A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A6A17" w:rsidRPr="005A6A17" w14:paraId="322C7A48" w14:textId="77777777" w:rsidTr="005A6A17">
              <w:trPr>
                <w:trHeight w:val="34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680560" w14:textId="77777777" w:rsidR="005A6A17" w:rsidRPr="005A6A17" w:rsidRDefault="005A6A17" w:rsidP="005A6A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A33C65" w14:textId="77777777" w:rsidR="005A6A17" w:rsidRPr="005A6A17" w:rsidRDefault="005A6A17" w:rsidP="005A6A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50C6BC" w14:textId="77777777" w:rsidR="005A6A17" w:rsidRPr="005A6A17" w:rsidRDefault="005A6A17" w:rsidP="005A6A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E4DE2F" w14:textId="77777777" w:rsidR="005A6A17" w:rsidRPr="005A6A17" w:rsidRDefault="005A6A17" w:rsidP="005A6A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A6A17" w:rsidRPr="005A6A17" w14:paraId="0140CC4D" w14:textId="77777777" w:rsidTr="005A6A17">
              <w:trPr>
                <w:trHeight w:val="34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5BE163" w14:textId="77777777" w:rsidR="005A6A17" w:rsidRPr="005A6A17" w:rsidRDefault="005A6A17" w:rsidP="005A6A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E28CE0" w14:textId="77777777" w:rsidR="005A6A17" w:rsidRPr="005A6A17" w:rsidRDefault="005A6A17" w:rsidP="005A6A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43353B" w14:textId="77777777" w:rsidR="005A6A17" w:rsidRPr="005A6A17" w:rsidRDefault="005A6A17" w:rsidP="005A6A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5DF9B2" w14:textId="77777777" w:rsidR="005A6A17" w:rsidRPr="005A6A17" w:rsidRDefault="005A6A17" w:rsidP="005A6A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A6A17" w:rsidRPr="005A6A17" w14:paraId="65755EA0" w14:textId="77777777" w:rsidTr="005A6A17">
              <w:trPr>
                <w:trHeight w:val="34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EA6703" w14:textId="77777777" w:rsidR="005A6A17" w:rsidRPr="005A6A17" w:rsidRDefault="005A6A17" w:rsidP="005A6A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7EAB0C" w14:textId="77777777" w:rsidR="005A6A17" w:rsidRPr="005A6A17" w:rsidRDefault="005A6A17" w:rsidP="005A6A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7498E1" w14:textId="77777777" w:rsidR="005A6A17" w:rsidRPr="005A6A17" w:rsidRDefault="005A6A17" w:rsidP="005A6A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19C3B2" w14:textId="77777777" w:rsidR="005A6A17" w:rsidRPr="005A6A17" w:rsidRDefault="005A6A17" w:rsidP="005A6A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A6A17" w:rsidRPr="005A6A17" w14:paraId="085A2D08" w14:textId="77777777" w:rsidTr="005A6A17">
              <w:trPr>
                <w:trHeight w:val="34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BC0D98" w14:textId="77777777" w:rsidR="005A6A17" w:rsidRPr="005A6A17" w:rsidRDefault="005A6A17" w:rsidP="005A6A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626884" w14:textId="77777777" w:rsidR="005A6A17" w:rsidRPr="005A6A17" w:rsidRDefault="005A6A17" w:rsidP="005A6A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508A29" w14:textId="77777777" w:rsidR="005A6A17" w:rsidRPr="005A6A17" w:rsidRDefault="005A6A17" w:rsidP="005A6A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D12A8D" w14:textId="77777777" w:rsidR="005A6A17" w:rsidRPr="005A6A17" w:rsidRDefault="005A6A17" w:rsidP="005A6A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A6A17" w:rsidRPr="005A6A17" w14:paraId="69224ED6" w14:textId="77777777" w:rsidTr="005A6A17">
              <w:trPr>
                <w:trHeight w:val="34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7E3C2A" w14:textId="77777777" w:rsidR="005A6A17" w:rsidRPr="005A6A17" w:rsidRDefault="005A6A17" w:rsidP="005A6A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D6C9D6" w14:textId="77777777" w:rsidR="005A6A17" w:rsidRPr="005A6A17" w:rsidRDefault="005A6A17" w:rsidP="005A6A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09E185" w14:textId="77777777" w:rsidR="005A6A17" w:rsidRPr="005A6A17" w:rsidRDefault="005A6A17" w:rsidP="005A6A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1D8FCB" w14:textId="77777777" w:rsidR="005A6A17" w:rsidRPr="005A6A17" w:rsidRDefault="005A6A17" w:rsidP="005A6A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A6A17" w:rsidRPr="005A6A17" w14:paraId="5E301F15" w14:textId="77777777" w:rsidTr="005A6A17">
              <w:trPr>
                <w:trHeight w:val="344"/>
              </w:trPr>
              <w:tc>
                <w:tcPr>
                  <w:tcW w:w="38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375DC1" w14:textId="77777777" w:rsidR="005A6A17" w:rsidRPr="005A6A17" w:rsidRDefault="005A6A17" w:rsidP="005A6A1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14922D" w14:textId="77777777" w:rsidR="005A6A17" w:rsidRPr="005A6A17" w:rsidRDefault="005A6A17" w:rsidP="005A6A1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3892C1" w14:textId="77777777" w:rsidR="005A6A17" w:rsidRPr="005A6A17" w:rsidRDefault="005A6A17" w:rsidP="005A6A1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62B7C0" w14:textId="77777777" w:rsidR="005A6A17" w:rsidRPr="005A6A17" w:rsidRDefault="005A6A17" w:rsidP="005A6A1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A6A1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77255CC4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63B84CB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6"/>
        <w:gridCol w:w="4760"/>
      </w:tblGrid>
      <w:tr w:rsidR="00EB3D1B" w14:paraId="6303145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4621F1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34E6EF2" w14:textId="77777777" w:rsidR="00EB3D1B" w:rsidRDefault="005373F6" w:rsidP="00EB3D1B">
                <w:pPr>
                  <w:pStyle w:val="Tablefont"/>
                </w:pPr>
                <w:r>
                  <w:t>Yes, based on LEL</w:t>
                </w:r>
              </w:p>
            </w:tc>
          </w:sdtContent>
        </w:sdt>
      </w:tr>
    </w:tbl>
    <w:p w14:paraId="0830A3C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870D13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06DB8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B20E7FF" w14:textId="77777777" w:rsidR="001B79E5" w:rsidRDefault="00CF49F7" w:rsidP="001B79E5">
                <w:pPr>
                  <w:pStyle w:val="Tablefont"/>
                </w:pPr>
                <w:r>
                  <w:t>86.10</w:t>
                </w:r>
              </w:p>
            </w:tc>
          </w:sdtContent>
        </w:sdt>
      </w:tr>
      <w:tr w:rsidR="00A31D99" w:rsidRPr="004C23F4" w14:paraId="0E46C2B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B1711EE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3F17C75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325B03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BA8170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895F9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12DD346" w14:textId="77777777" w:rsidTr="00EA6243">
        <w:trPr>
          <w:cantSplit/>
        </w:trPr>
        <w:tc>
          <w:tcPr>
            <w:tcW w:w="4077" w:type="dxa"/>
            <w:vAlign w:val="center"/>
          </w:tcPr>
          <w:p w14:paraId="67E7532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06DD91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332A2A" w14:textId="77777777" w:rsidTr="00EA6243">
        <w:trPr>
          <w:cantSplit/>
        </w:trPr>
        <w:tc>
          <w:tcPr>
            <w:tcW w:w="4077" w:type="dxa"/>
            <w:vAlign w:val="center"/>
          </w:tcPr>
          <w:p w14:paraId="560ED35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1CE58D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F963484" w14:textId="77777777" w:rsidTr="00EA6243">
        <w:trPr>
          <w:cantSplit/>
        </w:trPr>
        <w:tc>
          <w:tcPr>
            <w:tcW w:w="4077" w:type="dxa"/>
            <w:vAlign w:val="center"/>
          </w:tcPr>
          <w:p w14:paraId="29E562F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012E2DD" w14:textId="77777777" w:rsidR="00E06F40" w:rsidRPr="00A006A0" w:rsidRDefault="00C2694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F49F7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50698BF0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186214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C2A43C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C78634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7854FD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1B712A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7529E0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0546E5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2195F16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6261AF46" w14:textId="77777777" w:rsidR="008D5D6C" w:rsidRDefault="008D5D6C" w:rsidP="008D5D6C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(2000) n-Hexane – MAK value documentation.</w:t>
      </w:r>
    </w:p>
    <w:p w14:paraId="588E0850" w14:textId="77777777" w:rsidR="008D5D6C" w:rsidRDefault="008D5D6C" w:rsidP="008F27A7">
      <w:r w:rsidRPr="002022B6">
        <w:t>EU Scientific Committee on Occupational Exposure Limits (</w:t>
      </w:r>
      <w:proofErr w:type="spellStart"/>
      <w:r w:rsidRPr="002022B6">
        <w:t>SCOEL</w:t>
      </w:r>
      <w:proofErr w:type="spellEnd"/>
      <w:r w:rsidRPr="002022B6">
        <w:t>)</w:t>
      </w:r>
      <w:r>
        <w:t xml:space="preserve"> (1995) Recommendation from the Scientific Committee on Occupational Exposure Limits for n-hexane. SEG/SUM/52.</w:t>
      </w:r>
      <w:r w:rsidR="008F27A7">
        <w:t xml:space="preserve"> </w:t>
      </w:r>
    </w:p>
    <w:p w14:paraId="5BE1D6E1" w14:textId="77777777" w:rsidR="00402D23" w:rsidRDefault="00402D23" w:rsidP="00402D23">
      <w:pPr>
        <w:rPr>
          <w:b/>
        </w:rPr>
      </w:pPr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(2016) </w:t>
      </w:r>
      <w:r>
        <w:rPr>
          <w:rFonts w:cs="Arial"/>
          <w:lang w:val="en"/>
        </w:rPr>
        <w:t>Hexane:</w:t>
      </w:r>
      <w:r w:rsidRPr="0071660C">
        <w:t xml:space="preserve"> Human </w:t>
      </w:r>
      <w:r w:rsidRPr="004E6081">
        <w:t xml:space="preserve">health </w:t>
      </w:r>
      <w:sdt>
        <w:sdtPr>
          <w:id w:val="-1295753243"/>
          <w:placeholder>
            <w:docPart w:val="9B5256D9A06341879F9FCF8864255D02"/>
          </w:placeholder>
          <w:temporary/>
          <w:showingPlcHdr/>
        </w:sdtPr>
        <w:sdtEndPr/>
        <w:sdtContent>
          <w:r w:rsidRPr="004E6081">
            <w:t>tier II</w:t>
          </w:r>
        </w:sdtContent>
      </w:sdt>
      <w:r w:rsidRPr="004E6081">
        <w:t xml:space="preserve"> assessment – IMAP report</w:t>
      </w:r>
      <w:r>
        <w:t>.</w:t>
      </w:r>
    </w:p>
    <w:p w14:paraId="01FD4C36" w14:textId="77777777" w:rsidR="00402D23" w:rsidRPr="00351FE0" w:rsidRDefault="00402D23" w:rsidP="008F27A7"/>
    <w:sectPr w:rsidR="00402D23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4EC68" w14:textId="77777777" w:rsidR="00D72BDA" w:rsidRDefault="00D72BDA" w:rsidP="00F43AD5">
      <w:pPr>
        <w:spacing w:after="0" w:line="240" w:lineRule="auto"/>
      </w:pPr>
      <w:r>
        <w:separator/>
      </w:r>
    </w:p>
  </w:endnote>
  <w:endnote w:type="continuationSeparator" w:id="0">
    <w:p w14:paraId="103CCB5E" w14:textId="77777777" w:rsidR="00D72BDA" w:rsidRDefault="00D72BD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89F42DA" w14:textId="77777777" w:rsidR="008A36CF" w:rsidRDefault="00CF49F7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Hexane (n-Hexane)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110-54-3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0D46A5A" w14:textId="074510B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27711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3EAE8" w14:textId="77777777" w:rsidR="00D72BDA" w:rsidRDefault="00D72BDA" w:rsidP="00F43AD5">
      <w:pPr>
        <w:spacing w:after="0" w:line="240" w:lineRule="auto"/>
      </w:pPr>
      <w:r>
        <w:separator/>
      </w:r>
    </w:p>
  </w:footnote>
  <w:footnote w:type="continuationSeparator" w:id="0">
    <w:p w14:paraId="43D9EEEF" w14:textId="77777777" w:rsidR="00D72BDA" w:rsidRDefault="00D72BD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7FEB3" w14:textId="0F4A7E35" w:rsidR="00A0418F" w:rsidRDefault="00A0418F" w:rsidP="00A0418F">
    <w:pPr>
      <w:pStyle w:val="Header"/>
      <w:jc w:val="right"/>
    </w:pPr>
    <w:r>
      <w:rPr>
        <w:noProof/>
        <w:lang w:eastAsia="en-AU"/>
      </w:rPr>
      <w:drawing>
        <wp:inline distT="0" distB="0" distL="0" distR="0" wp14:anchorId="72E93F22" wp14:editId="30E4DF38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4E0A5F" w14:textId="4787E1A7" w:rsidR="008A36CF" w:rsidRPr="00A0418F" w:rsidRDefault="008A36CF" w:rsidP="00A041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67432" w14:textId="71D31057" w:rsidR="00A0418F" w:rsidRDefault="00C26946" w:rsidP="00A0418F">
    <w:pPr>
      <w:pStyle w:val="Header"/>
      <w:jc w:val="right"/>
    </w:pPr>
    <w:sdt>
      <w:sdtPr>
        <w:id w:val="-159468801"/>
        <w:docPartObj>
          <w:docPartGallery w:val="Watermarks"/>
          <w:docPartUnique/>
        </w:docPartObj>
      </w:sdtPr>
      <w:sdtEndPr/>
      <w:sdtContent/>
    </w:sdt>
    <w:r w:rsidR="00A0418F">
      <w:rPr>
        <w:noProof/>
        <w:lang w:eastAsia="en-AU"/>
      </w:rPr>
      <w:drawing>
        <wp:inline distT="0" distB="0" distL="0" distR="0" wp14:anchorId="073E2376" wp14:editId="39200564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18957F" w14:textId="6E9658F3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268BE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01406499">
    <w:abstractNumId w:val="0"/>
  </w:num>
  <w:num w:numId="2" w16cid:durableId="1844321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5E16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7EEE"/>
    <w:rsid w:val="00160F47"/>
    <w:rsid w:val="00177CA1"/>
    <w:rsid w:val="00183823"/>
    <w:rsid w:val="00183942"/>
    <w:rsid w:val="0019008E"/>
    <w:rsid w:val="00192769"/>
    <w:rsid w:val="00196487"/>
    <w:rsid w:val="001A009E"/>
    <w:rsid w:val="001A1287"/>
    <w:rsid w:val="001A3859"/>
    <w:rsid w:val="001A3C9D"/>
    <w:rsid w:val="001A43F8"/>
    <w:rsid w:val="001A7F69"/>
    <w:rsid w:val="001B79E5"/>
    <w:rsid w:val="001D3EC9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54FE"/>
    <w:rsid w:val="00227298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49BF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2D23"/>
    <w:rsid w:val="004030BC"/>
    <w:rsid w:val="00403F7D"/>
    <w:rsid w:val="00406785"/>
    <w:rsid w:val="004079B4"/>
    <w:rsid w:val="00417A56"/>
    <w:rsid w:val="00420957"/>
    <w:rsid w:val="00422A10"/>
    <w:rsid w:val="004264CC"/>
    <w:rsid w:val="00430179"/>
    <w:rsid w:val="004414B5"/>
    <w:rsid w:val="00444482"/>
    <w:rsid w:val="00444B42"/>
    <w:rsid w:val="00445E44"/>
    <w:rsid w:val="0044719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21C"/>
    <w:rsid w:val="00490D4C"/>
    <w:rsid w:val="00491E76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37E5"/>
    <w:rsid w:val="004F448A"/>
    <w:rsid w:val="004F493D"/>
    <w:rsid w:val="004F65E8"/>
    <w:rsid w:val="0050005E"/>
    <w:rsid w:val="00502B88"/>
    <w:rsid w:val="005142C4"/>
    <w:rsid w:val="0051509C"/>
    <w:rsid w:val="0051551F"/>
    <w:rsid w:val="00516BD9"/>
    <w:rsid w:val="0051749D"/>
    <w:rsid w:val="005272E2"/>
    <w:rsid w:val="0053108F"/>
    <w:rsid w:val="00532B56"/>
    <w:rsid w:val="00534B10"/>
    <w:rsid w:val="005373F6"/>
    <w:rsid w:val="005445D2"/>
    <w:rsid w:val="005446A2"/>
    <w:rsid w:val="00544D2F"/>
    <w:rsid w:val="00547699"/>
    <w:rsid w:val="00551BD8"/>
    <w:rsid w:val="00581055"/>
    <w:rsid w:val="00587965"/>
    <w:rsid w:val="00591E38"/>
    <w:rsid w:val="005A19C5"/>
    <w:rsid w:val="005A3034"/>
    <w:rsid w:val="005A462D"/>
    <w:rsid w:val="005A6A17"/>
    <w:rsid w:val="005B253B"/>
    <w:rsid w:val="005B771D"/>
    <w:rsid w:val="005C538B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2148"/>
    <w:rsid w:val="006363A8"/>
    <w:rsid w:val="00636782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2DAD"/>
    <w:rsid w:val="006C4F7F"/>
    <w:rsid w:val="006D79EA"/>
    <w:rsid w:val="006E5D05"/>
    <w:rsid w:val="00701053"/>
    <w:rsid w:val="00701507"/>
    <w:rsid w:val="0071047C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1D3C"/>
    <w:rsid w:val="00765F14"/>
    <w:rsid w:val="00770E31"/>
    <w:rsid w:val="007770F1"/>
    <w:rsid w:val="00783FB1"/>
    <w:rsid w:val="00784BC0"/>
    <w:rsid w:val="00785CDD"/>
    <w:rsid w:val="00791847"/>
    <w:rsid w:val="007925F0"/>
    <w:rsid w:val="007939B3"/>
    <w:rsid w:val="0079509C"/>
    <w:rsid w:val="00796708"/>
    <w:rsid w:val="007B1B42"/>
    <w:rsid w:val="007B4F13"/>
    <w:rsid w:val="007C30EB"/>
    <w:rsid w:val="007C4C87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5593"/>
    <w:rsid w:val="00810C6D"/>
    <w:rsid w:val="00812887"/>
    <w:rsid w:val="00822D83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3D96"/>
    <w:rsid w:val="008B403C"/>
    <w:rsid w:val="008B7983"/>
    <w:rsid w:val="008C2511"/>
    <w:rsid w:val="008D026D"/>
    <w:rsid w:val="008D23AB"/>
    <w:rsid w:val="008D4B8B"/>
    <w:rsid w:val="008D5A78"/>
    <w:rsid w:val="008D5D6C"/>
    <w:rsid w:val="008E7B64"/>
    <w:rsid w:val="008F27A7"/>
    <w:rsid w:val="008F5DCD"/>
    <w:rsid w:val="008F5ECF"/>
    <w:rsid w:val="00900951"/>
    <w:rsid w:val="00905C8C"/>
    <w:rsid w:val="009118A6"/>
    <w:rsid w:val="00916909"/>
    <w:rsid w:val="00916EC0"/>
    <w:rsid w:val="00920467"/>
    <w:rsid w:val="00921DE7"/>
    <w:rsid w:val="00927711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418F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27D2"/>
    <w:rsid w:val="00A46343"/>
    <w:rsid w:val="00A53681"/>
    <w:rsid w:val="00A633D4"/>
    <w:rsid w:val="00A6461A"/>
    <w:rsid w:val="00A72A35"/>
    <w:rsid w:val="00A77C52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6F5F"/>
    <w:rsid w:val="00B00A25"/>
    <w:rsid w:val="00B1422A"/>
    <w:rsid w:val="00B1765C"/>
    <w:rsid w:val="00B213C4"/>
    <w:rsid w:val="00B25F8F"/>
    <w:rsid w:val="00B40C60"/>
    <w:rsid w:val="00B46B8C"/>
    <w:rsid w:val="00B479A9"/>
    <w:rsid w:val="00B52EDF"/>
    <w:rsid w:val="00B66412"/>
    <w:rsid w:val="00B71188"/>
    <w:rsid w:val="00B76A41"/>
    <w:rsid w:val="00B87D4C"/>
    <w:rsid w:val="00B93646"/>
    <w:rsid w:val="00B94347"/>
    <w:rsid w:val="00BA0B38"/>
    <w:rsid w:val="00BA1DBB"/>
    <w:rsid w:val="00BA4510"/>
    <w:rsid w:val="00BA529A"/>
    <w:rsid w:val="00BB612A"/>
    <w:rsid w:val="00BC7718"/>
    <w:rsid w:val="00BD057F"/>
    <w:rsid w:val="00BD499F"/>
    <w:rsid w:val="00BD56DE"/>
    <w:rsid w:val="00BF2406"/>
    <w:rsid w:val="00BF66C8"/>
    <w:rsid w:val="00C06E43"/>
    <w:rsid w:val="00C16315"/>
    <w:rsid w:val="00C2170C"/>
    <w:rsid w:val="00C26946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5E6C"/>
    <w:rsid w:val="00CD2BFD"/>
    <w:rsid w:val="00CE5AD6"/>
    <w:rsid w:val="00CE617F"/>
    <w:rsid w:val="00CE78EF"/>
    <w:rsid w:val="00CF49F7"/>
    <w:rsid w:val="00D048F7"/>
    <w:rsid w:val="00D0517E"/>
    <w:rsid w:val="00D140FC"/>
    <w:rsid w:val="00D21D8C"/>
    <w:rsid w:val="00D31357"/>
    <w:rsid w:val="00D32945"/>
    <w:rsid w:val="00D33220"/>
    <w:rsid w:val="00D334D1"/>
    <w:rsid w:val="00D373F7"/>
    <w:rsid w:val="00D44C89"/>
    <w:rsid w:val="00D50A0C"/>
    <w:rsid w:val="00D516CD"/>
    <w:rsid w:val="00D668E6"/>
    <w:rsid w:val="00D70670"/>
    <w:rsid w:val="00D72BDA"/>
    <w:rsid w:val="00D73AE6"/>
    <w:rsid w:val="00D74D80"/>
    <w:rsid w:val="00D76624"/>
    <w:rsid w:val="00D82DD1"/>
    <w:rsid w:val="00D87570"/>
    <w:rsid w:val="00D91CB9"/>
    <w:rsid w:val="00D97989"/>
    <w:rsid w:val="00D97D8D"/>
    <w:rsid w:val="00DA352E"/>
    <w:rsid w:val="00DA5EEC"/>
    <w:rsid w:val="00DC7694"/>
    <w:rsid w:val="00DD1BF6"/>
    <w:rsid w:val="00DD2F9B"/>
    <w:rsid w:val="00DE2513"/>
    <w:rsid w:val="00DE26E8"/>
    <w:rsid w:val="00DE3A98"/>
    <w:rsid w:val="00DF6F36"/>
    <w:rsid w:val="00E0084C"/>
    <w:rsid w:val="00E025AB"/>
    <w:rsid w:val="00E02B23"/>
    <w:rsid w:val="00E05280"/>
    <w:rsid w:val="00E06F40"/>
    <w:rsid w:val="00E07CE8"/>
    <w:rsid w:val="00E26A07"/>
    <w:rsid w:val="00E32595"/>
    <w:rsid w:val="00E37CFD"/>
    <w:rsid w:val="00E41A26"/>
    <w:rsid w:val="00E44398"/>
    <w:rsid w:val="00E44E9D"/>
    <w:rsid w:val="00E46B02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59B0"/>
    <w:rsid w:val="00ED1D89"/>
    <w:rsid w:val="00ED2462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4B86"/>
    <w:rsid w:val="00F87D92"/>
    <w:rsid w:val="00F90AA7"/>
    <w:rsid w:val="00F92498"/>
    <w:rsid w:val="00F93B6D"/>
    <w:rsid w:val="00F9496B"/>
    <w:rsid w:val="00F970C9"/>
    <w:rsid w:val="00FA06A8"/>
    <w:rsid w:val="00FA0A81"/>
    <w:rsid w:val="00FA3DF5"/>
    <w:rsid w:val="00FA50F0"/>
    <w:rsid w:val="00FA741F"/>
    <w:rsid w:val="00FB4E07"/>
    <w:rsid w:val="00FB755A"/>
    <w:rsid w:val="00FC60A2"/>
    <w:rsid w:val="00FD16AE"/>
    <w:rsid w:val="00FD1871"/>
    <w:rsid w:val="00FD3110"/>
    <w:rsid w:val="00FD480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3D56E3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CF49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49F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49F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49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49F7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8D5D6C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B46B8C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FDE54DE1A6648EA99C581F8A519B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6899B-29E8-4F79-A01B-202E052B7B37}"/>
      </w:docPartPr>
      <w:docPartBody>
        <w:p w:rsidR="00BB5779" w:rsidRDefault="006A0238" w:rsidP="006A0238">
          <w:pPr>
            <w:pStyle w:val="0FDE54DE1A6648EA99C581F8A519BAD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9B5256D9A06341879F9FCF8864255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B074B2-FD73-49DB-ABDA-AB5EF56840E1}"/>
      </w:docPartPr>
      <w:docPartBody>
        <w:p w:rsidR="00273B55" w:rsidRDefault="00CE7532" w:rsidP="00CE7532">
          <w:pPr>
            <w:pStyle w:val="9B5256D9A06341879F9FCF8864255D02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A0D2D"/>
    <w:rsid w:val="00273B55"/>
    <w:rsid w:val="006A0238"/>
    <w:rsid w:val="007723D5"/>
    <w:rsid w:val="008A3D96"/>
    <w:rsid w:val="00A33ECF"/>
    <w:rsid w:val="00B7386F"/>
    <w:rsid w:val="00BB5779"/>
    <w:rsid w:val="00CE7532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0238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FDE54DE1A6648EA99C581F8A519BAD3">
    <w:name w:val="0FDE54DE1A6648EA99C581F8A519BAD3"/>
    <w:rsid w:val="006A0238"/>
  </w:style>
  <w:style w:type="paragraph" w:customStyle="1" w:styleId="9B5256D9A06341879F9FCF8864255D02">
    <w:name w:val="9B5256D9A06341879F9FCF8864255D02"/>
    <w:rsid w:val="00CE75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6504641-2F12-4B39-917C-E8E88A1D65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F34C30-2DF1-4625-8567-CA45E1AC14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729D78-3BB4-444C-A6FA-BDD5D45077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11CAF1-7B0A-4044-91AF-DF92F141A93A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1195</Words>
  <Characters>6206</Characters>
  <Application>Microsoft Office Word</Application>
  <DocSecurity>0</DocSecurity>
  <Lines>182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2019-12-01T21:45:00Z</dcterms:created>
  <dcterms:modified xsi:type="dcterms:W3CDTF">2026-01-09T01:07:00Z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2025-12-23T04:40:11Z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d843765e-f29d-46e3-b8c7-a9672a3a92d6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