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222B231" w14:textId="3DA6F3DC" w:rsidR="00BD499F" w:rsidRPr="004C23F4" w:rsidRDefault="00DA6B3F" w:rsidP="00B40C60">
          <w:pPr>
            <w:pStyle w:val="Heading1"/>
            <w:jc w:val="center"/>
            <w:rPr>
              <w:rFonts w:ascii="Arial" w:hAnsi="Arial" w:cs="Arial"/>
            </w:rPr>
          </w:pPr>
          <w:r w:rsidRPr="00DA6B3F">
            <w:rPr>
              <w:rFonts w:ascii="Arial" w:hAnsi="Arial" w:cs="Arial"/>
            </w:rPr>
            <w:t>Hexachlorobenzene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8"/>
        <w:gridCol w:w="5048"/>
      </w:tblGrid>
      <w:tr w:rsidR="00F43AD5" w:rsidRPr="004C23F4" w14:paraId="5764B52D" w14:textId="77777777" w:rsidTr="00B76A41">
        <w:trPr>
          <w:cantSplit/>
          <w:tblHeader/>
        </w:trPr>
        <w:tc>
          <w:tcPr>
            <w:tcW w:w="4077" w:type="dxa"/>
          </w:tcPr>
          <w:p w14:paraId="181AE8F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B689D3B" w14:textId="6FD47999" w:rsidR="00F43AD5" w:rsidRPr="00717D45" w:rsidRDefault="00DA79C5" w:rsidP="00B76A41">
            <w:pPr>
              <w:pStyle w:val="Tablefont"/>
            </w:pPr>
            <w:r w:rsidRPr="00DA79C5">
              <w:t>118-74-1</w:t>
            </w:r>
          </w:p>
        </w:tc>
      </w:tr>
      <w:tr w:rsidR="00F43AD5" w:rsidRPr="00E36230" w14:paraId="2C18412E" w14:textId="77777777" w:rsidTr="00B76A41">
        <w:trPr>
          <w:cantSplit/>
        </w:trPr>
        <w:tc>
          <w:tcPr>
            <w:tcW w:w="4077" w:type="dxa"/>
          </w:tcPr>
          <w:p w14:paraId="4D8769E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EF65B45" w14:textId="20E89E78" w:rsidR="00F43AD5" w:rsidRPr="005E3E1E" w:rsidRDefault="00DA79C5" w:rsidP="00557E06">
            <w:pPr>
              <w:pStyle w:val="Tablefont"/>
              <w:rPr>
                <w:lang w:val="it-IT"/>
              </w:rPr>
            </w:pPr>
            <w:r w:rsidRPr="005E3E1E">
              <w:rPr>
                <w:lang w:val="it-IT"/>
              </w:rPr>
              <w:t xml:space="preserve">Amatin, </w:t>
            </w:r>
            <w:r w:rsidR="00A71582" w:rsidRPr="005E3E1E">
              <w:rPr>
                <w:lang w:val="it-IT"/>
              </w:rPr>
              <w:t>anticarie</w:t>
            </w:r>
            <w:r w:rsidRPr="005E3E1E">
              <w:rPr>
                <w:lang w:val="it-IT"/>
              </w:rPr>
              <w:t xml:space="preserve">, </w:t>
            </w:r>
            <w:r w:rsidR="00557E06" w:rsidRPr="005E3E1E">
              <w:rPr>
                <w:lang w:val="it-IT"/>
              </w:rPr>
              <w:t>HCB</w:t>
            </w:r>
            <w:r w:rsidRPr="005E3E1E">
              <w:rPr>
                <w:lang w:val="it-IT"/>
              </w:rPr>
              <w:t xml:space="preserve">, hexachlorobenzol, pentachlorophenyl chloride, perchlorobenzene, </w:t>
            </w:r>
            <w:r w:rsidR="00A71582" w:rsidRPr="005E3E1E">
              <w:rPr>
                <w:lang w:val="it-IT"/>
              </w:rPr>
              <w:t>s</w:t>
            </w:r>
            <w:r w:rsidRPr="005E3E1E">
              <w:rPr>
                <w:lang w:val="it-IT"/>
              </w:rPr>
              <w:t>anocide</w:t>
            </w:r>
          </w:p>
        </w:tc>
      </w:tr>
      <w:tr w:rsidR="00F43AD5" w:rsidRPr="004C23F4" w14:paraId="68DD0E94" w14:textId="77777777" w:rsidTr="00B76A41">
        <w:trPr>
          <w:cantSplit/>
        </w:trPr>
        <w:tc>
          <w:tcPr>
            <w:tcW w:w="4077" w:type="dxa"/>
          </w:tcPr>
          <w:p w14:paraId="398956C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4D20A2B" w14:textId="23412B64" w:rsidR="00F43AD5" w:rsidRPr="00717D45" w:rsidRDefault="00DA79C5" w:rsidP="00B76A41">
            <w:pPr>
              <w:pStyle w:val="Tablefont"/>
            </w:pPr>
            <w:proofErr w:type="spellStart"/>
            <w:r>
              <w:t>C</w:t>
            </w:r>
            <w:r w:rsidRPr="00DA79C5">
              <w:rPr>
                <w:vertAlign w:val="subscript"/>
              </w:rPr>
              <w:t>6</w:t>
            </w:r>
            <w:r>
              <w:t>Cl</w:t>
            </w:r>
            <w:r w:rsidRPr="00DA79C5">
              <w:rPr>
                <w:vertAlign w:val="subscript"/>
              </w:rPr>
              <w:t>6</w:t>
            </w:r>
            <w:proofErr w:type="spellEnd"/>
          </w:p>
        </w:tc>
      </w:tr>
      <w:tr w:rsidR="00F43AD5" w:rsidRPr="004C23F4" w14:paraId="6E068886" w14:textId="77777777" w:rsidTr="00B76A41">
        <w:trPr>
          <w:cantSplit/>
        </w:trPr>
        <w:tc>
          <w:tcPr>
            <w:tcW w:w="4077" w:type="dxa"/>
          </w:tcPr>
          <w:p w14:paraId="03852062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537F033" w14:textId="5F0660CF" w:rsidR="00F43AD5" w:rsidRPr="00DA79C5" w:rsidRDefault="00DA79C5" w:rsidP="00B76A41">
            <w:pPr>
              <w:pStyle w:val="Tablerowheading"/>
              <w:rPr>
                <w:b w:val="0"/>
              </w:rPr>
            </w:pPr>
            <w:r w:rsidRPr="00DA79C5">
              <w:rPr>
                <w:b w:val="0"/>
              </w:rPr>
              <w:t>—</w:t>
            </w:r>
          </w:p>
        </w:tc>
      </w:tr>
    </w:tbl>
    <w:p w14:paraId="0BB07F22" w14:textId="17142EF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12DED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49AE0BFD" w14:textId="77777777" w:rsidTr="00A71582">
        <w:trPr>
          <w:cantSplit/>
          <w:tblHeader/>
        </w:trPr>
        <w:tc>
          <w:tcPr>
            <w:tcW w:w="4005" w:type="dxa"/>
            <w:vAlign w:val="center"/>
          </w:tcPr>
          <w:p w14:paraId="0D09F7F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27ABCE9" w14:textId="020D73D3" w:rsidR="002C7AFE" w:rsidRPr="001E4EF6" w:rsidRDefault="001E4EF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0.002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</w:p>
        </w:tc>
      </w:tr>
      <w:tr w:rsidR="002C7AFE" w:rsidRPr="004C23F4" w14:paraId="63C5A1DB" w14:textId="77777777" w:rsidTr="00A71582">
        <w:trPr>
          <w:cantSplit/>
        </w:trPr>
        <w:tc>
          <w:tcPr>
            <w:tcW w:w="4005" w:type="dxa"/>
            <w:vAlign w:val="center"/>
          </w:tcPr>
          <w:p w14:paraId="350EBE7B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11AE38CC" w14:textId="39CC1720" w:rsidR="002C7AFE" w:rsidRPr="00A71582" w:rsidRDefault="00D921CC" w:rsidP="00017C82">
            <w:pPr>
              <w:pStyle w:val="Tablefont"/>
              <w:rPr>
                <w:b/>
              </w:rPr>
            </w:pPr>
            <w:r w:rsidRPr="00015001">
              <w:rPr>
                <w:b/>
              </w:rPr>
              <w:t>—</w:t>
            </w:r>
          </w:p>
        </w:tc>
      </w:tr>
      <w:tr w:rsidR="002C7AFE" w:rsidRPr="004C23F4" w14:paraId="52C65B16" w14:textId="77777777" w:rsidTr="00A71582">
        <w:trPr>
          <w:cantSplit/>
        </w:trPr>
        <w:tc>
          <w:tcPr>
            <w:tcW w:w="4005" w:type="dxa"/>
            <w:vAlign w:val="center"/>
          </w:tcPr>
          <w:p w14:paraId="2FDF2DCB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1FEC996B" w14:textId="618608DB" w:rsidR="002C7AFE" w:rsidRPr="00A71582" w:rsidRDefault="00D921CC" w:rsidP="00017C82">
            <w:pPr>
              <w:pStyle w:val="Tablefont"/>
              <w:rPr>
                <w:b/>
              </w:rPr>
            </w:pPr>
            <w:r w:rsidRPr="00015001">
              <w:rPr>
                <w:b/>
              </w:rPr>
              <w:t>—</w:t>
            </w:r>
          </w:p>
        </w:tc>
      </w:tr>
      <w:tr w:rsidR="002C7AFE" w:rsidRPr="004C23F4" w14:paraId="48B614B3" w14:textId="77777777" w:rsidTr="00A71582">
        <w:trPr>
          <w:cantSplit/>
        </w:trPr>
        <w:tc>
          <w:tcPr>
            <w:tcW w:w="4005" w:type="dxa"/>
          </w:tcPr>
          <w:p w14:paraId="1EA14432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2BC1E68A" w14:textId="0A5CC156" w:rsidR="002C7AFE" w:rsidRPr="00EB3D1B" w:rsidRDefault="00D921CC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1B</w:t>
            </w:r>
            <w:proofErr w:type="spellEnd"/>
            <w:r>
              <w:rPr>
                <w:b/>
              </w:rPr>
              <w:t>, Sk.</w:t>
            </w:r>
          </w:p>
        </w:tc>
      </w:tr>
      <w:tr w:rsidR="002C7AFE" w:rsidRPr="004C23F4" w14:paraId="130FDE05" w14:textId="77777777" w:rsidTr="00A71582">
        <w:trPr>
          <w:cantSplit/>
        </w:trPr>
        <w:tc>
          <w:tcPr>
            <w:tcW w:w="4005" w:type="dxa"/>
            <w:vAlign w:val="center"/>
          </w:tcPr>
          <w:p w14:paraId="0C44E555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4A1E9A3C" w14:textId="500E40CB" w:rsidR="002C7AFE" w:rsidRPr="00015001" w:rsidRDefault="00871B1D" w:rsidP="00017C82">
            <w:pPr>
              <w:pStyle w:val="Tablefont"/>
              <w:rPr>
                <w:b/>
              </w:rPr>
            </w:pPr>
            <w:r w:rsidRPr="00015001">
              <w:rPr>
                <w:b/>
              </w:rPr>
              <w:t>—</w:t>
            </w:r>
          </w:p>
        </w:tc>
      </w:tr>
      <w:tr w:rsidR="00A71582" w:rsidRPr="004C23F4" w14:paraId="6171BAEF" w14:textId="77777777" w:rsidTr="00355E4B">
        <w:trPr>
          <w:cantSplit/>
        </w:trPr>
        <w:tc>
          <w:tcPr>
            <w:tcW w:w="9026" w:type="dxa"/>
            <w:gridSpan w:val="2"/>
            <w:vAlign w:val="center"/>
          </w:tcPr>
          <w:p w14:paraId="3F84B71D" w14:textId="21C0BAD4" w:rsidR="00A71582" w:rsidRPr="00EB3D1B" w:rsidRDefault="00A7158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FA67D38C2914473C867F8543350221F5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015001" w:rsidRPr="00015001">
                  <w:rPr>
                    <w:rStyle w:val="WESstatus"/>
                    <w:color w:val="auto"/>
                  </w:rPr>
                  <w:t>There is uncertainty regarding quantification of the recommended value with available sampling and/or analysis techniques.</w:t>
                </w:r>
              </w:sdtContent>
            </w:sdt>
          </w:p>
        </w:tc>
      </w:tr>
    </w:tbl>
    <w:p w14:paraId="631D5623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77E6B75" w14:textId="1C328B19" w:rsidR="006639B4" w:rsidRPr="001E4EF6" w:rsidRDefault="001E4EF6" w:rsidP="000C139A">
      <w:pPr>
        <w:rPr>
          <w:rFonts w:cs="Arial"/>
        </w:rPr>
      </w:pPr>
      <w:r>
        <w:rPr>
          <w:rFonts w:cs="Arial"/>
        </w:rPr>
        <w:t>A TWA of 0.002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 is recommended to protect for</w:t>
      </w:r>
      <w:r w:rsidR="00D921CC">
        <w:rPr>
          <w:rFonts w:cs="Arial"/>
        </w:rPr>
        <w:t xml:space="preserve"> </w:t>
      </w:r>
      <w:r w:rsidR="00015001">
        <w:rPr>
          <w:rFonts w:cs="Arial"/>
        </w:rPr>
        <w:t>porphyria</w:t>
      </w:r>
      <w:r w:rsidR="00D921CC">
        <w:rPr>
          <w:rFonts w:cs="Arial"/>
        </w:rPr>
        <w:t>, liver toxicity and fertility effects in exposed workers. This concentration is sufficiently low to also protect for potential threshold-based carcinogenic effects</w:t>
      </w:r>
      <w:r w:rsidR="00A37872">
        <w:rPr>
          <w:rFonts w:cs="Arial"/>
        </w:rPr>
        <w:t xml:space="preserve"> in exposed workers</w:t>
      </w:r>
      <w:r w:rsidR="00D921CC">
        <w:rPr>
          <w:rFonts w:cs="Arial"/>
        </w:rPr>
        <w:t xml:space="preserve">. </w:t>
      </w:r>
    </w:p>
    <w:p w14:paraId="47ED532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32175EC" w14:textId="154771EA" w:rsidR="00557E06" w:rsidRDefault="00502464" w:rsidP="006639B4">
      <w:r>
        <w:rPr>
          <w:rFonts w:cs="Arial"/>
        </w:rPr>
        <w:t>H</w:t>
      </w:r>
      <w:r>
        <w:t xml:space="preserve">exachlorobenzene (HCB) is mainly used as a fungicide on grains. It is also used in additive polymers (such as polyvinyl chloride), for pyrotechnic compositions for military purposes and as a porosity controller in the manufacture of electrodes. </w:t>
      </w:r>
    </w:p>
    <w:p w14:paraId="15E72BCD" w14:textId="6C63AD2C" w:rsidR="009A26FB" w:rsidRDefault="00557E06" w:rsidP="001E4EF6">
      <w:pPr>
        <w:rPr>
          <w:color w:val="000000" w:themeColor="text1"/>
        </w:rPr>
      </w:pPr>
      <w:r w:rsidRPr="00AF3B84">
        <w:rPr>
          <w:color w:val="000000" w:themeColor="text1"/>
        </w:rPr>
        <w:t>Critical effects of exposure include porphyria, neurotoxicity and fertility effects (</w:t>
      </w:r>
      <w:proofErr w:type="spellStart"/>
      <w:r w:rsidRPr="00AF3B84">
        <w:rPr>
          <w:color w:val="000000" w:themeColor="text1"/>
        </w:rPr>
        <w:t>ACGIH</w:t>
      </w:r>
      <w:proofErr w:type="spellEnd"/>
      <w:r w:rsidRPr="00AF3B84">
        <w:rPr>
          <w:color w:val="000000" w:themeColor="text1"/>
        </w:rPr>
        <w:t xml:space="preserve">, 2018; </w:t>
      </w:r>
      <w:proofErr w:type="spellStart"/>
      <w:r w:rsidRPr="00AF3B84">
        <w:rPr>
          <w:color w:val="000000" w:themeColor="text1"/>
        </w:rPr>
        <w:t>HCOTN</w:t>
      </w:r>
      <w:proofErr w:type="spellEnd"/>
      <w:r w:rsidRPr="00AF3B84">
        <w:rPr>
          <w:color w:val="000000" w:themeColor="text1"/>
        </w:rPr>
        <w:t>,</w:t>
      </w:r>
      <w:r w:rsidR="00C73AED" w:rsidRPr="00AF3B84">
        <w:rPr>
          <w:color w:val="000000" w:themeColor="text1"/>
        </w:rPr>
        <w:t> </w:t>
      </w:r>
      <w:r w:rsidRPr="00AF3B84">
        <w:rPr>
          <w:color w:val="000000" w:themeColor="text1"/>
        </w:rPr>
        <w:t xml:space="preserve">2011; </w:t>
      </w:r>
      <w:proofErr w:type="spellStart"/>
      <w:r w:rsidRPr="00AF3B84">
        <w:rPr>
          <w:color w:val="000000" w:themeColor="text1"/>
        </w:rPr>
        <w:t>SCOEL</w:t>
      </w:r>
      <w:proofErr w:type="spellEnd"/>
      <w:r w:rsidRPr="00AF3B84">
        <w:rPr>
          <w:color w:val="000000" w:themeColor="text1"/>
        </w:rPr>
        <w:t xml:space="preserve">. 2016). </w:t>
      </w:r>
      <w:r w:rsidR="00502464" w:rsidRPr="00AF3B84">
        <w:rPr>
          <w:color w:val="000000" w:themeColor="text1"/>
        </w:rPr>
        <w:t>HCB is carcinogenic in animals</w:t>
      </w:r>
      <w:r w:rsidR="00FF0F8F" w:rsidRPr="00AF3B84">
        <w:rPr>
          <w:color w:val="000000" w:themeColor="text1"/>
        </w:rPr>
        <w:t xml:space="preserve"> through</w:t>
      </w:r>
      <w:r w:rsidR="00502464" w:rsidRPr="00AF3B84">
        <w:rPr>
          <w:color w:val="000000" w:themeColor="text1"/>
        </w:rPr>
        <w:t xml:space="preserve"> a threshold mechanism related to general liver toxicity</w:t>
      </w:r>
      <w:r w:rsidR="004D6235">
        <w:rPr>
          <w:color w:val="000000" w:themeColor="text1"/>
        </w:rPr>
        <w:t>. As such,</w:t>
      </w:r>
      <w:r w:rsidR="00502464" w:rsidRPr="00AF3B84">
        <w:rPr>
          <w:color w:val="000000" w:themeColor="text1"/>
        </w:rPr>
        <w:t xml:space="preserve"> preventing liver toxicity is likely to prevent the formation of cancer. </w:t>
      </w:r>
    </w:p>
    <w:p w14:paraId="78827210" w14:textId="6E44191D" w:rsidR="0000022E" w:rsidRDefault="00366392" w:rsidP="001E4EF6">
      <w:r w:rsidRPr="00AF3B84">
        <w:rPr>
          <w:color w:val="000000" w:themeColor="text1"/>
        </w:rPr>
        <w:t>N</w:t>
      </w:r>
      <w:r w:rsidR="00D25B22" w:rsidRPr="00AF3B84">
        <w:rPr>
          <w:color w:val="000000" w:themeColor="text1"/>
        </w:rPr>
        <w:t>o adverse health effects</w:t>
      </w:r>
      <w:r w:rsidRPr="00AF3B84">
        <w:rPr>
          <w:color w:val="000000" w:themeColor="text1"/>
        </w:rPr>
        <w:t xml:space="preserve"> were seen in workers with blood levels of 312 ppb</w:t>
      </w:r>
      <w:r w:rsidR="00E9264A" w:rsidRPr="00AF3B84">
        <w:rPr>
          <w:color w:val="000000" w:themeColor="text1"/>
        </w:rPr>
        <w:t>. This was calculated as</w:t>
      </w:r>
      <w:r w:rsidR="00D25B22" w:rsidRPr="00AF3B84">
        <w:rPr>
          <w:color w:val="000000" w:themeColor="text1"/>
        </w:rPr>
        <w:t xml:space="preserve"> corresponding to a</w:t>
      </w:r>
      <w:r w:rsidR="00E9264A" w:rsidRPr="00AF3B84">
        <w:rPr>
          <w:color w:val="000000" w:themeColor="text1"/>
        </w:rPr>
        <w:t>n equivalent</w:t>
      </w:r>
      <w:r w:rsidR="00D25B22" w:rsidRPr="00AF3B84">
        <w:rPr>
          <w:color w:val="000000" w:themeColor="text1"/>
        </w:rPr>
        <w:t xml:space="preserve"> </w:t>
      </w:r>
      <w:r w:rsidR="0089022C" w:rsidRPr="00AF3B84">
        <w:rPr>
          <w:color w:val="000000" w:themeColor="text1"/>
        </w:rPr>
        <w:t>eight</w:t>
      </w:r>
      <w:r w:rsidR="00D25B22" w:rsidRPr="00AF3B84">
        <w:rPr>
          <w:color w:val="000000" w:themeColor="text1"/>
        </w:rPr>
        <w:t>-hour TWA inhalation of 2.9 µg/</w:t>
      </w:r>
      <w:proofErr w:type="spellStart"/>
      <w:r w:rsidR="00D25B22" w:rsidRPr="00AF3B84">
        <w:rPr>
          <w:color w:val="000000" w:themeColor="text1"/>
        </w:rPr>
        <w:t>m</w:t>
      </w:r>
      <w:r w:rsidR="00D25B22" w:rsidRPr="00AF3B84">
        <w:rPr>
          <w:color w:val="000000" w:themeColor="text1"/>
          <w:vertAlign w:val="superscript"/>
        </w:rPr>
        <w:t>3</w:t>
      </w:r>
      <w:proofErr w:type="spellEnd"/>
      <w:r w:rsidR="00E9264A" w:rsidRPr="00AF3B84">
        <w:rPr>
          <w:color w:val="000000" w:themeColor="text1"/>
        </w:rPr>
        <w:t xml:space="preserve"> (</w:t>
      </w:r>
      <w:proofErr w:type="spellStart"/>
      <w:r w:rsidR="00E9264A" w:rsidRPr="00AF3B84">
        <w:rPr>
          <w:color w:val="000000" w:themeColor="text1"/>
        </w:rPr>
        <w:t>ACGIH</w:t>
      </w:r>
      <w:proofErr w:type="spellEnd"/>
      <w:r w:rsidR="00E9264A" w:rsidRPr="00AF3B84">
        <w:rPr>
          <w:color w:val="000000" w:themeColor="text1"/>
        </w:rPr>
        <w:t>, 2018)</w:t>
      </w:r>
      <w:r w:rsidR="00D25B22" w:rsidRPr="00AF3B84">
        <w:rPr>
          <w:color w:val="000000" w:themeColor="text1"/>
        </w:rPr>
        <w:t xml:space="preserve">. </w:t>
      </w:r>
      <w:proofErr w:type="spellStart"/>
      <w:r w:rsidR="00B47CFD" w:rsidRPr="00AF3B84">
        <w:rPr>
          <w:color w:val="000000" w:themeColor="text1"/>
        </w:rPr>
        <w:t>HCOTN</w:t>
      </w:r>
      <w:proofErr w:type="spellEnd"/>
      <w:r w:rsidR="00B47CFD" w:rsidRPr="00AF3B84">
        <w:rPr>
          <w:color w:val="000000" w:themeColor="text1"/>
        </w:rPr>
        <w:t xml:space="preserve"> (2011) </w:t>
      </w:r>
      <w:r w:rsidR="009A26FB">
        <w:rPr>
          <w:color w:val="000000" w:themeColor="text1"/>
        </w:rPr>
        <w:t>reported</w:t>
      </w:r>
      <w:r w:rsidR="009A26FB" w:rsidRPr="00AF3B84">
        <w:rPr>
          <w:color w:val="000000" w:themeColor="text1"/>
        </w:rPr>
        <w:t xml:space="preserve"> </w:t>
      </w:r>
      <w:r w:rsidR="00B47CFD" w:rsidRPr="00AF3B84">
        <w:rPr>
          <w:color w:val="000000" w:themeColor="text1"/>
        </w:rPr>
        <w:t xml:space="preserve">a </w:t>
      </w:r>
      <w:proofErr w:type="spellStart"/>
      <w:r w:rsidR="00B47CFD" w:rsidRPr="00AF3B84">
        <w:rPr>
          <w:color w:val="000000" w:themeColor="text1"/>
        </w:rPr>
        <w:t>NOAEL</w:t>
      </w:r>
      <w:proofErr w:type="spellEnd"/>
      <w:r w:rsidR="00B47CFD" w:rsidRPr="00AF3B84">
        <w:rPr>
          <w:color w:val="000000" w:themeColor="text1"/>
        </w:rPr>
        <w:t xml:space="preserve"> of 0.01 mg/kg/day for fertility effects in monkeys </w:t>
      </w:r>
      <w:r w:rsidR="003D0CF9" w:rsidRPr="00AF3B84">
        <w:rPr>
          <w:color w:val="000000" w:themeColor="text1"/>
        </w:rPr>
        <w:t>from</w:t>
      </w:r>
      <w:r w:rsidR="00B47CFD" w:rsidRPr="00AF3B84">
        <w:rPr>
          <w:color w:val="000000" w:themeColor="text1"/>
        </w:rPr>
        <w:t xml:space="preserve"> </w:t>
      </w:r>
      <w:r w:rsidR="00504516" w:rsidRPr="00AF3B84">
        <w:rPr>
          <w:color w:val="000000" w:themeColor="text1"/>
        </w:rPr>
        <w:t xml:space="preserve">a </w:t>
      </w:r>
      <w:r w:rsidR="00B47CFD" w:rsidRPr="00AF3B84">
        <w:rPr>
          <w:color w:val="000000" w:themeColor="text1"/>
        </w:rPr>
        <w:t>sub-chronic feeding study</w:t>
      </w:r>
      <w:r w:rsidR="003D0CF9" w:rsidRPr="00AF3B84">
        <w:rPr>
          <w:color w:val="000000" w:themeColor="text1"/>
        </w:rPr>
        <w:t xml:space="preserve"> as the basis for </w:t>
      </w:r>
      <w:r w:rsidR="004D6235">
        <w:rPr>
          <w:color w:val="000000" w:themeColor="text1"/>
        </w:rPr>
        <w:t>its</w:t>
      </w:r>
      <w:r w:rsidR="003D0CF9" w:rsidRPr="00AF3B84">
        <w:rPr>
          <w:color w:val="000000" w:themeColor="text1"/>
        </w:rPr>
        <w:t xml:space="preserve"> recommended TWA of 0.006 mg/</w:t>
      </w:r>
      <w:proofErr w:type="spellStart"/>
      <w:r w:rsidR="003D0CF9" w:rsidRPr="00AF3B84">
        <w:rPr>
          <w:color w:val="000000" w:themeColor="text1"/>
        </w:rPr>
        <w:t>m</w:t>
      </w:r>
      <w:r w:rsidR="003D0CF9" w:rsidRPr="00AF3B84">
        <w:rPr>
          <w:color w:val="000000" w:themeColor="text1"/>
          <w:vertAlign w:val="superscript"/>
        </w:rPr>
        <w:t>3</w:t>
      </w:r>
      <w:proofErr w:type="spellEnd"/>
      <w:r w:rsidR="00DF3CE0" w:rsidRPr="00AF3B84">
        <w:rPr>
          <w:color w:val="000000" w:themeColor="text1"/>
        </w:rPr>
        <w:t xml:space="preserve">. </w:t>
      </w:r>
      <w:proofErr w:type="spellStart"/>
      <w:r w:rsidR="00DF3CE0" w:rsidRPr="00AF3B84">
        <w:rPr>
          <w:color w:val="000000" w:themeColor="text1"/>
        </w:rPr>
        <w:t>HCOTN</w:t>
      </w:r>
      <w:proofErr w:type="spellEnd"/>
      <w:r w:rsidR="00DF3CE0" w:rsidRPr="00AF3B84">
        <w:rPr>
          <w:color w:val="000000" w:themeColor="text1"/>
        </w:rPr>
        <w:t xml:space="preserve"> adjusted the </w:t>
      </w:r>
      <w:proofErr w:type="spellStart"/>
      <w:r w:rsidR="00DF3CE0" w:rsidRPr="00AF3B84">
        <w:rPr>
          <w:color w:val="000000" w:themeColor="text1"/>
        </w:rPr>
        <w:t>NOAEL</w:t>
      </w:r>
      <w:proofErr w:type="spellEnd"/>
      <w:r w:rsidR="00DF3CE0" w:rsidRPr="00AF3B84">
        <w:rPr>
          <w:color w:val="000000" w:themeColor="text1"/>
        </w:rPr>
        <w:t xml:space="preserve"> by 12 to account</w:t>
      </w:r>
      <w:r w:rsidR="0089022C" w:rsidRPr="00AF3B84">
        <w:rPr>
          <w:color w:val="000000" w:themeColor="text1"/>
        </w:rPr>
        <w:t xml:space="preserve"> for the</w:t>
      </w:r>
      <w:r w:rsidR="00DF3CE0" w:rsidRPr="00AF3B84">
        <w:rPr>
          <w:color w:val="000000" w:themeColor="text1"/>
        </w:rPr>
        <w:t xml:space="preserve"> la</w:t>
      </w:r>
      <w:r w:rsidR="00E44FA3" w:rsidRPr="00AF3B84">
        <w:rPr>
          <w:color w:val="000000" w:themeColor="text1"/>
        </w:rPr>
        <w:t>ck</w:t>
      </w:r>
      <w:r w:rsidR="00DF3CE0" w:rsidRPr="00AF3B84">
        <w:rPr>
          <w:color w:val="000000" w:themeColor="text1"/>
        </w:rPr>
        <w:t xml:space="preserve"> of chronic data and applied generic kinetic conversion factors</w:t>
      </w:r>
      <w:r w:rsidR="00CD55B1" w:rsidRPr="00AF3B84">
        <w:rPr>
          <w:color w:val="000000" w:themeColor="text1"/>
        </w:rPr>
        <w:t xml:space="preserve"> </w:t>
      </w:r>
      <w:r w:rsidR="00B47CFD" w:rsidRPr="00AF3B84">
        <w:rPr>
          <w:color w:val="000000" w:themeColor="text1"/>
        </w:rPr>
        <w:t>(</w:t>
      </w:r>
      <w:proofErr w:type="spellStart"/>
      <w:r w:rsidR="00B47CFD" w:rsidRPr="00AF3B84">
        <w:rPr>
          <w:color w:val="000000" w:themeColor="text1"/>
        </w:rPr>
        <w:t>HCOTN</w:t>
      </w:r>
      <w:proofErr w:type="spellEnd"/>
      <w:r w:rsidR="00B47CFD" w:rsidRPr="00AF3B84">
        <w:rPr>
          <w:color w:val="000000" w:themeColor="text1"/>
        </w:rPr>
        <w:t xml:space="preserve">, 2011). </w:t>
      </w:r>
      <w:proofErr w:type="spellStart"/>
      <w:r w:rsidR="00A82CB2" w:rsidRPr="00AF3B84">
        <w:rPr>
          <w:color w:val="000000" w:themeColor="text1"/>
        </w:rPr>
        <w:t>ACGIH</w:t>
      </w:r>
      <w:proofErr w:type="spellEnd"/>
      <w:r w:rsidR="00A82CB2" w:rsidRPr="00AF3B84">
        <w:rPr>
          <w:color w:val="000000" w:themeColor="text1"/>
        </w:rPr>
        <w:t xml:space="preserve"> (2018) based </w:t>
      </w:r>
      <w:r w:rsidR="004D6235">
        <w:rPr>
          <w:color w:val="000000" w:themeColor="text1"/>
        </w:rPr>
        <w:t>its</w:t>
      </w:r>
      <w:r w:rsidR="00A82CB2" w:rsidRPr="00AF3B84">
        <w:rPr>
          <w:color w:val="000000" w:themeColor="text1"/>
        </w:rPr>
        <w:t xml:space="preserve"> TWA of 0.002 mg/</w:t>
      </w:r>
      <w:proofErr w:type="spellStart"/>
      <w:r w:rsidR="00A82CB2" w:rsidRPr="00AF3B84">
        <w:rPr>
          <w:color w:val="000000" w:themeColor="text1"/>
        </w:rPr>
        <w:t>m</w:t>
      </w:r>
      <w:r w:rsidR="00A82CB2" w:rsidRPr="00AF3B84">
        <w:rPr>
          <w:color w:val="000000" w:themeColor="text1"/>
          <w:vertAlign w:val="superscript"/>
        </w:rPr>
        <w:t>3</w:t>
      </w:r>
      <w:proofErr w:type="spellEnd"/>
      <w:r w:rsidR="00A82CB2" w:rsidRPr="00AF3B84">
        <w:rPr>
          <w:color w:val="000000" w:themeColor="text1"/>
        </w:rPr>
        <w:t xml:space="preserve"> on a </w:t>
      </w:r>
      <w:proofErr w:type="spellStart"/>
      <w:r w:rsidR="00DC16F1" w:rsidRPr="00AF3B84">
        <w:rPr>
          <w:color w:val="000000" w:themeColor="text1"/>
        </w:rPr>
        <w:t>NO</w:t>
      </w:r>
      <w:r w:rsidR="001904F4" w:rsidRPr="00AF3B84">
        <w:rPr>
          <w:color w:val="000000" w:themeColor="text1"/>
        </w:rPr>
        <w:t>A</w:t>
      </w:r>
      <w:r w:rsidR="00DC16F1" w:rsidRPr="00AF3B84">
        <w:rPr>
          <w:color w:val="000000" w:themeColor="text1"/>
        </w:rPr>
        <w:t>EL</w:t>
      </w:r>
      <w:proofErr w:type="spellEnd"/>
      <w:r w:rsidR="00DC16F1" w:rsidRPr="00AF3B84">
        <w:rPr>
          <w:color w:val="000000" w:themeColor="text1"/>
        </w:rPr>
        <w:t xml:space="preserve"> of 0.033 mg/kg/</w:t>
      </w:r>
      <w:r w:rsidR="00D97073" w:rsidRPr="00AF3B84">
        <w:rPr>
          <w:color w:val="000000" w:themeColor="text1"/>
        </w:rPr>
        <w:t>day</w:t>
      </w:r>
      <w:r w:rsidR="00DC16F1" w:rsidRPr="00AF3B84">
        <w:rPr>
          <w:color w:val="000000" w:themeColor="text1"/>
        </w:rPr>
        <w:t xml:space="preserve"> identified in an </w:t>
      </w:r>
      <w:r w:rsidR="001904F4" w:rsidRPr="00AF3B84">
        <w:rPr>
          <w:color w:val="000000" w:themeColor="text1"/>
        </w:rPr>
        <w:t>18</w:t>
      </w:r>
      <w:r w:rsidR="00E36230">
        <w:rPr>
          <w:color w:val="000000" w:themeColor="text1"/>
        </w:rPr>
        <w:noBreakHyphen/>
      </w:r>
      <w:r w:rsidR="00DC16F1" w:rsidRPr="00AF3B84">
        <w:rPr>
          <w:color w:val="000000" w:themeColor="text1"/>
        </w:rPr>
        <w:t xml:space="preserve">month study in monkeys for </w:t>
      </w:r>
      <w:r w:rsidR="001904F4" w:rsidRPr="00AF3B84">
        <w:rPr>
          <w:color w:val="000000" w:themeColor="text1"/>
        </w:rPr>
        <w:t xml:space="preserve">effects </w:t>
      </w:r>
      <w:r w:rsidR="00DC16F1" w:rsidRPr="00AF3B84">
        <w:rPr>
          <w:color w:val="000000" w:themeColor="text1"/>
        </w:rPr>
        <w:t xml:space="preserve">on haematology, serum hormone levels and urinary </w:t>
      </w:r>
      <w:r w:rsidR="00DC16F1" w:rsidRPr="00AF3B84">
        <w:rPr>
          <w:rFonts w:ascii="Helvetica" w:hAnsi="Helvetica" w:cs="Helvetica"/>
          <w:color w:val="000000" w:themeColor="text1"/>
        </w:rPr>
        <w:t xml:space="preserve">porphyrin </w:t>
      </w:r>
      <w:r w:rsidR="00A82CB2" w:rsidRPr="00AF3B84">
        <w:rPr>
          <w:color w:val="000000" w:themeColor="text1"/>
        </w:rPr>
        <w:t>levels</w:t>
      </w:r>
      <w:r w:rsidR="009A26FB">
        <w:rPr>
          <w:color w:val="000000" w:themeColor="text1"/>
        </w:rPr>
        <w:t xml:space="preserve"> and applied</w:t>
      </w:r>
      <w:r w:rsidR="00DF3CE0" w:rsidRPr="00AF3B84">
        <w:rPr>
          <w:color w:val="000000" w:themeColor="text1"/>
        </w:rPr>
        <w:t xml:space="preserve"> a</w:t>
      </w:r>
      <w:r w:rsidR="0088636F" w:rsidRPr="00AF3B84">
        <w:rPr>
          <w:color w:val="000000" w:themeColor="text1"/>
        </w:rPr>
        <w:t>n uncertainty</w:t>
      </w:r>
      <w:r w:rsidR="004D6235">
        <w:rPr>
          <w:color w:val="000000" w:themeColor="text1"/>
        </w:rPr>
        <w:t xml:space="preserve"> factor of 100</w:t>
      </w:r>
      <w:r w:rsidR="00DF3CE0" w:rsidRPr="00AF3B84">
        <w:rPr>
          <w:color w:val="000000" w:themeColor="text1"/>
        </w:rPr>
        <w:t>.</w:t>
      </w:r>
      <w:r w:rsidR="0088636F" w:rsidRPr="00AF3B84">
        <w:rPr>
          <w:color w:val="000000" w:themeColor="text1"/>
        </w:rPr>
        <w:t xml:space="preserve"> </w:t>
      </w:r>
      <w:r w:rsidR="00457EDF" w:rsidRPr="00AF3B84">
        <w:rPr>
          <w:color w:val="000000" w:themeColor="text1"/>
        </w:rPr>
        <w:t xml:space="preserve">This value was further supported to be protective of porphyria cutanea </w:t>
      </w:r>
      <w:proofErr w:type="spellStart"/>
      <w:r w:rsidR="00457EDF" w:rsidRPr="00AF3B84">
        <w:rPr>
          <w:color w:val="000000" w:themeColor="text1"/>
        </w:rPr>
        <w:t>tarda</w:t>
      </w:r>
      <w:proofErr w:type="spellEnd"/>
      <w:r w:rsidR="00457EDF" w:rsidRPr="00AF3B84">
        <w:rPr>
          <w:color w:val="000000" w:themeColor="text1"/>
        </w:rPr>
        <w:t xml:space="preserve"> (PCT) and liver effects as demonstrated by a reported </w:t>
      </w:r>
      <w:proofErr w:type="spellStart"/>
      <w:r w:rsidR="00457EDF" w:rsidRPr="00AF3B84">
        <w:rPr>
          <w:color w:val="000000" w:themeColor="text1"/>
        </w:rPr>
        <w:t>NOAEL</w:t>
      </w:r>
      <w:proofErr w:type="spellEnd"/>
      <w:r w:rsidR="00457EDF" w:rsidRPr="00AF3B84">
        <w:rPr>
          <w:color w:val="000000" w:themeColor="text1"/>
        </w:rPr>
        <w:t xml:space="preserve"> of 0.05 mg/kg/day in pigs (</w:t>
      </w:r>
      <w:proofErr w:type="spellStart"/>
      <w:r w:rsidR="00457EDF" w:rsidRPr="00AF3B84">
        <w:rPr>
          <w:color w:val="000000" w:themeColor="text1"/>
        </w:rPr>
        <w:t>ACGIH</w:t>
      </w:r>
      <w:proofErr w:type="spellEnd"/>
      <w:r w:rsidR="00457EDF" w:rsidRPr="00AF3B84">
        <w:rPr>
          <w:color w:val="000000" w:themeColor="text1"/>
        </w:rPr>
        <w:t>, 2018).</w:t>
      </w:r>
      <w:r w:rsidR="00DF3CE0" w:rsidRPr="00AF3B84">
        <w:rPr>
          <w:color w:val="000000" w:themeColor="text1"/>
        </w:rPr>
        <w:t xml:space="preserve"> It must be noted that e</w:t>
      </w:r>
      <w:r w:rsidR="006B5DBA" w:rsidRPr="00AF3B84">
        <w:rPr>
          <w:color w:val="000000" w:themeColor="text1"/>
        </w:rPr>
        <w:t>xtrapolation</w:t>
      </w:r>
      <w:r w:rsidR="00EB62F1">
        <w:rPr>
          <w:color w:val="000000" w:themeColor="text1"/>
        </w:rPr>
        <w:t xml:space="preserve"> </w:t>
      </w:r>
      <w:r w:rsidR="006B5DBA" w:rsidRPr="00AF3B84">
        <w:rPr>
          <w:color w:val="000000" w:themeColor="text1"/>
        </w:rPr>
        <w:t xml:space="preserve">from animal studies to </w:t>
      </w:r>
      <w:r w:rsidR="006B5DBA" w:rsidRPr="00AF3B84">
        <w:rPr>
          <w:color w:val="000000" w:themeColor="text1"/>
        </w:rPr>
        <w:lastRenderedPageBreak/>
        <w:t>human</w:t>
      </w:r>
      <w:r w:rsidR="00D25B22" w:rsidRPr="00AF3B84">
        <w:rPr>
          <w:color w:val="000000" w:themeColor="text1"/>
        </w:rPr>
        <w:t>s</w:t>
      </w:r>
      <w:r w:rsidR="006B5DBA" w:rsidRPr="00AF3B84">
        <w:rPr>
          <w:color w:val="000000" w:themeColor="text1"/>
        </w:rPr>
        <w:t xml:space="preserve"> carries significant uncertainties due to difference in half-li</w:t>
      </w:r>
      <w:r w:rsidR="00D25B22" w:rsidRPr="00AF3B84">
        <w:rPr>
          <w:color w:val="000000" w:themeColor="text1"/>
        </w:rPr>
        <w:t xml:space="preserve">ves between animals and humans </w:t>
      </w:r>
      <w:r w:rsidR="006B5DBA" w:rsidRPr="00AF3B84">
        <w:rPr>
          <w:color w:val="000000" w:themeColor="text1"/>
        </w:rPr>
        <w:t>(</w:t>
      </w:r>
      <w:proofErr w:type="spellStart"/>
      <w:r w:rsidR="006B5DBA" w:rsidRPr="00AF3B84">
        <w:rPr>
          <w:color w:val="000000" w:themeColor="text1"/>
        </w:rPr>
        <w:t>DFG</w:t>
      </w:r>
      <w:proofErr w:type="spellEnd"/>
      <w:r w:rsidR="006B5DBA" w:rsidRPr="00AF3B84">
        <w:rPr>
          <w:color w:val="000000" w:themeColor="text1"/>
        </w:rPr>
        <w:t>, 1998</w:t>
      </w:r>
      <w:r w:rsidR="006B5DBA">
        <w:t xml:space="preserve">). </w:t>
      </w:r>
    </w:p>
    <w:p w14:paraId="160036AE" w14:textId="6D48FE01" w:rsidR="00DC16F1" w:rsidRDefault="00DC16F1" w:rsidP="001E4EF6">
      <w:r w:rsidRPr="00DC16F1">
        <w:t xml:space="preserve">A TWA of </w:t>
      </w:r>
      <w:r w:rsidR="00A82CB2">
        <w:t xml:space="preserve">0.002 </w:t>
      </w:r>
      <w:r w:rsidRPr="00DC16F1">
        <w:t>mg/</w:t>
      </w:r>
      <w:proofErr w:type="spellStart"/>
      <w:r w:rsidRPr="00DC16F1">
        <w:t>m</w:t>
      </w:r>
      <w:r w:rsidRPr="00AB3EE3">
        <w:rPr>
          <w:vertAlign w:val="superscript"/>
        </w:rPr>
        <w:t>3</w:t>
      </w:r>
      <w:proofErr w:type="spellEnd"/>
      <w:r w:rsidRPr="00DC16F1">
        <w:t xml:space="preserve"> </w:t>
      </w:r>
      <w:r w:rsidR="006F0903">
        <w:t>by</w:t>
      </w:r>
      <w:r w:rsidR="006F0903" w:rsidRPr="00DC16F1">
        <w:t xml:space="preserve"> </w:t>
      </w:r>
      <w:proofErr w:type="spellStart"/>
      <w:r w:rsidR="006F0903" w:rsidRPr="00DC16F1">
        <w:t>ACGIH</w:t>
      </w:r>
      <w:proofErr w:type="spellEnd"/>
      <w:r w:rsidR="006F0903" w:rsidRPr="00DC16F1">
        <w:t xml:space="preserve"> (2018)</w:t>
      </w:r>
      <w:r w:rsidR="006F0903">
        <w:t xml:space="preserve"> </w:t>
      </w:r>
      <w:r w:rsidRPr="00DC16F1">
        <w:t>is recommended</w:t>
      </w:r>
      <w:r w:rsidR="009A26FB">
        <w:t xml:space="preserve"> to be adopted</w:t>
      </w:r>
      <w:r w:rsidRPr="00DC16F1">
        <w:t xml:space="preserve">. </w:t>
      </w:r>
      <w:r w:rsidR="0088636F">
        <w:t xml:space="preserve">This recommendation is </w:t>
      </w:r>
      <w:r w:rsidR="00457EDF">
        <w:t xml:space="preserve">considered suitable given the duration of the underlying study, the uncertainty factor applied to account for interspecies differences and is supported by the calculated no effect level in workers. </w:t>
      </w:r>
      <w:r w:rsidRPr="00DC16F1">
        <w:t xml:space="preserve">This TWA is expected to be protective </w:t>
      </w:r>
      <w:r w:rsidR="00A82CB2">
        <w:t xml:space="preserve">for </w:t>
      </w:r>
      <w:r w:rsidR="00A82CB2">
        <w:rPr>
          <w:rFonts w:cs="Arial"/>
        </w:rPr>
        <w:t>porphyria, liver toxicity and fertility effects.</w:t>
      </w:r>
    </w:p>
    <w:p w14:paraId="767C24D0" w14:textId="26F9EA1C" w:rsidR="004529F0" w:rsidRPr="004C23F4" w:rsidRDefault="004529F0" w:rsidP="004529F0">
      <w:pPr>
        <w:pStyle w:val="Heading2"/>
      </w:pPr>
      <w:r>
        <w:t>Recommendation for notations</w:t>
      </w:r>
    </w:p>
    <w:p w14:paraId="7EFBA735" w14:textId="3A2DE063" w:rsidR="00DA79C5" w:rsidRPr="00504060" w:rsidRDefault="00D921CC" w:rsidP="00DA79C5">
      <w:pPr>
        <w:rPr>
          <w:rFonts w:cs="Arial"/>
        </w:rPr>
      </w:pPr>
      <w:r>
        <w:rPr>
          <w:rFonts w:cs="Arial"/>
        </w:rPr>
        <w:t>C</w:t>
      </w:r>
      <w:r w:rsidR="00DA79C5" w:rsidRPr="00504060">
        <w:rPr>
          <w:rFonts w:cs="Arial"/>
        </w:rPr>
        <w:t xml:space="preserve">lassified as a </w:t>
      </w:r>
      <w:r w:rsidR="00BC4155">
        <w:rPr>
          <w:rFonts w:cs="Arial"/>
        </w:rPr>
        <w:t xml:space="preserve">category </w:t>
      </w:r>
      <w:proofErr w:type="spellStart"/>
      <w:r w:rsidR="00BC4155">
        <w:rPr>
          <w:rFonts w:cs="Arial"/>
        </w:rPr>
        <w:t>1B</w:t>
      </w:r>
      <w:proofErr w:type="spellEnd"/>
      <w:r w:rsidR="00BC4155">
        <w:rPr>
          <w:rFonts w:cs="Arial"/>
        </w:rPr>
        <w:t xml:space="preserve"> </w:t>
      </w:r>
      <w:r w:rsidR="00DA79C5" w:rsidRPr="00504060">
        <w:rPr>
          <w:rFonts w:cs="Arial"/>
        </w:rPr>
        <w:t>carcinogen according to the Globally Harmonized System of Classification and Labelling o</w:t>
      </w:r>
      <w:r w:rsidR="00346E54">
        <w:rPr>
          <w:rFonts w:cs="Arial"/>
        </w:rPr>
        <w:t>f</w:t>
      </w:r>
      <w:r w:rsidR="00DA79C5" w:rsidRPr="00504060">
        <w:rPr>
          <w:rFonts w:cs="Arial"/>
        </w:rPr>
        <w:t xml:space="preserve"> Chemicals (GHS). </w:t>
      </w:r>
    </w:p>
    <w:p w14:paraId="174A9BEF" w14:textId="4A7F2BDA" w:rsidR="00DA79C5" w:rsidRPr="00504060" w:rsidRDefault="00DA79C5" w:rsidP="00DA79C5">
      <w:pPr>
        <w:rPr>
          <w:rFonts w:cs="Arial"/>
        </w:rPr>
      </w:pPr>
      <w:r w:rsidRPr="00504060">
        <w:rPr>
          <w:rFonts w:cs="Arial"/>
        </w:rPr>
        <w:t xml:space="preserve">Not classified as a skin </w:t>
      </w:r>
      <w:r w:rsidR="00346E54" w:rsidRPr="00504060">
        <w:rPr>
          <w:rFonts w:cs="Arial"/>
        </w:rPr>
        <w:t xml:space="preserve">sensitiser </w:t>
      </w:r>
      <w:r w:rsidRPr="00504060">
        <w:rPr>
          <w:rFonts w:cs="Arial"/>
        </w:rPr>
        <w:t>or respiratory sensitiser according to the GHS.</w:t>
      </w:r>
    </w:p>
    <w:p w14:paraId="244CE715" w14:textId="128D835F" w:rsidR="00DA79C5" w:rsidRPr="004C23F4" w:rsidRDefault="001E4EF6" w:rsidP="00DA79C5">
      <w:pPr>
        <w:rPr>
          <w:rFonts w:cs="Arial"/>
        </w:rPr>
      </w:pPr>
      <w:r>
        <w:rPr>
          <w:rFonts w:cs="Arial"/>
        </w:rPr>
        <w:t xml:space="preserve">A skin notation is recommended based on evidence of </w:t>
      </w:r>
      <w:r w:rsidR="00BC4155">
        <w:rPr>
          <w:rFonts w:cs="Arial"/>
        </w:rPr>
        <w:t xml:space="preserve">significant </w:t>
      </w:r>
      <w:r>
        <w:rPr>
          <w:rFonts w:cs="Arial"/>
        </w:rPr>
        <w:t>dermal uptake in animals, the contribution to total uptake and the severity of potential systemic effects.</w:t>
      </w:r>
    </w:p>
    <w:p w14:paraId="122599A5" w14:textId="77777777" w:rsidR="0025734A" w:rsidRPr="004C23F4" w:rsidRDefault="0025734A">
      <w:pPr>
        <w:rPr>
          <w:rFonts w:cs="Arial"/>
        </w:rPr>
      </w:pPr>
    </w:p>
    <w:p w14:paraId="56E70306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76BE4C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13594B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111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206"/>
      </w:tblGrid>
      <w:tr w:rsidR="00C978F0" w:rsidRPr="00DA352E" w14:paraId="3F42BBC0" w14:textId="77777777" w:rsidTr="00B66FC1">
        <w:trPr>
          <w:trHeight w:val="393"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F962CD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B66FC1" w:rsidRPr="00DA352E" w14:paraId="7F3A3948" w14:textId="77777777" w:rsidTr="00B66FC1">
        <w:tc>
          <w:tcPr>
            <w:tcW w:w="5000" w:type="pct"/>
            <w:shd w:val="clear" w:color="auto" w:fill="F2F2F2" w:themeFill="background1" w:themeFillShade="F2"/>
          </w:tcPr>
          <w:p w14:paraId="02A7ECF6" w14:textId="17C901B9" w:rsidR="00B66FC1" w:rsidRPr="00B66FC1" w:rsidRDefault="00B66FC1" w:rsidP="000B6C4D">
            <w:pPr>
              <w:pStyle w:val="Tabletextprimarysource"/>
              <w:rPr>
                <w:b/>
                <w:i/>
              </w:rPr>
            </w:pPr>
            <w:r w:rsidRPr="00B66FC1">
              <w:rPr>
                <w:b/>
                <w:i/>
              </w:rPr>
              <w:t>SWA</w:t>
            </w:r>
            <w:r>
              <w:rPr>
                <w:b/>
                <w:i/>
              </w:rPr>
              <w:t xml:space="preserve">                                            NA</w:t>
            </w:r>
            <w:r w:rsidRPr="00B66FC1">
              <w:rPr>
                <w:b/>
                <w:i/>
              </w:rPr>
              <w:tab/>
            </w:r>
          </w:p>
        </w:tc>
      </w:tr>
      <w:tr w:rsidR="000B6C4D" w:rsidRPr="00DA352E" w14:paraId="3CA22A73" w14:textId="77777777" w:rsidTr="00B66FC1">
        <w:tc>
          <w:tcPr>
            <w:tcW w:w="5000" w:type="pct"/>
          </w:tcPr>
          <w:p w14:paraId="002F9635" w14:textId="0BC22649" w:rsidR="000B6C4D" w:rsidRPr="00DA352E" w:rsidRDefault="000B6C4D" w:rsidP="000B6C4D">
            <w:pPr>
              <w:pStyle w:val="Tabletextprimarysource"/>
            </w:pPr>
            <w:r>
              <w:t>No report.</w:t>
            </w:r>
          </w:p>
        </w:tc>
      </w:tr>
      <w:tr w:rsidR="000B6C4D" w:rsidRPr="00DA352E" w14:paraId="139F89D3" w14:textId="77777777" w:rsidTr="00B66FC1">
        <w:tc>
          <w:tcPr>
            <w:tcW w:w="5000" w:type="pct"/>
            <w:shd w:val="clear" w:color="auto" w:fill="F2F2F2" w:themeFill="background1" w:themeFillShade="F2"/>
          </w:tcPr>
          <w:p w14:paraId="3443444A" w14:textId="03EE184D" w:rsidR="000B6C4D" w:rsidRPr="00DA352E" w:rsidRDefault="000B6C4D" w:rsidP="00B66FC1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  <w:tab w:val="left" w:pos="2880"/>
                <w:tab w:val="left" w:pos="3600"/>
                <w:tab w:val="left" w:pos="4320"/>
                <w:tab w:val="left" w:pos="5040"/>
                <w:tab w:val="left" w:pos="7905"/>
              </w:tabs>
            </w:pPr>
            <w:proofErr w:type="spellStart"/>
            <w:r w:rsidRPr="00DA352E">
              <w:t>ACGIH</w:t>
            </w:r>
            <w:proofErr w:type="spellEnd"/>
            <w:r>
              <w:t xml:space="preserve"> </w:t>
            </w:r>
            <w:r w:rsidRPr="003365A5">
              <w:tab/>
            </w:r>
            <w:sdt>
              <w:sdtPr>
                <w:id w:val="444816450"/>
                <w:placeholder>
                  <w:docPart w:val="87F0A1A329DE481CB393CABE392EA486"/>
                </w:placeholder>
                <w:text/>
              </w:sdtPr>
              <w:sdtEndPr/>
              <w:sdtContent>
                <w:r>
                  <w:t>2001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8B5E35A01AA74899908D5E2006CDC8A0"/>
                </w:placeholder>
              </w:sdtPr>
              <w:sdtEndPr/>
              <w:sdtContent>
                <w:r>
                  <w:t>TLV-TWA: 0.002 mg/</w:t>
                </w:r>
                <w:proofErr w:type="spellStart"/>
                <w:r>
                  <w:t>m</w:t>
                </w:r>
                <w:r w:rsidRPr="00871B1D">
                  <w:rPr>
                    <w:vertAlign w:val="superscript"/>
                  </w:rPr>
                  <w:t>3</w:t>
                </w:r>
                <w:proofErr w:type="spellEnd"/>
              </w:sdtContent>
            </w:sdt>
            <w:r>
              <w:tab/>
            </w:r>
          </w:p>
        </w:tc>
      </w:tr>
      <w:tr w:rsidR="000B6C4D" w:rsidRPr="00DA352E" w14:paraId="7911F860" w14:textId="77777777" w:rsidTr="00B66FC1">
        <w:tc>
          <w:tcPr>
            <w:tcW w:w="5000" w:type="pct"/>
          </w:tcPr>
          <w:p w14:paraId="5E46F1FC" w14:textId="657D4578" w:rsidR="000B6C4D" w:rsidRDefault="000B6C4D" w:rsidP="000B6C4D">
            <w:pPr>
              <w:pStyle w:val="Tabletextprimarysource"/>
            </w:pPr>
            <w:r>
              <w:t>TLV-TWA recommended to minimise the potential for increased formation and excretion of porphyrins (</w:t>
            </w:r>
            <w:proofErr w:type="spellStart"/>
            <w:r>
              <w:t>porphyrogenicity</w:t>
            </w:r>
            <w:proofErr w:type="spellEnd"/>
            <w:r>
              <w:t>) leading to dermal lesions and ulcerations, neurotoxicity and possible liver cancer reported in animals.</w:t>
            </w:r>
          </w:p>
          <w:p w14:paraId="5F2FE9DE" w14:textId="2C99F4F7" w:rsidR="000B6C4D" w:rsidRDefault="000B6C4D" w:rsidP="000B6C4D">
            <w:pPr>
              <w:pStyle w:val="Tabletextprimarysource"/>
            </w:pPr>
            <w:r>
              <w:t>Summary of data:</w:t>
            </w:r>
          </w:p>
          <w:p w14:paraId="11300543" w14:textId="08ABF5ED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Stated 3 toxic effects of interest</w:t>
            </w:r>
            <w:r w:rsidR="00032F98">
              <w:t>:</w:t>
            </w:r>
            <w:r>
              <w:t xml:space="preserve"> carcinogenicity, neurotoxicity, </w:t>
            </w:r>
            <w:proofErr w:type="spellStart"/>
            <w:r>
              <w:t>porphyrogenicity</w:t>
            </w:r>
            <w:proofErr w:type="spellEnd"/>
            <w:r>
              <w:t>.</w:t>
            </w:r>
          </w:p>
          <w:p w14:paraId="319E55BC" w14:textId="77777777" w:rsidR="000B6C4D" w:rsidRDefault="000B6C4D" w:rsidP="000B6C4D">
            <w:pPr>
              <w:pStyle w:val="Tabletextprimarysource"/>
            </w:pPr>
            <w:r>
              <w:t>Human data:</w:t>
            </w:r>
          </w:p>
          <w:p w14:paraId="5A2CB862" w14:textId="11DEF6D8" w:rsidR="000B6C4D" w:rsidRDefault="000B6C4D" w:rsidP="000B6C4D">
            <w:pPr>
              <w:pStyle w:val="ListBullet"/>
              <w:spacing w:before="60" w:after="60"/>
              <w:ind w:left="720" w:hanging="357"/>
              <w:contextualSpacing w:val="0"/>
            </w:pPr>
            <w:r>
              <w:t>No reports on human exposure by inhalation identified</w:t>
            </w:r>
          </w:p>
          <w:p w14:paraId="5B9F6ACC" w14:textId="4DF18459" w:rsidR="000B6C4D" w:rsidRDefault="00CF165D" w:rsidP="000B6C4D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In a case </w:t>
            </w:r>
            <w:r w:rsidR="000B6C4D">
              <w:t>report</w:t>
            </w:r>
            <w:r>
              <w:t>,</w:t>
            </w:r>
            <w:r w:rsidR="00EB62F1">
              <w:t xml:space="preserve"> </w:t>
            </w:r>
            <w:r w:rsidR="000B6C4D">
              <w:t xml:space="preserve">348 cases of acquired toxic PCT (skin disorder) </w:t>
            </w:r>
            <w:r>
              <w:t xml:space="preserve">after </w:t>
            </w:r>
            <w:r w:rsidR="000B6C4D">
              <w:t>ingestin</w:t>
            </w:r>
            <w:r>
              <w:t>g</w:t>
            </w:r>
            <w:r w:rsidR="000B6C4D">
              <w:t xml:space="preserve"> contaminated seed grain; 25 yr and &gt;30 yr follow-up report: </w:t>
            </w:r>
          </w:p>
          <w:p w14:paraId="32ED8AA0" w14:textId="70D89E0B" w:rsidR="000B6C4D" w:rsidRDefault="000B6C4D" w:rsidP="000B6C4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3,000–4,000 humans exposed </w:t>
            </w:r>
            <w:r w:rsidR="005E2109">
              <w:t xml:space="preserve">at </w:t>
            </w:r>
            <w:r>
              <w:t>about 10 mg/kg/d for up to 3 yr</w:t>
            </w:r>
          </w:p>
          <w:p w14:paraId="0C9B6F5D" w14:textId="6A84F732" w:rsidR="000B6C4D" w:rsidRDefault="000B6C4D" w:rsidP="000B6C4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10% died and about 100 people still displayed adverse health effects</w:t>
            </w:r>
          </w:p>
          <w:p w14:paraId="75F5003A" w14:textId="7B85673C" w:rsidR="000B6C4D" w:rsidRDefault="000B6C4D" w:rsidP="000B6C4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daily dose corresponded to a cumulative dose of 10,950 mg/kg</w:t>
            </w:r>
          </w:p>
          <w:p w14:paraId="47D6755D" w14:textId="68522D5C" w:rsidR="000B6C4D" w:rsidRDefault="000B6C4D" w:rsidP="000B6C4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those exposed </w:t>
            </w:r>
            <w:r w:rsidR="004C6EF5">
              <w:t xml:space="preserve">had </w:t>
            </w:r>
            <w:r>
              <w:t xml:space="preserve">the same spectrum of </w:t>
            </w:r>
            <w:r w:rsidR="004C6EF5">
              <w:t xml:space="preserve">adverse </w:t>
            </w:r>
            <w:r>
              <w:t>effects as animals</w:t>
            </w:r>
            <w:r w:rsidR="004C6EF5">
              <w:t xml:space="preserve"> at similar exposure levels,</w:t>
            </w:r>
            <w:r>
              <w:t xml:space="preserve"> except </w:t>
            </w:r>
            <w:r w:rsidR="00CF165D">
              <w:t xml:space="preserve">for </w:t>
            </w:r>
            <w:r>
              <w:t xml:space="preserve">cancer </w:t>
            </w:r>
          </w:p>
          <w:p w14:paraId="7C92EA5F" w14:textId="33A303D4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Workers with blood levels of 160–312 ppb </w:t>
            </w:r>
            <w:r w:rsidR="00CF165D">
              <w:t xml:space="preserve">had </w:t>
            </w:r>
            <w:r>
              <w:t>no adverse health effects</w:t>
            </w:r>
          </w:p>
          <w:p w14:paraId="24DEF9FA" w14:textId="0FD6BAF4" w:rsidR="000B6C4D" w:rsidRDefault="005E3E1E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H</w:t>
            </w:r>
            <w:r w:rsidR="000B6C4D">
              <w:t xml:space="preserve">uman exposure </w:t>
            </w:r>
            <w:r>
              <w:t xml:space="preserve">theoretically </w:t>
            </w:r>
            <w:r w:rsidR="000B6C4D">
              <w:t>linked to porphyria and cancer</w:t>
            </w:r>
          </w:p>
          <w:p w14:paraId="10B3A815" w14:textId="4F41238A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 case report regarding industrial exposure and the occurrence of hepatocellular carcinoma in a worker; further research recommended to clarify this possible relationship.</w:t>
            </w:r>
          </w:p>
          <w:p w14:paraId="2A49B26F" w14:textId="77777777" w:rsidR="000B6C4D" w:rsidRDefault="000B6C4D" w:rsidP="000B6C4D">
            <w:pPr>
              <w:pStyle w:val="Tabletextprimarysource"/>
            </w:pPr>
            <w:r>
              <w:t>Animal data:</w:t>
            </w:r>
          </w:p>
          <w:p w14:paraId="3E730051" w14:textId="528A1761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Occlusive application of 10 mg/kg dose in rats; 1% absorbed in 6 h; 10% absorbed in 72 h; absorption described as a first-order process</w:t>
            </w:r>
          </w:p>
          <w:p w14:paraId="772FCDDE" w14:textId="621FFD31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Increases incidence of liver tumours in mice and hamsters fed 4–6 mg/kg/d for their lifetime </w:t>
            </w:r>
          </w:p>
          <w:p w14:paraId="7A618690" w14:textId="50DFA0C3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NOEL of 0.05 mg/kg/d in pigs; </w:t>
            </w:r>
            <w:r w:rsidR="006475C7">
              <w:t xml:space="preserve">0.05, 0.5, 5 or 50 mg/kg/d 90 d feeding study; </w:t>
            </w:r>
            <w:r>
              <w:t>PCT</w:t>
            </w:r>
            <w:r w:rsidR="00B46BC0">
              <w:t xml:space="preserve"> at 50</w:t>
            </w:r>
            <w:r w:rsidR="005E2109">
              <w:t> </w:t>
            </w:r>
            <w:r w:rsidR="00B46BC0">
              <w:t>mg/kg;</w:t>
            </w:r>
            <w:r>
              <w:t xml:space="preserve"> induction of microsomal liver enzymes and increased liver weight</w:t>
            </w:r>
            <w:r w:rsidR="00B46BC0">
              <w:t xml:space="preserve"> at 5 mg/kg</w:t>
            </w:r>
            <w:r>
              <w:t xml:space="preserve"> </w:t>
            </w:r>
          </w:p>
          <w:p w14:paraId="3ACB38F0" w14:textId="22D8921F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NOEL of 0.033 mg/kg/d in monkeys;</w:t>
            </w:r>
            <w:r w:rsidR="000C59D6">
              <w:t xml:space="preserve"> did not affect</w:t>
            </w:r>
            <w:r>
              <w:t xml:space="preserve"> serum hormone levels, urinary copro- and uroporphyrin levels </w:t>
            </w:r>
            <w:r w:rsidR="00D07AAA">
              <w:t xml:space="preserve">or </w:t>
            </w:r>
            <w:r>
              <w:t xml:space="preserve">haematology; 18 </w:t>
            </w:r>
            <w:proofErr w:type="spellStart"/>
            <w:r>
              <w:t>mo</w:t>
            </w:r>
            <w:proofErr w:type="spellEnd"/>
            <w:r>
              <w:t xml:space="preserve"> study</w:t>
            </w:r>
            <w:r w:rsidR="00DC16F1">
              <w:t>; route not disclosed</w:t>
            </w:r>
          </w:p>
          <w:p w14:paraId="740329EF" w14:textId="1CBF61E5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Rodents and primates do not metabolise HCB well; indicating the parent compound is responsible for adverse effects</w:t>
            </w:r>
            <w:r w:rsidR="000C59D6">
              <w:t xml:space="preserve">; half-life </w:t>
            </w:r>
            <w:r w:rsidR="00A3238D">
              <w:t xml:space="preserve">in rhesus monkey </w:t>
            </w:r>
            <w:r w:rsidR="000C59D6">
              <w:t xml:space="preserve">estimated </w:t>
            </w:r>
            <w:r w:rsidR="00A3238D">
              <w:t>to be</w:t>
            </w:r>
            <w:r w:rsidR="000C59D6">
              <w:t xml:space="preserve"> 2.5-3 yr</w:t>
            </w:r>
            <w:r w:rsidR="0089022C">
              <w:t>.</w:t>
            </w:r>
          </w:p>
          <w:p w14:paraId="124A4544" w14:textId="77777777" w:rsidR="000B6C4D" w:rsidRDefault="000B6C4D" w:rsidP="000B6C4D">
            <w:pPr>
              <w:pStyle w:val="Tabletextprimarysource"/>
            </w:pPr>
          </w:p>
          <w:p w14:paraId="48E7B1C6" w14:textId="645454E8" w:rsidR="000B6C4D" w:rsidRDefault="000B6C4D" w:rsidP="000B6C4D">
            <w:pPr>
              <w:pStyle w:val="Tabletextprimarysource"/>
            </w:pPr>
            <w:r>
              <w:t xml:space="preserve">Not genotoxic either </w:t>
            </w:r>
            <w:r w:rsidRPr="00BA534E">
              <w:rPr>
                <w:i/>
              </w:rPr>
              <w:t>in vivo</w:t>
            </w:r>
            <w:r>
              <w:t xml:space="preserve"> or in the Ames tests.</w:t>
            </w:r>
          </w:p>
          <w:p w14:paraId="4ED6BFE7" w14:textId="6B12F357" w:rsidR="000B6C4D" w:rsidRDefault="000B6C4D" w:rsidP="000B6C4D">
            <w:pPr>
              <w:pStyle w:val="Tabletextprimarysource"/>
            </w:pPr>
            <w:r>
              <w:t>Reported to penetrate the intact skin in significant quantities warranting skin notation.</w:t>
            </w:r>
          </w:p>
          <w:p w14:paraId="0CFB31D5" w14:textId="510E4079" w:rsidR="000B6C4D" w:rsidRDefault="000B6C4D" w:rsidP="000B6C4D">
            <w:pPr>
              <w:pStyle w:val="Tabletextprimarysource"/>
            </w:pPr>
            <w:r>
              <w:t>Insufficient data to recommend a sensitiser notation or TLV-STEL.</w:t>
            </w:r>
          </w:p>
          <w:p w14:paraId="3485FD29" w14:textId="2BB113AD" w:rsidR="000B6C4D" w:rsidRDefault="000B6C4D" w:rsidP="000B6C4D">
            <w:pPr>
              <w:pStyle w:val="Tabletextprimarysource"/>
            </w:pPr>
            <w:r>
              <w:t>TWA basis:</w:t>
            </w:r>
          </w:p>
          <w:p w14:paraId="2DAF5082" w14:textId="00412715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TLV-TWA based on NOEL of 0.033 mg/kg/d reduced by uncertainty factor of 100 to 0.33 </w:t>
            </w:r>
            <w:r>
              <w:rPr>
                <w:rFonts w:cs="Arial"/>
              </w:rPr>
              <w:t>µ</w:t>
            </w:r>
            <w:r>
              <w:t>g/kg/d</w:t>
            </w:r>
          </w:p>
          <w:p w14:paraId="305B6E5E" w14:textId="6043756E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70 kg worker inhaling 10 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of air per 8 h shift assuming 100% absorption; yields a TWA of 2.31 </w:t>
            </w:r>
            <w:r>
              <w:rPr>
                <w:rFonts w:cs="Arial"/>
              </w:rPr>
              <w:t>µ</w:t>
            </w:r>
            <w:r>
              <w:t>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</w:p>
          <w:p w14:paraId="696CC5FD" w14:textId="77777777" w:rsidR="000B6C4D" w:rsidRDefault="000B6C4D" w:rsidP="006F0903">
            <w:pPr>
              <w:pStyle w:val="ListBullet"/>
              <w:tabs>
                <w:tab w:val="left" w:pos="6684"/>
              </w:tabs>
              <w:spacing w:before="60" w:after="60"/>
              <w:ind w:left="714" w:hanging="357"/>
              <w:contextualSpacing w:val="0"/>
            </w:pPr>
            <w:r>
              <w:lastRenderedPageBreak/>
              <w:t>Supported by blood level of 312 ppb corresponding to daily dose at steady state of 0.42 </w:t>
            </w:r>
            <w:r>
              <w:rPr>
                <w:rFonts w:cs="Arial"/>
              </w:rPr>
              <w:t>µ</w:t>
            </w:r>
            <w:r>
              <w:t xml:space="preserve">g/kg/d; TWA inhalation equivalent </w:t>
            </w:r>
            <w:r w:rsidR="00A3238D">
              <w:t xml:space="preserve">to a concentration </w:t>
            </w:r>
            <w:r>
              <w:t xml:space="preserve">of 2.9 </w:t>
            </w:r>
            <w:r>
              <w:rPr>
                <w:rFonts w:cs="Arial"/>
              </w:rPr>
              <w:t>µ</w:t>
            </w:r>
            <w:r>
              <w:t>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 w:rsidR="00D25B22">
              <w:t xml:space="preserve"> assuming 70 kg worker inhaling 10 </w:t>
            </w:r>
            <w:proofErr w:type="spellStart"/>
            <w:r w:rsidR="00D25B22">
              <w:t>m</w:t>
            </w:r>
            <w:r w:rsidR="00D25B22">
              <w:rPr>
                <w:vertAlign w:val="superscript"/>
              </w:rPr>
              <w:t>3</w:t>
            </w:r>
            <w:proofErr w:type="spellEnd"/>
            <w:r w:rsidR="00D25B22">
              <w:t xml:space="preserve"> of air per 8 h shift and 100% absorption</w:t>
            </w:r>
            <w:r w:rsidR="0089022C">
              <w:t>.</w:t>
            </w:r>
          </w:p>
          <w:p w14:paraId="6A772D4E" w14:textId="6222BAFF" w:rsidR="006F0903" w:rsidRPr="00377427" w:rsidRDefault="006F0903" w:rsidP="006F0903">
            <w:pPr>
              <w:pStyle w:val="ListBullet"/>
              <w:numPr>
                <w:ilvl w:val="0"/>
                <w:numId w:val="0"/>
              </w:numPr>
              <w:tabs>
                <w:tab w:val="left" w:pos="6684"/>
              </w:tabs>
              <w:spacing w:before="60" w:after="60"/>
              <w:ind w:left="714"/>
              <w:contextualSpacing w:val="0"/>
            </w:pPr>
          </w:p>
        </w:tc>
      </w:tr>
      <w:tr w:rsidR="000B6C4D" w:rsidRPr="00DA352E" w14:paraId="61023356" w14:textId="77777777" w:rsidTr="00B66FC1">
        <w:tc>
          <w:tcPr>
            <w:tcW w:w="5000" w:type="pct"/>
            <w:shd w:val="clear" w:color="auto" w:fill="F2F2F2" w:themeFill="background1" w:themeFillShade="F2"/>
          </w:tcPr>
          <w:p w14:paraId="4172826C" w14:textId="7F47928D" w:rsidR="000B6C4D" w:rsidRPr="00DA352E" w:rsidRDefault="000B6C4D" w:rsidP="000B6C4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Pr="003365A5">
              <w:t xml:space="preserve"> </w:t>
            </w:r>
            <w:r w:rsidRPr="003365A5">
              <w:tab/>
            </w:r>
            <w:sdt>
              <w:sdtPr>
                <w:id w:val="272751712"/>
                <w:placeholder>
                  <w:docPart w:val="AED6883AFEB840C58EE489CBFE5EA2F6"/>
                </w:placeholder>
                <w:text/>
              </w:sdtPr>
              <w:sdtEndPr/>
              <w:sdtContent>
                <w:r>
                  <w:t>1998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C6F8106923CF479EA192ED57B50D5BCA"/>
                </w:placeholder>
              </w:sdtPr>
              <w:sdtEndPr/>
              <w:sdtContent>
                <w:r>
                  <w:t>Not assigned</w:t>
                </w:r>
              </w:sdtContent>
            </w:sdt>
          </w:p>
        </w:tc>
      </w:tr>
      <w:tr w:rsidR="000B6C4D" w:rsidRPr="00DA352E" w14:paraId="208A60C1" w14:textId="77777777" w:rsidTr="00B66FC1">
        <w:tc>
          <w:tcPr>
            <w:tcW w:w="5000" w:type="pct"/>
          </w:tcPr>
          <w:p w14:paraId="63517228" w14:textId="77777777" w:rsidR="000B6C4D" w:rsidRDefault="000B6C4D" w:rsidP="000B6C4D">
            <w:pPr>
              <w:pStyle w:val="Tabletextprimarysource"/>
            </w:pPr>
            <w:r>
              <w:t>Summary of additional data:</w:t>
            </w:r>
          </w:p>
          <w:p w14:paraId="6FB03FB3" w14:textId="56A06A86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Database considered insufficient or unreliable to confidently derive MAK</w:t>
            </w:r>
          </w:p>
          <w:p w14:paraId="6F2704B7" w14:textId="04893B01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Extrapolation from animal studies to human exposure associated with significant uncertainty due to different half-lives in human and animals; </w:t>
            </w:r>
            <w:r>
              <w:rPr>
                <w:rFonts w:cs="Arial"/>
              </w:rPr>
              <w:t>≈</w:t>
            </w:r>
            <w:r>
              <w:t xml:space="preserve">5 </w:t>
            </w:r>
            <w:proofErr w:type="spellStart"/>
            <w:r>
              <w:t>mo</w:t>
            </w:r>
            <w:proofErr w:type="spellEnd"/>
            <w:r>
              <w:t xml:space="preserve"> in rats</w:t>
            </w:r>
            <w:r w:rsidR="000C59D6">
              <w:t>;</w:t>
            </w:r>
            <w:r>
              <w:t xml:space="preserve"> </w:t>
            </w:r>
            <w:r w:rsidR="000C59D6">
              <w:t>2.5</w:t>
            </w:r>
            <w:r w:rsidR="00032F98">
              <w:t>–</w:t>
            </w:r>
            <w:r w:rsidR="000C59D6">
              <w:t xml:space="preserve">3 yr in monkeys; </w:t>
            </w:r>
            <w:r>
              <w:t>&gt;2 yr in humans</w:t>
            </w:r>
          </w:p>
          <w:p w14:paraId="2F436325" w14:textId="77777777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Liver, bile duct and kidney tumours observed in experimental animals; mechanism likely cytochrome </w:t>
            </w:r>
            <w:proofErr w:type="spellStart"/>
            <w:r>
              <w:t>P450</w:t>
            </w:r>
            <w:proofErr w:type="spellEnd"/>
            <w:r>
              <w:t>-mediated formation of oxygen radicals resulting in cell damage and subsequent compensatory hyperplasia.</w:t>
            </w:r>
          </w:p>
          <w:p w14:paraId="2C785CBC" w14:textId="521CA06D" w:rsidR="000B6C4D" w:rsidRPr="00DA352E" w:rsidRDefault="000B6C4D" w:rsidP="000B6C4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0B6C4D" w:rsidRPr="00DA352E" w14:paraId="00190ABA" w14:textId="77777777" w:rsidTr="00B66FC1">
        <w:tc>
          <w:tcPr>
            <w:tcW w:w="5000" w:type="pct"/>
            <w:shd w:val="clear" w:color="auto" w:fill="F2F2F2" w:themeFill="background1" w:themeFillShade="F2"/>
          </w:tcPr>
          <w:p w14:paraId="77AE9863" w14:textId="5784BF71" w:rsidR="000B6C4D" w:rsidRPr="00DA352E" w:rsidRDefault="000B6C4D" w:rsidP="000B6C4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Pr="003365A5">
              <w:t xml:space="preserve"> </w:t>
            </w:r>
            <w:r w:rsidRPr="003365A5">
              <w:tab/>
            </w:r>
            <w:sdt>
              <w:sdtPr>
                <w:id w:val="-768699850"/>
                <w:placeholder>
                  <w:docPart w:val="4549F6CBFDA64A9C935CBAB7BAC3FA43"/>
                </w:placeholder>
                <w:text/>
              </w:sdtPr>
              <w:sdtEndPr/>
              <w:sdtContent>
                <w:r>
                  <w:t>2016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399DEE69BD6E4EE9BF578803CDED53AD"/>
                </w:placeholder>
              </w:sdtPr>
              <w:sdtEndPr/>
              <w:sdtContent>
                <w:r>
                  <w:t>Not assigned</w:t>
                </w:r>
              </w:sdtContent>
            </w:sdt>
          </w:p>
        </w:tc>
      </w:tr>
      <w:tr w:rsidR="000B6C4D" w:rsidRPr="00DA352E" w14:paraId="0167448B" w14:textId="77777777" w:rsidTr="00B66FC1">
        <w:tc>
          <w:tcPr>
            <w:tcW w:w="5000" w:type="pct"/>
          </w:tcPr>
          <w:p w14:paraId="0A89AB4E" w14:textId="77777777" w:rsidR="000B6C4D" w:rsidRDefault="000B6C4D" w:rsidP="000B6C4D">
            <w:pPr>
              <w:pStyle w:val="Tabletextprimarysource"/>
            </w:pPr>
            <w:r>
              <w:t>Summary of additional data:</w:t>
            </w:r>
          </w:p>
          <w:p w14:paraId="2995856E" w14:textId="787CDC67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OEL recommended because measurement in air may grossly underestimate total exposure due to:</w:t>
            </w:r>
          </w:p>
          <w:p w14:paraId="1256C869" w14:textId="4D6285C5" w:rsidR="000B6C4D" w:rsidRDefault="000B6C4D" w:rsidP="000B6C4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low vapour pressure </w:t>
            </w:r>
          </w:p>
          <w:p w14:paraId="02D3D78B" w14:textId="77777777" w:rsidR="000B6C4D" w:rsidRDefault="000B6C4D" w:rsidP="000B6C4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potential for significant skin absorption and </w:t>
            </w:r>
          </w:p>
          <w:p w14:paraId="05322A0D" w14:textId="44E25F2B" w:rsidR="000B6C4D" w:rsidRDefault="000B6C4D" w:rsidP="000B6C4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cumulative nature of HCB exposure </w:t>
            </w:r>
          </w:p>
          <w:p w14:paraId="11BF7337" w14:textId="5A774647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Skin absorption rate of 0.9 µg/</w:t>
            </w:r>
            <w:proofErr w:type="spellStart"/>
            <w:r>
              <w:t>cm</w:t>
            </w:r>
            <w:r w:rsidRPr="00571095">
              <w:rPr>
                <w:vertAlign w:val="superscript"/>
              </w:rPr>
              <w:t>2</w:t>
            </w:r>
            <w:proofErr w:type="spellEnd"/>
            <w:r>
              <w:t>/h in rats</w:t>
            </w:r>
          </w:p>
          <w:p w14:paraId="1A4300B1" w14:textId="3EFA1540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NOAEL</w:t>
            </w:r>
            <w:proofErr w:type="spellEnd"/>
            <w:r>
              <w:t xml:space="preserve"> of 0.01 mg/kg/d; oral 13 </w:t>
            </w:r>
            <w:proofErr w:type="spellStart"/>
            <w:r>
              <w:t>wk</w:t>
            </w:r>
            <w:proofErr w:type="spellEnd"/>
            <w:r>
              <w:t xml:space="preserve"> study in monkeys used as starting point for rescinded TWA OEL of 0.006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</w:p>
          <w:p w14:paraId="29DEEA14" w14:textId="0CDE3D86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</w:t>
            </w:r>
            <w:r w:rsidR="00163319">
              <w:t xml:space="preserve">onclusion that </w:t>
            </w:r>
            <w:r w:rsidR="004C6EF5">
              <w:t xml:space="preserve">mechanism of </w:t>
            </w:r>
            <w:r w:rsidR="00163319">
              <w:t>c</w:t>
            </w:r>
            <w:r>
              <w:t xml:space="preserve">arcinogenicity </w:t>
            </w:r>
            <w:r w:rsidR="004C6EF5">
              <w:t>is</w:t>
            </w:r>
            <w:r>
              <w:t xml:space="preserve"> threshold </w:t>
            </w:r>
            <w:r w:rsidR="004C6EF5">
              <w:t xml:space="preserve">based and </w:t>
            </w:r>
            <w:r>
              <w:t xml:space="preserve">related </w:t>
            </w:r>
            <w:r w:rsidR="004C6EF5">
              <w:t>to the</w:t>
            </w:r>
            <w:r>
              <w:t xml:space="preserve"> general liver toxicity; preventing liver toxicity is likely to prevent cancer.</w:t>
            </w:r>
          </w:p>
          <w:p w14:paraId="5BBD1F51" w14:textId="32C4257D" w:rsidR="000B6C4D" w:rsidRPr="00DA352E" w:rsidRDefault="000B6C4D" w:rsidP="000B6C4D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0B6C4D" w:rsidRPr="00DA352E" w14:paraId="00CCF280" w14:textId="77777777" w:rsidTr="00B66FC1">
        <w:tc>
          <w:tcPr>
            <w:tcW w:w="5000" w:type="pct"/>
            <w:shd w:val="clear" w:color="auto" w:fill="F2F2F2" w:themeFill="background1" w:themeFillShade="F2"/>
          </w:tcPr>
          <w:p w14:paraId="71BD28A3" w14:textId="1BF46893" w:rsidR="000B6C4D" w:rsidRPr="00DA352E" w:rsidRDefault="000B6C4D" w:rsidP="000B6C4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936748013"/>
                <w:placeholder>
                  <w:docPart w:val="EABF7BE79454492E9EC36317C02DC1B1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FD842FA1E836429788105F1C2A435E0E"/>
                </w:placeholder>
              </w:sdtPr>
              <w:sdtEndPr/>
              <w:sdtContent>
                <w:proofErr w:type="spellStart"/>
                <w:r>
                  <w:t>NA</w:t>
                </w:r>
                <w:proofErr w:type="spellEnd"/>
              </w:sdtContent>
            </w:sdt>
          </w:p>
        </w:tc>
      </w:tr>
      <w:tr w:rsidR="000B6C4D" w:rsidRPr="00DA352E" w14:paraId="2EC6C73C" w14:textId="77777777" w:rsidTr="00B66FC1">
        <w:tc>
          <w:tcPr>
            <w:tcW w:w="5000" w:type="pct"/>
          </w:tcPr>
          <w:p w14:paraId="517FCC20" w14:textId="0C947E83" w:rsidR="000B6C4D" w:rsidRPr="00DA352E" w:rsidRDefault="000B6C4D" w:rsidP="000B6C4D">
            <w:pPr>
              <w:pStyle w:val="Tabletextprimarysource"/>
            </w:pPr>
            <w:r>
              <w:t>No report.</w:t>
            </w:r>
          </w:p>
        </w:tc>
      </w:tr>
      <w:tr w:rsidR="000B6C4D" w:rsidRPr="00DA352E" w14:paraId="2465F41B" w14:textId="77777777" w:rsidTr="00B66FC1">
        <w:tc>
          <w:tcPr>
            <w:tcW w:w="5000" w:type="pct"/>
            <w:shd w:val="clear" w:color="auto" w:fill="F2F2F2" w:themeFill="background1" w:themeFillShade="F2"/>
          </w:tcPr>
          <w:p w14:paraId="1AD62569" w14:textId="5AB4F81A" w:rsidR="000B6C4D" w:rsidRPr="00DA352E" w:rsidRDefault="000B6C4D" w:rsidP="000B6C4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Pr="003365A5">
              <w:t xml:space="preserve"> </w:t>
            </w:r>
            <w:r w:rsidRPr="003365A5">
              <w:tab/>
            </w:r>
            <w:sdt>
              <w:sdtPr>
                <w:id w:val="1543090908"/>
                <w:placeholder>
                  <w:docPart w:val="AC9B549E305D41E2BB10F932C63B0A8D"/>
                </w:placeholder>
                <w:text/>
              </w:sdtPr>
              <w:sdtEndPr/>
              <w:sdtContent>
                <w:r>
                  <w:t>2011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826A614D24F04676A28CC2DCB2E36AA8"/>
                </w:placeholder>
              </w:sdtPr>
              <w:sdtEndPr/>
              <w:sdtContent>
                <w:r w:rsidRPr="008D2E0B">
                  <w:t>TWA</w:t>
                </w:r>
                <w:r>
                  <w:t>: 0.006 mg/</w:t>
                </w:r>
                <w:proofErr w:type="spellStart"/>
                <w:r>
                  <w:t>m</w:t>
                </w:r>
                <w:r w:rsidRPr="008D2E0B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0B6C4D" w:rsidRPr="00DA352E" w14:paraId="51CBD849" w14:textId="77777777" w:rsidTr="00B66FC1">
        <w:tc>
          <w:tcPr>
            <w:tcW w:w="5000" w:type="pct"/>
          </w:tcPr>
          <w:p w14:paraId="321691F3" w14:textId="71A14207" w:rsidR="0088636F" w:rsidRDefault="0088636F" w:rsidP="000B6C4D">
            <w:pPr>
              <w:pStyle w:val="Tabletextprimarysource"/>
            </w:pPr>
            <w:r>
              <w:t>Recommended health-based OEL cited as protective of fertility and liver effects identified in animals.</w:t>
            </w:r>
          </w:p>
          <w:p w14:paraId="55499541" w14:textId="0BCF7DB7" w:rsidR="000B6C4D" w:rsidRDefault="000B6C4D" w:rsidP="000B6C4D">
            <w:pPr>
              <w:pStyle w:val="Tabletextprimarysource"/>
            </w:pPr>
            <w:r>
              <w:t>Summary of additional data:</w:t>
            </w:r>
          </w:p>
          <w:p w14:paraId="4A565DDA" w14:textId="27BD7D30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Insufficient data in humans to derive TWA</w:t>
            </w:r>
          </w:p>
          <w:p w14:paraId="757F2609" w14:textId="4520F18B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Inhalation study in animals not suitable to derive TWA</w:t>
            </w:r>
          </w:p>
          <w:p w14:paraId="23065764" w14:textId="5E794E17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13 </w:t>
            </w:r>
            <w:proofErr w:type="spellStart"/>
            <w:r>
              <w:t>wk</w:t>
            </w:r>
            <w:proofErr w:type="spellEnd"/>
            <w:r>
              <w:t xml:space="preserve"> oral </w:t>
            </w:r>
            <w:r w:rsidR="007D73FC">
              <w:t xml:space="preserve">study </w:t>
            </w:r>
            <w:r>
              <w:t xml:space="preserve">in monkeys: </w:t>
            </w:r>
          </w:p>
          <w:p w14:paraId="4E1BF209" w14:textId="676D7B22" w:rsidR="000B6C4D" w:rsidRDefault="000B6C4D" w:rsidP="000B6C4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proofErr w:type="spellStart"/>
            <w:r>
              <w:t>NOAEL</w:t>
            </w:r>
            <w:proofErr w:type="spellEnd"/>
            <w:r>
              <w:t xml:space="preserve"> of 0.01 mg/kg/d for fertility effects (necrosis of ovary surface epithelium cells)</w:t>
            </w:r>
          </w:p>
          <w:p w14:paraId="573C182A" w14:textId="43E54BB5" w:rsidR="000B6C4D" w:rsidRDefault="000B6C4D" w:rsidP="000B6C4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proofErr w:type="spellStart"/>
            <w:r>
              <w:t>NOAEL</w:t>
            </w:r>
            <w:proofErr w:type="spellEnd"/>
            <w:r>
              <w:t xml:space="preserve"> of 0.1 mg/kg/d for liver histopathology</w:t>
            </w:r>
          </w:p>
          <w:p w14:paraId="1BDF2E26" w14:textId="0A90C2A6" w:rsidR="000B6C4D" w:rsidRDefault="000B6C4D" w:rsidP="000B6C4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proofErr w:type="spellStart"/>
            <w:r>
              <w:t>LOAEL</w:t>
            </w:r>
            <w:proofErr w:type="spellEnd"/>
            <w:r>
              <w:t xml:space="preserve"> 0.1 mg/kg/d for degenerative lesions in ovarian follicles</w:t>
            </w:r>
          </w:p>
          <w:p w14:paraId="10726C32" w14:textId="77777777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TWA derived from </w:t>
            </w:r>
            <w:proofErr w:type="spellStart"/>
            <w:r>
              <w:t>NOAEL</w:t>
            </w:r>
            <w:proofErr w:type="spellEnd"/>
            <w:r>
              <w:t xml:space="preserve"> of 0.01 mg/kg/d:</w:t>
            </w:r>
          </w:p>
          <w:p w14:paraId="6E88230F" w14:textId="2D21E887" w:rsidR="000B6C4D" w:rsidRDefault="000B6C4D" w:rsidP="000B6C4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application of an uncertainty factor of 12 for extrapolation from sub</w:t>
            </w:r>
            <w:r w:rsidR="005E3E1E">
              <w:t>-</w:t>
            </w:r>
            <w:r>
              <w:t xml:space="preserve">chronic to chronic exposure and intra- and interspecies uncertainty </w:t>
            </w:r>
            <w:r w:rsidR="00163319">
              <w:t>results in</w:t>
            </w:r>
            <w:r>
              <w:t xml:space="preserve"> 0.</w:t>
            </w:r>
            <w:r w:rsidR="000A3D0B">
              <w:t>000</w:t>
            </w:r>
            <w:r>
              <w:t>8 mg/kg/d</w:t>
            </w:r>
          </w:p>
          <w:p w14:paraId="4249386F" w14:textId="6B715567" w:rsidR="000B6C4D" w:rsidRDefault="000B6C4D" w:rsidP="000B6C4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conversion of the oral to </w:t>
            </w:r>
            <w:r w:rsidR="005E3E1E">
              <w:t xml:space="preserve">inhalational </w:t>
            </w:r>
            <w:r>
              <w:t>exposure assuming 70 kg worker inhaling 10 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results in 0.006 mg/</w:t>
            </w:r>
            <w:proofErr w:type="spellStart"/>
            <w:r>
              <w:t>m</w:t>
            </w:r>
            <w:r w:rsidRPr="00C373EB">
              <w:rPr>
                <w:vertAlign w:val="superscript"/>
              </w:rPr>
              <w:t>3</w:t>
            </w:r>
            <w:proofErr w:type="spellEnd"/>
          </w:p>
          <w:p w14:paraId="2D1840E3" w14:textId="23A66E49" w:rsidR="000B6C4D" w:rsidRDefault="000B6C4D" w:rsidP="000B6C4D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 xml:space="preserve">Considered protective of hepatotoxic effects based on comparison of above calculation and substituting the </w:t>
            </w:r>
            <w:proofErr w:type="spellStart"/>
            <w:r>
              <w:t>NOAEL</w:t>
            </w:r>
            <w:proofErr w:type="spellEnd"/>
            <w:r>
              <w:t xml:space="preserve"> of 0.05 mg/kg/d in pigs for hepato</w:t>
            </w:r>
            <w:r w:rsidR="00485D4B">
              <w:t>to</w:t>
            </w:r>
            <w:r>
              <w:t>xicity and the lowest dose at which toxicity in humans was observed 0.8 mg/kg/d (liver and other tissues and organs).</w:t>
            </w:r>
          </w:p>
          <w:p w14:paraId="765263CE" w14:textId="640BA079" w:rsidR="00EB62F1" w:rsidRPr="00DA352E" w:rsidRDefault="00EB62F1" w:rsidP="00EB62F1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</w:tc>
      </w:tr>
    </w:tbl>
    <w:p w14:paraId="14354B81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26A9D6D7" w14:textId="77777777" w:rsidTr="00850D82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5B9E455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61D609C4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B41A02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4FA922D3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8C4433A" w14:textId="77777777" w:rsidTr="00850D82">
        <w:trPr>
          <w:cantSplit/>
        </w:trPr>
        <w:tc>
          <w:tcPr>
            <w:tcW w:w="1495" w:type="dxa"/>
          </w:tcPr>
          <w:p w14:paraId="1A143658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14758EB6" w14:textId="3ECA131B" w:rsidR="004966BF" w:rsidRPr="00CE617F" w:rsidRDefault="008C70A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50D8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CF0A432" w14:textId="6889976F" w:rsidR="004966BF" w:rsidRPr="004C23F4" w:rsidRDefault="00850D8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1988</w:t>
            </w:r>
          </w:p>
        </w:tc>
        <w:tc>
          <w:tcPr>
            <w:tcW w:w="6447" w:type="dxa"/>
          </w:tcPr>
          <w:p w14:paraId="42C914AC" w14:textId="77777777" w:rsidR="004966BF" w:rsidRDefault="00850D82" w:rsidP="00121F6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proofErr w:type="spellStart"/>
            <w:r w:rsidRPr="00BC4155">
              <w:t>NOAEL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of 0.08 mg/kg/d in rats for liver effects; chronic feeding study</w:t>
            </w:r>
          </w:p>
          <w:p w14:paraId="36D80854" w14:textId="782F97E0" w:rsidR="00850D82" w:rsidRPr="004C23F4" w:rsidRDefault="00850D82" w:rsidP="00121F66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Oral </w:t>
            </w:r>
            <w:r w:rsidRPr="00BC4155">
              <w:t>slope</w:t>
            </w:r>
            <w:r>
              <w:rPr>
                <w:rStyle w:val="checkbox"/>
                <w:rFonts w:ascii="Arial" w:hAnsi="Arial" w:cs="Arial"/>
              </w:rPr>
              <w:t xml:space="preserve"> factor of 1.6 per mg/kg/d (carcinogenic risk)</w:t>
            </w:r>
            <w:r w:rsidR="00502464">
              <w:rPr>
                <w:rStyle w:val="checkbox"/>
                <w:rFonts w:ascii="Arial" w:hAnsi="Arial" w:cs="Arial"/>
              </w:rPr>
              <w:t xml:space="preserve">; calculated </w:t>
            </w:r>
            <w:r w:rsidR="00BC4155">
              <w:rPr>
                <w:rStyle w:val="checkbox"/>
                <w:rFonts w:ascii="Arial" w:hAnsi="Arial" w:cs="Arial"/>
              </w:rPr>
              <w:t xml:space="preserve">to a </w:t>
            </w:r>
            <w:r w:rsidR="00502464">
              <w:rPr>
                <w:rStyle w:val="checkbox"/>
                <w:rFonts w:ascii="Arial" w:hAnsi="Arial" w:cs="Arial"/>
              </w:rPr>
              <w:t>minimal risk</w:t>
            </w:r>
            <w:r w:rsidR="005E3E1E">
              <w:rPr>
                <w:rStyle w:val="checkbox"/>
                <w:rFonts w:ascii="Arial" w:hAnsi="Arial" w:cs="Arial"/>
              </w:rPr>
              <w:t xml:space="preserve"> inhalation </w:t>
            </w:r>
            <w:r w:rsidR="00502464">
              <w:rPr>
                <w:rStyle w:val="checkbox"/>
                <w:rFonts w:ascii="Arial" w:hAnsi="Arial" w:cs="Arial"/>
              </w:rPr>
              <w:t>of 0.0003</w:t>
            </w:r>
            <w:r w:rsidR="005E3E1E">
              <w:rPr>
                <w:rStyle w:val="checkbox"/>
                <w:rFonts w:ascii="Arial" w:hAnsi="Arial" w:cs="Arial"/>
              </w:rPr>
              <w:t> </w:t>
            </w:r>
            <w:r w:rsidR="00502464">
              <w:rPr>
                <w:rStyle w:val="checkbox"/>
                <w:rFonts w:ascii="Arial" w:hAnsi="Arial" w:cs="Arial"/>
              </w:rPr>
              <w:t>mg/</w:t>
            </w:r>
            <w:proofErr w:type="spellStart"/>
            <w:r w:rsidR="00502464">
              <w:rPr>
                <w:rStyle w:val="checkbox"/>
                <w:rFonts w:ascii="Arial" w:hAnsi="Arial" w:cs="Arial"/>
              </w:rPr>
              <w:t>m</w:t>
            </w:r>
            <w:r w:rsidR="00502464"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 w:rsidR="00502464">
              <w:rPr>
                <w:rStyle w:val="checkbox"/>
                <w:rFonts w:ascii="Arial" w:hAnsi="Arial" w:cs="Arial"/>
              </w:rPr>
              <w:t xml:space="preserve"> (0.</w:t>
            </w:r>
            <w:r w:rsidR="00BC4155">
              <w:rPr>
                <w:rStyle w:val="checkbox"/>
                <w:rFonts w:ascii="Arial" w:hAnsi="Arial" w:cs="Arial"/>
              </w:rPr>
              <w:t>3</w:t>
            </w:r>
            <w:r w:rsidR="00CF165D">
              <w:rPr>
                <w:rStyle w:val="checkbox"/>
                <w:rFonts w:ascii="Arial" w:hAnsi="Arial" w:cs="Arial"/>
              </w:rPr>
              <w:t> </w:t>
            </w:r>
            <w:r w:rsidR="00502464">
              <w:rPr>
                <w:rStyle w:val="checkbox"/>
                <w:rFonts w:ascii="Arial" w:hAnsi="Arial" w:cs="Arial"/>
              </w:rPr>
              <w:t>ppb)</w:t>
            </w:r>
            <w:r w:rsidR="00346E54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212DB63D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BE306C4" w14:textId="77777777" w:rsidTr="00850D82">
        <w:trPr>
          <w:trHeight w:val="454"/>
          <w:tblHeader/>
        </w:trPr>
        <w:tc>
          <w:tcPr>
            <w:tcW w:w="6603" w:type="dxa"/>
            <w:vAlign w:val="center"/>
          </w:tcPr>
          <w:p w14:paraId="71B5079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8F220D9" w14:textId="4BD9F911" w:rsidR="002E0D61" w:rsidRDefault="00850D8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006B7BA" w14:textId="77777777" w:rsidTr="00850D8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07848F9" w14:textId="01CB2866" w:rsidR="008A36CF" w:rsidRPr="006901A2" w:rsidRDefault="00850D82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6194442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335004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90C564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359257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DFF5FD5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E094AD1" w14:textId="77777777" w:rsidTr="00812887">
        <w:trPr>
          <w:cantSplit/>
        </w:trPr>
        <w:tc>
          <w:tcPr>
            <w:tcW w:w="3227" w:type="dxa"/>
          </w:tcPr>
          <w:p w14:paraId="3957C5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7485C49" w14:textId="5B534D9E" w:rsidR="00687890" w:rsidRPr="00DD2F9B" w:rsidRDefault="008D2E0B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1108B2C1" w14:textId="77777777" w:rsidTr="00812887">
        <w:trPr>
          <w:cantSplit/>
        </w:trPr>
        <w:tc>
          <w:tcPr>
            <w:tcW w:w="3227" w:type="dxa"/>
          </w:tcPr>
          <w:p w14:paraId="3587F5CA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3BED1343" w14:textId="72152C12" w:rsidR="007925F0" w:rsidRPr="00DD2F9B" w:rsidRDefault="008D2E0B" w:rsidP="00DD2F9B">
            <w:pPr>
              <w:pStyle w:val="Tablefont"/>
            </w:pPr>
            <w:r w:rsidRPr="008D2E0B">
              <w:t xml:space="preserve">Carcinogenicity – category </w:t>
            </w:r>
            <w:proofErr w:type="spellStart"/>
            <w:r w:rsidRPr="008D2E0B">
              <w:t>1B</w:t>
            </w:r>
            <w:proofErr w:type="spellEnd"/>
          </w:p>
        </w:tc>
      </w:tr>
      <w:tr w:rsidR="00AF483F" w:rsidRPr="004C23F4" w14:paraId="75D10165" w14:textId="77777777" w:rsidTr="00812887">
        <w:trPr>
          <w:cantSplit/>
        </w:trPr>
        <w:tc>
          <w:tcPr>
            <w:tcW w:w="3227" w:type="dxa"/>
          </w:tcPr>
          <w:p w14:paraId="15BE5F8C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436431A3" w14:textId="1600A0D9" w:rsidR="00AF483F" w:rsidRPr="00DD2F9B" w:rsidRDefault="008D2E0B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5406D54" w14:textId="77777777" w:rsidTr="00812887">
        <w:trPr>
          <w:cantSplit/>
        </w:trPr>
        <w:tc>
          <w:tcPr>
            <w:tcW w:w="3227" w:type="dxa"/>
          </w:tcPr>
          <w:p w14:paraId="6E2F6EF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CC0A32B" w14:textId="7B959A41" w:rsidR="00687890" w:rsidRPr="00DD2F9B" w:rsidRDefault="008D2E0B" w:rsidP="00DD2F9B">
            <w:pPr>
              <w:pStyle w:val="Tablefont"/>
            </w:pPr>
            <w:r w:rsidRPr="008D2E0B">
              <w:t xml:space="preserve">Carcinogenicity – category </w:t>
            </w:r>
            <w:proofErr w:type="spellStart"/>
            <w:r w:rsidRPr="008D2E0B">
              <w:t>1B</w:t>
            </w:r>
            <w:proofErr w:type="spellEnd"/>
          </w:p>
        </w:tc>
      </w:tr>
      <w:tr w:rsidR="00E41A26" w:rsidRPr="004C23F4" w14:paraId="738D9EB9" w14:textId="77777777" w:rsidTr="00812887">
        <w:trPr>
          <w:cantSplit/>
        </w:trPr>
        <w:tc>
          <w:tcPr>
            <w:tcW w:w="3227" w:type="dxa"/>
          </w:tcPr>
          <w:p w14:paraId="43AF1F0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045745B" w14:textId="3B666B68" w:rsidR="00E41A26" w:rsidRPr="00DD2F9B" w:rsidRDefault="008D2E0B" w:rsidP="00DD2F9B">
            <w:pPr>
              <w:pStyle w:val="Tablefont"/>
            </w:pPr>
            <w:proofErr w:type="spellStart"/>
            <w:r w:rsidRPr="008D2E0B">
              <w:t>Carc</w:t>
            </w:r>
            <w:proofErr w:type="spellEnd"/>
            <w:r w:rsidRPr="008D2E0B">
              <w:t xml:space="preserve">. </w:t>
            </w:r>
            <w:proofErr w:type="spellStart"/>
            <w:r w:rsidRPr="008D2E0B">
              <w:t>1B</w:t>
            </w:r>
            <w:proofErr w:type="spellEnd"/>
          </w:p>
        </w:tc>
      </w:tr>
      <w:tr w:rsidR="002E0D61" w:rsidRPr="004C23F4" w14:paraId="4394DA15" w14:textId="77777777" w:rsidTr="00812887">
        <w:trPr>
          <w:cantSplit/>
        </w:trPr>
        <w:tc>
          <w:tcPr>
            <w:tcW w:w="3227" w:type="dxa"/>
          </w:tcPr>
          <w:p w14:paraId="1B0F0CFB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2B71B0B5" w14:textId="307E0D3C" w:rsidR="002E0D61" w:rsidRPr="00DD2F9B" w:rsidRDefault="00795C8E" w:rsidP="00DD2F9B">
            <w:pPr>
              <w:pStyle w:val="Tablefont"/>
            </w:pPr>
            <w:r w:rsidRPr="00795C8E">
              <w:t xml:space="preserve">Carcinogenicity – </w:t>
            </w:r>
            <w:proofErr w:type="spellStart"/>
            <w:r w:rsidRPr="00795C8E">
              <w:t>A3</w:t>
            </w:r>
            <w:proofErr w:type="spellEnd"/>
            <w:r>
              <w:t xml:space="preserve">, </w:t>
            </w:r>
            <w:r w:rsidRPr="00795C8E">
              <w:t>Skin</w:t>
            </w:r>
          </w:p>
        </w:tc>
      </w:tr>
      <w:tr w:rsidR="002E0D61" w:rsidRPr="004C23F4" w14:paraId="7C27B198" w14:textId="77777777" w:rsidTr="00812887">
        <w:trPr>
          <w:cantSplit/>
        </w:trPr>
        <w:tc>
          <w:tcPr>
            <w:tcW w:w="3227" w:type="dxa"/>
          </w:tcPr>
          <w:p w14:paraId="407F38A9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6BAD8DD9" w14:textId="23118089" w:rsidR="002E0D61" w:rsidRPr="00DD2F9B" w:rsidRDefault="00795C8E" w:rsidP="00DD2F9B">
            <w:pPr>
              <w:pStyle w:val="Tablefont"/>
            </w:pPr>
            <w:r w:rsidRPr="00795C8E">
              <w:t>Carcinogenicity – 4</w:t>
            </w:r>
            <w:r>
              <w:t xml:space="preserve">, </w:t>
            </w:r>
            <w:r w:rsidRPr="00795C8E">
              <w:t>H (skin)</w:t>
            </w:r>
          </w:p>
        </w:tc>
      </w:tr>
      <w:tr w:rsidR="002E0D61" w:rsidRPr="004C23F4" w14:paraId="27A341E1" w14:textId="77777777" w:rsidTr="00812887">
        <w:trPr>
          <w:cantSplit/>
        </w:trPr>
        <w:tc>
          <w:tcPr>
            <w:tcW w:w="3227" w:type="dxa"/>
          </w:tcPr>
          <w:p w14:paraId="19D5067D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1C669D0A" w14:textId="736A1633" w:rsidR="002E0D61" w:rsidRPr="00DD2F9B" w:rsidRDefault="00795C8E" w:rsidP="00DD2F9B">
            <w:pPr>
              <w:pStyle w:val="Tablefont"/>
            </w:pPr>
            <w:r w:rsidRPr="00795C8E">
              <w:t>Skin</w:t>
            </w:r>
          </w:p>
        </w:tc>
      </w:tr>
      <w:tr w:rsidR="002E0D61" w:rsidRPr="004C23F4" w14:paraId="7C5B67C2" w14:textId="77777777" w:rsidTr="00812887">
        <w:trPr>
          <w:cantSplit/>
        </w:trPr>
        <w:tc>
          <w:tcPr>
            <w:tcW w:w="3227" w:type="dxa"/>
          </w:tcPr>
          <w:p w14:paraId="3D2325E3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08714471" w14:textId="25DA0AC6" w:rsidR="002E0D61" w:rsidRPr="00DD2F9B" w:rsidRDefault="00795C8E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3B6472E0" w14:textId="77777777" w:rsidTr="00812887">
        <w:trPr>
          <w:cantSplit/>
        </w:trPr>
        <w:tc>
          <w:tcPr>
            <w:tcW w:w="3227" w:type="dxa"/>
          </w:tcPr>
          <w:p w14:paraId="59A86CF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D694AB9" w14:textId="038CFD71" w:rsidR="00386093" w:rsidRPr="00DD2F9B" w:rsidRDefault="00795C8E" w:rsidP="00DD2F9B">
            <w:pPr>
              <w:pStyle w:val="Tablefont"/>
            </w:pPr>
            <w:r w:rsidRPr="00795C8E">
              <w:t xml:space="preserve">Carcinogenicity – Group </w:t>
            </w:r>
            <w:proofErr w:type="spellStart"/>
            <w:r w:rsidRPr="00795C8E">
              <w:t>2B</w:t>
            </w:r>
            <w:proofErr w:type="spellEnd"/>
          </w:p>
        </w:tc>
      </w:tr>
      <w:tr w:rsidR="00386093" w:rsidRPr="004C23F4" w14:paraId="23D3CEF5" w14:textId="77777777" w:rsidTr="00812887">
        <w:trPr>
          <w:cantSplit/>
        </w:trPr>
        <w:tc>
          <w:tcPr>
            <w:tcW w:w="3227" w:type="dxa"/>
          </w:tcPr>
          <w:p w14:paraId="1797C2C9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34185078" w14:textId="29265C1C" w:rsidR="00386093" w:rsidRPr="00DD2F9B" w:rsidRDefault="00795C8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FB74BC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5E38CD5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A85E49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59E71F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04871C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891"/>
              <w:gridCol w:w="2989"/>
              <w:gridCol w:w="890"/>
              <w:gridCol w:w="890"/>
              <w:gridCol w:w="3150"/>
            </w:tblGrid>
            <w:tr w:rsidR="002E5212" w:rsidRPr="002E5212" w14:paraId="4A24B128" w14:textId="77777777" w:rsidTr="0000022E">
              <w:trPr>
                <w:trHeight w:val="342"/>
              </w:trPr>
              <w:tc>
                <w:tcPr>
                  <w:tcW w:w="8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3AC188" w14:textId="77777777" w:rsidR="002E5212" w:rsidRPr="002E5212" w:rsidRDefault="002E5212" w:rsidP="002E52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1F327C" w14:textId="77777777" w:rsidR="002E5212" w:rsidRPr="002E5212" w:rsidRDefault="002E5212" w:rsidP="002E521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E07BBD" w14:textId="77777777" w:rsidR="002E5212" w:rsidRPr="002E5212" w:rsidRDefault="002E5212" w:rsidP="002E521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F7E071" w14:textId="77777777" w:rsidR="002E5212" w:rsidRPr="002E5212" w:rsidRDefault="002E5212" w:rsidP="002E52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6A46A3" w14:textId="77777777" w:rsidR="002E5212" w:rsidRPr="002E5212" w:rsidRDefault="002E5212" w:rsidP="002E52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E5212" w:rsidRPr="002E5212" w14:paraId="77DF5EC8" w14:textId="77777777" w:rsidTr="0000022E">
              <w:trPr>
                <w:trHeight w:val="342"/>
              </w:trPr>
              <w:tc>
                <w:tcPr>
                  <w:tcW w:w="8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AD327B" w14:textId="77777777" w:rsidR="002E5212" w:rsidRPr="002E5212" w:rsidRDefault="002E5212" w:rsidP="002E52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76888E" w14:textId="77777777" w:rsidR="002E5212" w:rsidRPr="002E5212" w:rsidRDefault="002E5212" w:rsidP="002E521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616A68" w14:textId="77777777" w:rsidR="002E5212" w:rsidRPr="002E5212" w:rsidRDefault="002E5212" w:rsidP="002E521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3BE1D0" w14:textId="77777777" w:rsidR="002E5212" w:rsidRPr="002E5212" w:rsidRDefault="002E5212" w:rsidP="002E52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52ADB9" w14:textId="77777777" w:rsidR="002E5212" w:rsidRPr="002E5212" w:rsidRDefault="002E5212" w:rsidP="002E52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E5212" w:rsidRPr="002E5212" w14:paraId="09AB8D90" w14:textId="77777777" w:rsidTr="0000022E">
              <w:trPr>
                <w:trHeight w:val="342"/>
              </w:trPr>
              <w:tc>
                <w:tcPr>
                  <w:tcW w:w="8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4410EC" w14:textId="77777777" w:rsidR="002E5212" w:rsidRPr="002E5212" w:rsidRDefault="002E5212" w:rsidP="002E52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4A07BA" w14:textId="77777777" w:rsidR="002E5212" w:rsidRPr="002E5212" w:rsidRDefault="002E5212" w:rsidP="002E521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1723D2" w14:textId="77777777" w:rsidR="002E5212" w:rsidRPr="002E5212" w:rsidRDefault="002E5212" w:rsidP="002E521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C5DA13" w14:textId="77777777" w:rsidR="002E5212" w:rsidRPr="002E5212" w:rsidRDefault="002E5212" w:rsidP="002E52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4BE560" w14:textId="77777777" w:rsidR="002E5212" w:rsidRPr="002E5212" w:rsidRDefault="002E5212" w:rsidP="002E52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E5212" w:rsidRPr="002E5212" w14:paraId="7E84BA85" w14:textId="77777777" w:rsidTr="0000022E">
              <w:trPr>
                <w:trHeight w:val="342"/>
              </w:trPr>
              <w:tc>
                <w:tcPr>
                  <w:tcW w:w="8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628031" w14:textId="77777777" w:rsidR="002E5212" w:rsidRPr="002E5212" w:rsidRDefault="002E5212" w:rsidP="002E52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DC9816" w14:textId="77777777" w:rsidR="002E5212" w:rsidRPr="002E5212" w:rsidRDefault="002E5212" w:rsidP="002E521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C37E59" w14:textId="77777777" w:rsidR="002E5212" w:rsidRPr="002E5212" w:rsidRDefault="002E5212" w:rsidP="002E521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D30E00" w14:textId="77777777" w:rsidR="002E5212" w:rsidRPr="002E5212" w:rsidRDefault="002E5212" w:rsidP="002E52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CCDE9A" w14:textId="77777777" w:rsidR="002E5212" w:rsidRPr="002E5212" w:rsidRDefault="002E5212" w:rsidP="002E52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E5212" w:rsidRPr="002E5212" w14:paraId="265B81E2" w14:textId="77777777" w:rsidTr="0000022E">
              <w:trPr>
                <w:trHeight w:val="342"/>
              </w:trPr>
              <w:tc>
                <w:tcPr>
                  <w:tcW w:w="8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F474D4" w14:textId="77777777" w:rsidR="002E5212" w:rsidRPr="002E5212" w:rsidRDefault="002E5212" w:rsidP="002E52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32D43C" w14:textId="77777777" w:rsidR="002E5212" w:rsidRPr="002E5212" w:rsidRDefault="002E5212" w:rsidP="002E521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04FF3A" w14:textId="77777777" w:rsidR="002E5212" w:rsidRPr="002E5212" w:rsidRDefault="002E5212" w:rsidP="002E521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C0309B" w14:textId="77777777" w:rsidR="002E5212" w:rsidRPr="002E5212" w:rsidRDefault="002E5212" w:rsidP="002E52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1590AA" w14:textId="77777777" w:rsidR="002E5212" w:rsidRPr="002E5212" w:rsidRDefault="002E5212" w:rsidP="002E52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E5212" w:rsidRPr="002E5212" w14:paraId="6FB58CAE" w14:textId="77777777" w:rsidTr="0000022E">
              <w:trPr>
                <w:trHeight w:val="342"/>
              </w:trPr>
              <w:tc>
                <w:tcPr>
                  <w:tcW w:w="8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927074" w14:textId="77777777" w:rsidR="002E5212" w:rsidRPr="002E5212" w:rsidRDefault="002E5212" w:rsidP="002E52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F0D234" w14:textId="77777777" w:rsidR="002E5212" w:rsidRPr="002E5212" w:rsidRDefault="002E5212" w:rsidP="002E521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4BCFA57" w14:textId="7DEF0301" w:rsidR="002E5212" w:rsidRPr="002E5212" w:rsidRDefault="0089022C" w:rsidP="002E521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</w:t>
                  </w:r>
                  <w:r w:rsidR="002E5212" w:rsidRPr="002E5212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es</w:t>
                  </w:r>
                </w:p>
              </w:tc>
              <w:tc>
                <w:tcPr>
                  <w:tcW w:w="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DCD98F" w14:textId="77777777" w:rsidR="002E5212" w:rsidRPr="002E5212" w:rsidRDefault="002E5212" w:rsidP="002E521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3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9329BF" w14:textId="77777777" w:rsidR="002E5212" w:rsidRPr="002E5212" w:rsidRDefault="002E5212" w:rsidP="002E52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0022E" w:rsidRPr="002E5212" w14:paraId="5F0FC0BB" w14:textId="77777777" w:rsidTr="0000022E">
              <w:trPr>
                <w:trHeight w:val="342"/>
              </w:trPr>
              <w:tc>
                <w:tcPr>
                  <w:tcW w:w="8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E2D8A3" w14:textId="77777777" w:rsidR="0000022E" w:rsidRPr="002E5212" w:rsidRDefault="0000022E" w:rsidP="002E52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9DAE91" w14:textId="77777777" w:rsidR="0000022E" w:rsidRPr="002E5212" w:rsidRDefault="0000022E" w:rsidP="002E521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93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7FBA03" w14:textId="69905DF0" w:rsidR="0000022E" w:rsidRPr="002E5212" w:rsidRDefault="0000022E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E5212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insufficient data to assign a skin notation</w:t>
                  </w:r>
                </w:p>
              </w:tc>
            </w:tr>
          </w:tbl>
          <w:p w14:paraId="6DA078D5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6409BA8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75CC4B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7A04BC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B870F25" w14:textId="220BA0D5" w:rsidR="00EB3D1B" w:rsidRDefault="00795C8E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1CF3D59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92A462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1558FF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A7FF015" w14:textId="6178EB75" w:rsidR="001B79E5" w:rsidRDefault="00795C8E" w:rsidP="001B79E5">
                <w:pPr>
                  <w:pStyle w:val="Tablefont"/>
                </w:pPr>
                <w:r w:rsidRPr="00795C8E">
                  <w:t>284.8</w:t>
                </w:r>
                <w:r>
                  <w:t>0</w:t>
                </w:r>
              </w:p>
            </w:tc>
          </w:sdtContent>
        </w:sdt>
      </w:tr>
      <w:tr w:rsidR="00A31D99" w:rsidRPr="004C23F4" w14:paraId="5053B64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5D2D914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64DEBF09" w14:textId="68EF3A03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903CDE">
                  <w:t>11.6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903CDE">
                  <w:t>0.09</w:t>
                </w:r>
              </w:sdtContent>
            </w:sdt>
            <w:r w:rsidRPr="00903CDE">
              <w:t xml:space="preserve"> </w:t>
            </w:r>
            <w:r>
              <w:t>ppm</w:t>
            </w:r>
          </w:p>
        </w:tc>
      </w:tr>
      <w:tr w:rsidR="00687890" w:rsidRPr="004C23F4" w14:paraId="450B712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683AA5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42B87F3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A8BDD21" w14:textId="77777777" w:rsidTr="00EA6243">
        <w:trPr>
          <w:cantSplit/>
        </w:trPr>
        <w:tc>
          <w:tcPr>
            <w:tcW w:w="4077" w:type="dxa"/>
            <w:vAlign w:val="center"/>
          </w:tcPr>
          <w:p w14:paraId="630008E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3637BA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BFF2B35" w14:textId="77777777" w:rsidTr="00EA6243">
        <w:trPr>
          <w:cantSplit/>
        </w:trPr>
        <w:tc>
          <w:tcPr>
            <w:tcW w:w="4077" w:type="dxa"/>
            <w:vAlign w:val="center"/>
          </w:tcPr>
          <w:p w14:paraId="12AF39E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74DBAAB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6914C1C" w14:textId="77777777" w:rsidTr="00EA6243">
        <w:trPr>
          <w:cantSplit/>
        </w:trPr>
        <w:tc>
          <w:tcPr>
            <w:tcW w:w="4077" w:type="dxa"/>
            <w:vAlign w:val="center"/>
          </w:tcPr>
          <w:p w14:paraId="7729581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8260B6F" w14:textId="77777777" w:rsidR="00E06F40" w:rsidRPr="00A006A0" w:rsidRDefault="008C70A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7F219D2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D5A4E2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7967F8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3A6B42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C0DE1A9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C741B8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D511E8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B96F37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90661B7" w14:textId="3FF27093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52D59656" w14:textId="59577567" w:rsidR="00903CDE" w:rsidRDefault="00903CDE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(2001) </w:t>
      </w:r>
      <w:r w:rsidRPr="00903CDE">
        <w:t>Hexachlorobenzene</w:t>
      </w:r>
      <w:r>
        <w:t xml:space="preserve"> – MAK value documentation.</w:t>
      </w:r>
    </w:p>
    <w:p w14:paraId="577EC642" w14:textId="40FBE6AB" w:rsidR="00903CDE" w:rsidRDefault="00903CDE" w:rsidP="00084859">
      <w:r w:rsidRPr="002022B6">
        <w:t>EU Scientific Committee on Occupational Exposure Limits (</w:t>
      </w:r>
      <w:proofErr w:type="spellStart"/>
      <w:r w:rsidRPr="002022B6">
        <w:t>SCOEL</w:t>
      </w:r>
      <w:proofErr w:type="spellEnd"/>
      <w:r w:rsidRPr="002022B6">
        <w:t>)</w:t>
      </w:r>
      <w:r>
        <w:t xml:space="preserve"> (2016) Recommendation from the Scientific Committee on Occupational Exposure Limits for </w:t>
      </w:r>
      <w:r w:rsidRPr="00903CDE">
        <w:t>HEXACHLOROBENZENE</w:t>
      </w:r>
      <w:r>
        <w:t xml:space="preserve">. </w:t>
      </w:r>
      <w:proofErr w:type="spellStart"/>
      <w:r>
        <w:t>SCOEL</w:t>
      </w:r>
      <w:proofErr w:type="spellEnd"/>
      <w:r>
        <w:t>/</w:t>
      </w:r>
      <w:r w:rsidRPr="00903CDE">
        <w:t>REC/188</w:t>
      </w:r>
      <w:r>
        <w:t>.</w:t>
      </w:r>
    </w:p>
    <w:p w14:paraId="475552ED" w14:textId="77777777" w:rsidR="00346E54" w:rsidRDefault="00346E54" w:rsidP="00346E54">
      <w:r>
        <w:t xml:space="preserve">European Chemicals Agency (ECHA) (2019) </w:t>
      </w:r>
      <w:r w:rsidRPr="00B961B2">
        <w:t>Hexachlorobenzene</w:t>
      </w:r>
      <w:r>
        <w:t xml:space="preserve"> – REACH assessment.</w:t>
      </w:r>
    </w:p>
    <w:p w14:paraId="3AA6E1D3" w14:textId="5726268D" w:rsidR="00903CDE" w:rsidRDefault="00903CDE" w:rsidP="00084859">
      <w:r w:rsidRPr="002022B6">
        <w:lastRenderedPageBreak/>
        <w:t>Health Council of the Netherlands</w:t>
      </w:r>
      <w:r>
        <w:t xml:space="preserve"> (</w:t>
      </w:r>
      <w:proofErr w:type="spellStart"/>
      <w:r>
        <w:t>HCOTN</w:t>
      </w:r>
      <w:proofErr w:type="spellEnd"/>
      <w:r>
        <w:t xml:space="preserve">) (2011) </w:t>
      </w:r>
      <w:r w:rsidRPr="00903CDE">
        <w:t>Hexachlorobenzene</w:t>
      </w:r>
      <w:r w:rsidRPr="005F7416">
        <w:t xml:space="preserve">. Health-based calculated occupational cancer risk values. The Hague: Health Council of the Netherlands; publication no. </w:t>
      </w:r>
      <w:r w:rsidRPr="00903CDE">
        <w:t>2011/35</w:t>
      </w:r>
      <w:r>
        <w:t>.</w:t>
      </w:r>
    </w:p>
    <w:p w14:paraId="25BDCF69" w14:textId="77777777" w:rsidR="00903CDE" w:rsidRDefault="00903CDE" w:rsidP="00903CDE"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079B5204" w14:textId="77777777" w:rsidR="00903CDE" w:rsidRPr="00351FE0" w:rsidRDefault="00903CDE" w:rsidP="00084859"/>
    <w:sectPr w:rsidR="00903CDE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85244" w14:textId="77777777" w:rsidR="00025B09" w:rsidRDefault="00025B09" w:rsidP="00F43AD5">
      <w:pPr>
        <w:spacing w:after="0" w:line="240" w:lineRule="auto"/>
      </w:pPr>
      <w:r>
        <w:separator/>
      </w:r>
    </w:p>
  </w:endnote>
  <w:endnote w:type="continuationSeparator" w:id="0">
    <w:p w14:paraId="293F15FF" w14:textId="77777777" w:rsidR="00025B09" w:rsidRDefault="00025B0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700C3" w14:textId="77777777" w:rsidR="00BF1FBD" w:rsidRDefault="00BF1F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10944F2" w14:textId="12BF5E44" w:rsidR="008A36CF" w:rsidRDefault="00DA79C5" w:rsidP="0034744C">
        <w:pPr>
          <w:pStyle w:val="Footer"/>
          <w:rPr>
            <w:sz w:val="18"/>
            <w:szCs w:val="18"/>
          </w:rPr>
        </w:pPr>
        <w:r w:rsidRPr="00DA79C5">
          <w:rPr>
            <w:b/>
            <w:sz w:val="18"/>
            <w:szCs w:val="18"/>
          </w:rPr>
          <w:t>Hexachlorobenzene</w:t>
        </w:r>
        <w:r w:rsidR="008A36CF">
          <w:rPr>
            <w:b/>
            <w:sz w:val="18"/>
            <w:szCs w:val="18"/>
          </w:rPr>
          <w:t xml:space="preserve"> (</w:t>
        </w:r>
        <w:r w:rsidRPr="00DA79C5">
          <w:rPr>
            <w:b/>
            <w:sz w:val="18"/>
            <w:szCs w:val="18"/>
          </w:rPr>
          <w:t>118-74-1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BA6BE80" w14:textId="02E51E4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F1FBD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E8EA9" w14:textId="77777777" w:rsidR="00BF1FBD" w:rsidRDefault="00BF1F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E4C3AB" w14:textId="77777777" w:rsidR="00025B09" w:rsidRDefault="00025B09" w:rsidP="00F43AD5">
      <w:pPr>
        <w:spacing w:after="0" w:line="240" w:lineRule="auto"/>
      </w:pPr>
      <w:r>
        <w:separator/>
      </w:r>
    </w:p>
  </w:footnote>
  <w:footnote w:type="continuationSeparator" w:id="0">
    <w:p w14:paraId="7295C970" w14:textId="77777777" w:rsidR="00025B09" w:rsidRDefault="00025B0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E557E" w14:textId="1D92D7C1" w:rsidR="00BF1FBD" w:rsidRDefault="00BF1F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53B66" w14:textId="256BBFE9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F2736" w14:textId="04B48D06" w:rsidR="00BF1FBD" w:rsidRDefault="00BF1FB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64C32" w14:textId="7F5BE6AA" w:rsidR="00BF1FBD" w:rsidRDefault="00BF1FB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CEB5E" w14:textId="03AD16F3" w:rsidR="008A36CF" w:rsidRDefault="00BF1FBD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2F6C767" wp14:editId="004CACD6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FEF23" w14:textId="31AE1B59" w:rsidR="00BF1FBD" w:rsidRDefault="00BF1F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700EE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E97FD3"/>
    <w:multiLevelType w:val="hybridMultilevel"/>
    <w:tmpl w:val="2C4007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032254"/>
    <w:multiLevelType w:val="hybridMultilevel"/>
    <w:tmpl w:val="5EC40E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B3194E"/>
    <w:multiLevelType w:val="hybridMultilevel"/>
    <w:tmpl w:val="930A5A02"/>
    <w:lvl w:ilvl="0" w:tplc="CBE2595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37015E"/>
    <w:multiLevelType w:val="hybridMultilevel"/>
    <w:tmpl w:val="46FE0BE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3C53CFB"/>
    <w:multiLevelType w:val="hybridMultilevel"/>
    <w:tmpl w:val="313A0E5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46818661">
    <w:abstractNumId w:val="0"/>
  </w:num>
  <w:num w:numId="2" w16cid:durableId="438567603">
    <w:abstractNumId w:val="2"/>
  </w:num>
  <w:num w:numId="3" w16cid:durableId="880901433">
    <w:abstractNumId w:val="0"/>
  </w:num>
  <w:num w:numId="4" w16cid:durableId="958225585">
    <w:abstractNumId w:val="0"/>
  </w:num>
  <w:num w:numId="5" w16cid:durableId="745539297">
    <w:abstractNumId w:val="0"/>
  </w:num>
  <w:num w:numId="6" w16cid:durableId="876429090">
    <w:abstractNumId w:val="0"/>
  </w:num>
  <w:num w:numId="7" w16cid:durableId="617374712">
    <w:abstractNumId w:val="4"/>
  </w:num>
  <w:num w:numId="8" w16cid:durableId="843007729">
    <w:abstractNumId w:val="5"/>
  </w:num>
  <w:num w:numId="9" w16cid:durableId="1573465160">
    <w:abstractNumId w:val="1"/>
  </w:num>
  <w:num w:numId="10" w16cid:durableId="919339238">
    <w:abstractNumId w:val="0"/>
  </w:num>
  <w:num w:numId="11" w16cid:durableId="1860003116">
    <w:abstractNumId w:val="0"/>
  </w:num>
  <w:num w:numId="12" w16cid:durableId="1634825409">
    <w:abstractNumId w:val="0"/>
  </w:num>
  <w:num w:numId="13" w16cid:durableId="357781389">
    <w:abstractNumId w:val="0"/>
  </w:num>
  <w:num w:numId="14" w16cid:durableId="412161395">
    <w:abstractNumId w:val="0"/>
  </w:num>
  <w:num w:numId="15" w16cid:durableId="884482594">
    <w:abstractNumId w:val="0"/>
  </w:num>
  <w:num w:numId="16" w16cid:durableId="335037924">
    <w:abstractNumId w:val="0"/>
  </w:num>
  <w:num w:numId="17" w16cid:durableId="2012298147">
    <w:abstractNumId w:val="0"/>
  </w:num>
  <w:num w:numId="18" w16cid:durableId="255675042">
    <w:abstractNumId w:val="0"/>
  </w:num>
  <w:num w:numId="19" w16cid:durableId="1972199714">
    <w:abstractNumId w:val="0"/>
  </w:num>
  <w:num w:numId="20" w16cid:durableId="373115637">
    <w:abstractNumId w:val="0"/>
  </w:num>
  <w:num w:numId="21" w16cid:durableId="1161966942">
    <w:abstractNumId w:val="0"/>
  </w:num>
  <w:num w:numId="22" w16cid:durableId="1613980165">
    <w:abstractNumId w:val="0"/>
  </w:num>
  <w:num w:numId="23" w16cid:durableId="1565606644">
    <w:abstractNumId w:val="0"/>
  </w:num>
  <w:num w:numId="24" w16cid:durableId="1851673984">
    <w:abstractNumId w:val="0"/>
  </w:num>
  <w:num w:numId="25" w16cid:durableId="506363561">
    <w:abstractNumId w:val="0"/>
  </w:num>
  <w:num w:numId="26" w16cid:durableId="1421869242">
    <w:abstractNumId w:val="0"/>
  </w:num>
  <w:num w:numId="27" w16cid:durableId="1092119700">
    <w:abstractNumId w:val="0"/>
  </w:num>
  <w:num w:numId="28" w16cid:durableId="1706908994">
    <w:abstractNumId w:val="0"/>
  </w:num>
  <w:num w:numId="29" w16cid:durableId="1316839638">
    <w:abstractNumId w:val="0"/>
  </w:num>
  <w:num w:numId="30" w16cid:durableId="701367382">
    <w:abstractNumId w:val="0"/>
  </w:num>
  <w:num w:numId="31" w16cid:durableId="2102795826">
    <w:abstractNumId w:val="0"/>
  </w:num>
  <w:num w:numId="32" w16cid:durableId="1102916183">
    <w:abstractNumId w:val="0"/>
  </w:num>
  <w:num w:numId="33" w16cid:durableId="1250775020">
    <w:abstractNumId w:val="0"/>
  </w:num>
  <w:num w:numId="34" w16cid:durableId="819924406">
    <w:abstractNumId w:val="0"/>
  </w:num>
  <w:num w:numId="35" w16cid:durableId="195777131">
    <w:abstractNumId w:val="0"/>
  </w:num>
  <w:num w:numId="36" w16cid:durableId="1266884622">
    <w:abstractNumId w:val="0"/>
  </w:num>
  <w:num w:numId="37" w16cid:durableId="6570033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22E"/>
    <w:rsid w:val="00007B80"/>
    <w:rsid w:val="00013A22"/>
    <w:rsid w:val="00014C3F"/>
    <w:rsid w:val="00015001"/>
    <w:rsid w:val="00017C82"/>
    <w:rsid w:val="00025B09"/>
    <w:rsid w:val="00032B88"/>
    <w:rsid w:val="00032F98"/>
    <w:rsid w:val="00046DF5"/>
    <w:rsid w:val="00050073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4FC6"/>
    <w:rsid w:val="000A3D0B"/>
    <w:rsid w:val="000B0868"/>
    <w:rsid w:val="000B3E12"/>
    <w:rsid w:val="000B3E78"/>
    <w:rsid w:val="000B6C4D"/>
    <w:rsid w:val="000B7B48"/>
    <w:rsid w:val="000C096D"/>
    <w:rsid w:val="000C139A"/>
    <w:rsid w:val="000C2053"/>
    <w:rsid w:val="000C248C"/>
    <w:rsid w:val="000C59D6"/>
    <w:rsid w:val="000D291C"/>
    <w:rsid w:val="000E5A54"/>
    <w:rsid w:val="000E63D3"/>
    <w:rsid w:val="000E67CF"/>
    <w:rsid w:val="000F4812"/>
    <w:rsid w:val="0010461E"/>
    <w:rsid w:val="00106FAA"/>
    <w:rsid w:val="00113443"/>
    <w:rsid w:val="001153ED"/>
    <w:rsid w:val="00121F66"/>
    <w:rsid w:val="001269A7"/>
    <w:rsid w:val="00131092"/>
    <w:rsid w:val="00140E6A"/>
    <w:rsid w:val="00146545"/>
    <w:rsid w:val="00146B75"/>
    <w:rsid w:val="0015266D"/>
    <w:rsid w:val="0015288A"/>
    <w:rsid w:val="00160F47"/>
    <w:rsid w:val="00163319"/>
    <w:rsid w:val="00177CA1"/>
    <w:rsid w:val="00183823"/>
    <w:rsid w:val="00183942"/>
    <w:rsid w:val="001904F4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4EF6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58F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2E5212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6E54"/>
    <w:rsid w:val="00347192"/>
    <w:rsid w:val="0034744C"/>
    <w:rsid w:val="00351FE0"/>
    <w:rsid w:val="00352615"/>
    <w:rsid w:val="0035412B"/>
    <w:rsid w:val="003567A8"/>
    <w:rsid w:val="00362895"/>
    <w:rsid w:val="00366392"/>
    <w:rsid w:val="00370DBF"/>
    <w:rsid w:val="00377427"/>
    <w:rsid w:val="00384464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0CF9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2C0"/>
    <w:rsid w:val="004529F0"/>
    <w:rsid w:val="00457EDF"/>
    <w:rsid w:val="00460A03"/>
    <w:rsid w:val="00472A11"/>
    <w:rsid w:val="00472AAD"/>
    <w:rsid w:val="00474E33"/>
    <w:rsid w:val="00476803"/>
    <w:rsid w:val="00485BFD"/>
    <w:rsid w:val="00485D4B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C6EF5"/>
    <w:rsid w:val="004D16A3"/>
    <w:rsid w:val="004D4AA1"/>
    <w:rsid w:val="004D6235"/>
    <w:rsid w:val="004D6D68"/>
    <w:rsid w:val="004E5EDD"/>
    <w:rsid w:val="004F448A"/>
    <w:rsid w:val="004F493D"/>
    <w:rsid w:val="004F65E8"/>
    <w:rsid w:val="0050005E"/>
    <w:rsid w:val="00502464"/>
    <w:rsid w:val="00502B88"/>
    <w:rsid w:val="00504516"/>
    <w:rsid w:val="00506713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7E06"/>
    <w:rsid w:val="00571095"/>
    <w:rsid w:val="00581055"/>
    <w:rsid w:val="00591E38"/>
    <w:rsid w:val="00593E78"/>
    <w:rsid w:val="005A19C5"/>
    <w:rsid w:val="005A3034"/>
    <w:rsid w:val="005A462D"/>
    <w:rsid w:val="005B253B"/>
    <w:rsid w:val="005B771D"/>
    <w:rsid w:val="005C5D16"/>
    <w:rsid w:val="005D3193"/>
    <w:rsid w:val="005D4A6E"/>
    <w:rsid w:val="005E2109"/>
    <w:rsid w:val="005E3E1E"/>
    <w:rsid w:val="005E5738"/>
    <w:rsid w:val="005E6979"/>
    <w:rsid w:val="005E75CB"/>
    <w:rsid w:val="005F1293"/>
    <w:rsid w:val="006013C1"/>
    <w:rsid w:val="0060669E"/>
    <w:rsid w:val="00610F2E"/>
    <w:rsid w:val="00611399"/>
    <w:rsid w:val="00624C4E"/>
    <w:rsid w:val="00625200"/>
    <w:rsid w:val="00626BC8"/>
    <w:rsid w:val="006363A8"/>
    <w:rsid w:val="00636DB7"/>
    <w:rsid w:val="006475C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6C94"/>
    <w:rsid w:val="006B160A"/>
    <w:rsid w:val="006B4E6C"/>
    <w:rsid w:val="006B50B6"/>
    <w:rsid w:val="006B5DBA"/>
    <w:rsid w:val="006D79EA"/>
    <w:rsid w:val="006E5D05"/>
    <w:rsid w:val="006F0903"/>
    <w:rsid w:val="00701053"/>
    <w:rsid w:val="00701507"/>
    <w:rsid w:val="00706690"/>
    <w:rsid w:val="00714021"/>
    <w:rsid w:val="00716A0F"/>
    <w:rsid w:val="00717D45"/>
    <w:rsid w:val="007208F7"/>
    <w:rsid w:val="007218AF"/>
    <w:rsid w:val="007339C4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5C8E"/>
    <w:rsid w:val="00796708"/>
    <w:rsid w:val="007A54C0"/>
    <w:rsid w:val="007B1B42"/>
    <w:rsid w:val="007B1C9E"/>
    <w:rsid w:val="007C30EB"/>
    <w:rsid w:val="007D73FC"/>
    <w:rsid w:val="007E063C"/>
    <w:rsid w:val="007E2A4B"/>
    <w:rsid w:val="007E307D"/>
    <w:rsid w:val="007E5841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0D82"/>
    <w:rsid w:val="00857A8A"/>
    <w:rsid w:val="008630EE"/>
    <w:rsid w:val="00864D13"/>
    <w:rsid w:val="00871B1D"/>
    <w:rsid w:val="00871CD5"/>
    <w:rsid w:val="008745A2"/>
    <w:rsid w:val="008759F6"/>
    <w:rsid w:val="008768A8"/>
    <w:rsid w:val="0088636F"/>
    <w:rsid w:val="0088798F"/>
    <w:rsid w:val="00887E4B"/>
    <w:rsid w:val="0089022C"/>
    <w:rsid w:val="008915C8"/>
    <w:rsid w:val="008A36CF"/>
    <w:rsid w:val="008A3BC4"/>
    <w:rsid w:val="008B403C"/>
    <w:rsid w:val="008B7408"/>
    <w:rsid w:val="008B7983"/>
    <w:rsid w:val="008C2511"/>
    <w:rsid w:val="008C70A0"/>
    <w:rsid w:val="008D026D"/>
    <w:rsid w:val="008D23AB"/>
    <w:rsid w:val="008D2E0B"/>
    <w:rsid w:val="008D4B8B"/>
    <w:rsid w:val="008D5A78"/>
    <w:rsid w:val="008E7B64"/>
    <w:rsid w:val="008F5DCD"/>
    <w:rsid w:val="00900951"/>
    <w:rsid w:val="00903CDE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26FB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5902"/>
    <w:rsid w:val="009E63E2"/>
    <w:rsid w:val="009F04D2"/>
    <w:rsid w:val="009F05CF"/>
    <w:rsid w:val="009F0F3A"/>
    <w:rsid w:val="009F1C3F"/>
    <w:rsid w:val="00A01D0C"/>
    <w:rsid w:val="00A0643F"/>
    <w:rsid w:val="00A067EE"/>
    <w:rsid w:val="00A07223"/>
    <w:rsid w:val="00A10FCE"/>
    <w:rsid w:val="00A12DED"/>
    <w:rsid w:val="00A16D91"/>
    <w:rsid w:val="00A174CC"/>
    <w:rsid w:val="00A2073D"/>
    <w:rsid w:val="00A20751"/>
    <w:rsid w:val="00A27E2D"/>
    <w:rsid w:val="00A31D99"/>
    <w:rsid w:val="00A3238D"/>
    <w:rsid w:val="00A357BA"/>
    <w:rsid w:val="00A35ADC"/>
    <w:rsid w:val="00A37872"/>
    <w:rsid w:val="00A402A3"/>
    <w:rsid w:val="00A4785F"/>
    <w:rsid w:val="00A53681"/>
    <w:rsid w:val="00A633D4"/>
    <w:rsid w:val="00A6461A"/>
    <w:rsid w:val="00A71582"/>
    <w:rsid w:val="00A82CB2"/>
    <w:rsid w:val="00A84504"/>
    <w:rsid w:val="00A8672F"/>
    <w:rsid w:val="00A93057"/>
    <w:rsid w:val="00A968B0"/>
    <w:rsid w:val="00AB2672"/>
    <w:rsid w:val="00AB2817"/>
    <w:rsid w:val="00AB3EE3"/>
    <w:rsid w:val="00AB43C4"/>
    <w:rsid w:val="00AC32E7"/>
    <w:rsid w:val="00AC3A9F"/>
    <w:rsid w:val="00AC6D2F"/>
    <w:rsid w:val="00AE2745"/>
    <w:rsid w:val="00AE2F64"/>
    <w:rsid w:val="00AF3B8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36BC"/>
    <w:rsid w:val="00B46BC0"/>
    <w:rsid w:val="00B479A9"/>
    <w:rsid w:val="00B47CFD"/>
    <w:rsid w:val="00B52EDF"/>
    <w:rsid w:val="00B66FC1"/>
    <w:rsid w:val="00B6783C"/>
    <w:rsid w:val="00B71188"/>
    <w:rsid w:val="00B76A41"/>
    <w:rsid w:val="00B838B5"/>
    <w:rsid w:val="00B87D4C"/>
    <w:rsid w:val="00B93646"/>
    <w:rsid w:val="00B961B2"/>
    <w:rsid w:val="00BA0B38"/>
    <w:rsid w:val="00BA1DBB"/>
    <w:rsid w:val="00BA4510"/>
    <w:rsid w:val="00BA529A"/>
    <w:rsid w:val="00BA534E"/>
    <w:rsid w:val="00BB612A"/>
    <w:rsid w:val="00BC4155"/>
    <w:rsid w:val="00BD499F"/>
    <w:rsid w:val="00BD56DE"/>
    <w:rsid w:val="00BF1FBD"/>
    <w:rsid w:val="00BF2406"/>
    <w:rsid w:val="00BF59BB"/>
    <w:rsid w:val="00C06E43"/>
    <w:rsid w:val="00C16315"/>
    <w:rsid w:val="00C3091E"/>
    <w:rsid w:val="00C373EB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3AE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D55B1"/>
    <w:rsid w:val="00CE5AD6"/>
    <w:rsid w:val="00CE617F"/>
    <w:rsid w:val="00CE78EF"/>
    <w:rsid w:val="00CF0B2D"/>
    <w:rsid w:val="00CF165D"/>
    <w:rsid w:val="00D048F7"/>
    <w:rsid w:val="00D0517E"/>
    <w:rsid w:val="00D07AAA"/>
    <w:rsid w:val="00D140FC"/>
    <w:rsid w:val="00D21D8C"/>
    <w:rsid w:val="00D25B22"/>
    <w:rsid w:val="00D31357"/>
    <w:rsid w:val="00D33220"/>
    <w:rsid w:val="00D334D1"/>
    <w:rsid w:val="00D44C89"/>
    <w:rsid w:val="00D5003B"/>
    <w:rsid w:val="00D516CD"/>
    <w:rsid w:val="00D668E6"/>
    <w:rsid w:val="00D70670"/>
    <w:rsid w:val="00D74D80"/>
    <w:rsid w:val="00D76624"/>
    <w:rsid w:val="00D770C7"/>
    <w:rsid w:val="00D87570"/>
    <w:rsid w:val="00D91CB9"/>
    <w:rsid w:val="00D921CC"/>
    <w:rsid w:val="00D97073"/>
    <w:rsid w:val="00D97989"/>
    <w:rsid w:val="00D97D8D"/>
    <w:rsid w:val="00DA2EF0"/>
    <w:rsid w:val="00DA352E"/>
    <w:rsid w:val="00DA6B3F"/>
    <w:rsid w:val="00DA79C5"/>
    <w:rsid w:val="00DC16F1"/>
    <w:rsid w:val="00DC7694"/>
    <w:rsid w:val="00DD1BF6"/>
    <w:rsid w:val="00DD2F9B"/>
    <w:rsid w:val="00DE2513"/>
    <w:rsid w:val="00DE26E8"/>
    <w:rsid w:val="00DF3CE0"/>
    <w:rsid w:val="00DF6F36"/>
    <w:rsid w:val="00E0084C"/>
    <w:rsid w:val="00E025AB"/>
    <w:rsid w:val="00E02B23"/>
    <w:rsid w:val="00E04E50"/>
    <w:rsid w:val="00E06F40"/>
    <w:rsid w:val="00E07CE8"/>
    <w:rsid w:val="00E26A07"/>
    <w:rsid w:val="00E32595"/>
    <w:rsid w:val="00E36230"/>
    <w:rsid w:val="00E37756"/>
    <w:rsid w:val="00E37CFD"/>
    <w:rsid w:val="00E41A26"/>
    <w:rsid w:val="00E44FA3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264A"/>
    <w:rsid w:val="00E949AF"/>
    <w:rsid w:val="00E96077"/>
    <w:rsid w:val="00EA0A06"/>
    <w:rsid w:val="00EA6243"/>
    <w:rsid w:val="00EA74AB"/>
    <w:rsid w:val="00EB1AA0"/>
    <w:rsid w:val="00EB3D1B"/>
    <w:rsid w:val="00EB62F1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21EC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3355"/>
    <w:rsid w:val="00FC60A2"/>
    <w:rsid w:val="00FD16AE"/>
    <w:rsid w:val="00FD1871"/>
    <w:rsid w:val="00FD3110"/>
    <w:rsid w:val="00FF0F8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9F1C3F"/>
    <w:pPr>
      <w:numPr>
        <w:numId w:val="1"/>
      </w:numPr>
      <w:contextualSpacing/>
    </w:pPr>
  </w:style>
  <w:style w:type="paragraph" w:styleId="ListParagraph">
    <w:name w:val="List Paragraph"/>
    <w:basedOn w:val="Normal"/>
    <w:uiPriority w:val="34"/>
    <w:qFormat/>
    <w:rsid w:val="00B436BC"/>
    <w:pPr>
      <w:ind w:left="720"/>
      <w:contextualSpacing/>
    </w:pPr>
  </w:style>
  <w:style w:type="paragraph" w:styleId="Revision">
    <w:name w:val="Revision"/>
    <w:hidden/>
    <w:uiPriority w:val="99"/>
    <w:semiHidden/>
    <w:rsid w:val="00BC415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378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787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787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8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872"/>
    <w:rPr>
      <w:b/>
      <w:bCs/>
      <w:szCs w:val="20"/>
    </w:rPr>
  </w:style>
  <w:style w:type="character" w:customStyle="1" w:styleId="e24kjd">
    <w:name w:val="e24kjd"/>
    <w:basedOn w:val="DefaultParagraphFont"/>
    <w:rsid w:val="005E3E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23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A67D38C2914473C867F8543350221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6686A6-6EED-4136-B844-CE27877CAD69}"/>
      </w:docPartPr>
      <w:docPartBody>
        <w:p w:rsidR="00533428" w:rsidRDefault="003630B8" w:rsidP="003630B8">
          <w:pPr>
            <w:pStyle w:val="FA67D38C2914473C867F8543350221F5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87F0A1A329DE481CB393CABE392EA4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A1D98E-98A8-4709-9754-DA8F106B8A6A}"/>
      </w:docPartPr>
      <w:docPartBody>
        <w:p w:rsidR="00346564" w:rsidRDefault="0073252E" w:rsidP="0073252E">
          <w:pPr>
            <w:pStyle w:val="87F0A1A329DE481CB393CABE392EA486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B5E35A01AA74899908D5E2006CDC8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FFEDB9-FB17-4858-9568-CF5E98CE1B09}"/>
      </w:docPartPr>
      <w:docPartBody>
        <w:p w:rsidR="00346564" w:rsidRDefault="0073252E" w:rsidP="0073252E">
          <w:pPr>
            <w:pStyle w:val="8B5E35A01AA74899908D5E2006CDC8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AED6883AFEB840C58EE489CBFE5EA2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F2E743-81BA-492E-B3B2-385646722026}"/>
      </w:docPartPr>
      <w:docPartBody>
        <w:p w:rsidR="00346564" w:rsidRDefault="0073252E" w:rsidP="0073252E">
          <w:pPr>
            <w:pStyle w:val="AED6883AFEB840C58EE489CBFE5EA2F6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C6F8106923CF479EA192ED57B50D5B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1089C-253C-4CF2-8E56-515CD97F5898}"/>
      </w:docPartPr>
      <w:docPartBody>
        <w:p w:rsidR="00346564" w:rsidRDefault="0073252E" w:rsidP="0073252E">
          <w:pPr>
            <w:pStyle w:val="C6F8106923CF479EA192ED57B50D5BC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549F6CBFDA64A9C935CBAB7BAC3F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197FC2-13C6-49BE-A480-D938AE6853FA}"/>
      </w:docPartPr>
      <w:docPartBody>
        <w:p w:rsidR="00346564" w:rsidRDefault="0073252E" w:rsidP="0073252E">
          <w:pPr>
            <w:pStyle w:val="4549F6CBFDA64A9C935CBAB7BAC3FA43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399DEE69BD6E4EE9BF578803CDED53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786175-D40F-416A-9F57-40736D240B63}"/>
      </w:docPartPr>
      <w:docPartBody>
        <w:p w:rsidR="00346564" w:rsidRDefault="0073252E" w:rsidP="0073252E">
          <w:pPr>
            <w:pStyle w:val="399DEE69BD6E4EE9BF578803CDED53AD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BF7BE79454492E9EC36317C02DC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0E578C-B97A-4CB1-A79E-55DF08869350}"/>
      </w:docPartPr>
      <w:docPartBody>
        <w:p w:rsidR="00346564" w:rsidRDefault="0073252E" w:rsidP="0073252E">
          <w:pPr>
            <w:pStyle w:val="EABF7BE79454492E9EC36317C02DC1B1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D842FA1E836429788105F1C2A435E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56F953-4AB6-4CEE-B988-5B8419AD312A}"/>
      </w:docPartPr>
      <w:docPartBody>
        <w:p w:rsidR="00346564" w:rsidRDefault="0073252E" w:rsidP="0073252E">
          <w:pPr>
            <w:pStyle w:val="FD842FA1E836429788105F1C2A435E0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AC9B549E305D41E2BB10F932C63B0A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424096-07B4-4A2E-B45E-B2B4C100A70B}"/>
      </w:docPartPr>
      <w:docPartBody>
        <w:p w:rsidR="00346564" w:rsidRDefault="0073252E" w:rsidP="0073252E">
          <w:pPr>
            <w:pStyle w:val="AC9B549E305D41E2BB10F932C63B0A8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26A614D24F04676A28CC2DCB2E36A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CEAB0D-A4AD-49ED-A1EF-833AEA838D15}"/>
      </w:docPartPr>
      <w:docPartBody>
        <w:p w:rsidR="00346564" w:rsidRDefault="0073252E" w:rsidP="0073252E">
          <w:pPr>
            <w:pStyle w:val="826A614D24F04676A28CC2DCB2E36AA8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F71EA"/>
    <w:rsid w:val="00346564"/>
    <w:rsid w:val="003630B8"/>
    <w:rsid w:val="003A2CA7"/>
    <w:rsid w:val="00533428"/>
    <w:rsid w:val="005F061C"/>
    <w:rsid w:val="00706690"/>
    <w:rsid w:val="0073252E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252E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A67D38C2914473C867F8543350221F5">
    <w:name w:val="FA67D38C2914473C867F8543350221F5"/>
    <w:rsid w:val="003630B8"/>
  </w:style>
  <w:style w:type="paragraph" w:customStyle="1" w:styleId="87F0A1A329DE481CB393CABE392EA486">
    <w:name w:val="87F0A1A329DE481CB393CABE392EA486"/>
    <w:rsid w:val="0073252E"/>
  </w:style>
  <w:style w:type="paragraph" w:customStyle="1" w:styleId="8B5E35A01AA74899908D5E2006CDC8A0">
    <w:name w:val="8B5E35A01AA74899908D5E2006CDC8A0"/>
    <w:rsid w:val="0073252E"/>
  </w:style>
  <w:style w:type="paragraph" w:customStyle="1" w:styleId="AED6883AFEB840C58EE489CBFE5EA2F6">
    <w:name w:val="AED6883AFEB840C58EE489CBFE5EA2F6"/>
    <w:rsid w:val="0073252E"/>
  </w:style>
  <w:style w:type="paragraph" w:customStyle="1" w:styleId="C6F8106923CF479EA192ED57B50D5BCA">
    <w:name w:val="C6F8106923CF479EA192ED57B50D5BCA"/>
    <w:rsid w:val="0073252E"/>
  </w:style>
  <w:style w:type="paragraph" w:customStyle="1" w:styleId="4549F6CBFDA64A9C935CBAB7BAC3FA43">
    <w:name w:val="4549F6CBFDA64A9C935CBAB7BAC3FA43"/>
    <w:rsid w:val="0073252E"/>
  </w:style>
  <w:style w:type="paragraph" w:customStyle="1" w:styleId="399DEE69BD6E4EE9BF578803CDED53AD">
    <w:name w:val="399DEE69BD6E4EE9BF578803CDED53AD"/>
    <w:rsid w:val="0073252E"/>
  </w:style>
  <w:style w:type="paragraph" w:customStyle="1" w:styleId="EABF7BE79454492E9EC36317C02DC1B1">
    <w:name w:val="EABF7BE79454492E9EC36317C02DC1B1"/>
    <w:rsid w:val="0073252E"/>
  </w:style>
  <w:style w:type="paragraph" w:customStyle="1" w:styleId="FD842FA1E836429788105F1C2A435E0E">
    <w:name w:val="FD842FA1E836429788105F1C2A435E0E"/>
    <w:rsid w:val="0073252E"/>
  </w:style>
  <w:style w:type="paragraph" w:customStyle="1" w:styleId="AC9B549E305D41E2BB10F932C63B0A8D">
    <w:name w:val="AC9B549E305D41E2BB10F932C63B0A8D"/>
    <w:rsid w:val="0073252E"/>
  </w:style>
  <w:style w:type="paragraph" w:customStyle="1" w:styleId="826A614D24F04676A28CC2DCB2E36AA8">
    <w:name w:val="826A614D24F04676A28CC2DCB2E36AA8"/>
    <w:rsid w:val="007325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4CFDB7-46CC-4AB7-9268-095D5A8728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E6199C-AF3C-4F9B-9687-904828AC78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7A879E-5CB0-427D-8A9C-5DE45ED6E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5161C42-84BE-43C7-A7AB-4CFE519C12E7}">
  <ds:schemaRefs>
    <ds:schemaRef ds:uri="http://purl.org/dc/terms/"/>
    <ds:schemaRef ds:uri="http://purl.org/dc/dcmitype/"/>
    <ds:schemaRef ds:uri="http://schemas.microsoft.com/office/2006/documentManagement/types"/>
    <ds:schemaRef ds:uri="a0509f21-ed56-4150-9955-96be669e5f2d"/>
    <ds:schemaRef ds:uri="http://schemas.openxmlformats.org/package/2006/metadata/core-properties"/>
    <ds:schemaRef ds:uri="1c567317-0c4d-4a62-8516-c22afd1b5354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1796</Words>
  <Characters>9326</Characters>
  <Application>Microsoft Office Word</Application>
  <DocSecurity>0</DocSecurity>
  <Lines>274</Lines>
  <Paragraphs>231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2019-11-27T06:03:00Z</dcterms:created>
  <dcterms:modified xsi:type="dcterms:W3CDTF">2026-01-09T01:08:00Z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2025-12-24T00:03:35Z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c2bfcb4b-59c1-4f1d-bc2c-ce155077988b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