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4BDF289" w14:textId="73804502" w:rsidR="00BD499F" w:rsidRPr="004C23F4" w:rsidRDefault="00D03787" w:rsidP="00B40C60">
          <w:pPr>
            <w:pStyle w:val="Heading1"/>
            <w:jc w:val="center"/>
            <w:rPr>
              <w:rFonts w:ascii="Arial" w:hAnsi="Arial" w:cs="Arial"/>
            </w:rPr>
          </w:pPr>
          <w:r w:rsidRPr="00D03787">
            <w:rPr>
              <w:rFonts w:ascii="Arial" w:hAnsi="Arial" w:cs="Arial"/>
            </w:rPr>
            <w:t>Grain dust (oats,</w:t>
          </w:r>
          <w:r w:rsidR="00F4303D">
            <w:rPr>
              <w:rFonts w:ascii="Arial" w:hAnsi="Arial" w:cs="Arial"/>
            </w:rPr>
            <w:t xml:space="preserve"> </w:t>
          </w:r>
          <w:r w:rsidRPr="00D03787">
            <w:rPr>
              <w:rFonts w:ascii="Arial" w:hAnsi="Arial" w:cs="Arial"/>
            </w:rPr>
            <w:t>wheat, barley)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609198AC" w14:textId="77777777" w:rsidTr="00B76A41">
        <w:trPr>
          <w:cantSplit/>
          <w:tblHeader/>
        </w:trPr>
        <w:tc>
          <w:tcPr>
            <w:tcW w:w="4077" w:type="dxa"/>
          </w:tcPr>
          <w:p w14:paraId="660E4F8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E0CEA9E" w14:textId="1861D73F" w:rsidR="00F43AD5" w:rsidRPr="00717D45" w:rsidRDefault="003B3FE7" w:rsidP="00B76A41">
            <w:pPr>
              <w:pStyle w:val="Tablefont"/>
            </w:pPr>
            <w:r w:rsidRPr="003B3FE7">
              <w:t>—</w:t>
            </w:r>
          </w:p>
        </w:tc>
      </w:tr>
      <w:tr w:rsidR="00F43AD5" w:rsidRPr="004C23F4" w14:paraId="0CEC1B91" w14:textId="77777777" w:rsidTr="00B76A41">
        <w:trPr>
          <w:cantSplit/>
        </w:trPr>
        <w:tc>
          <w:tcPr>
            <w:tcW w:w="4077" w:type="dxa"/>
          </w:tcPr>
          <w:p w14:paraId="4C9AE03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C978C3E" w14:textId="47C832B7" w:rsidR="00F43AD5" w:rsidRPr="00717D45" w:rsidRDefault="003B3FE7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297B72CE" w14:textId="77777777" w:rsidTr="00B76A41">
        <w:trPr>
          <w:cantSplit/>
        </w:trPr>
        <w:tc>
          <w:tcPr>
            <w:tcW w:w="4077" w:type="dxa"/>
          </w:tcPr>
          <w:p w14:paraId="58EA32A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BA664F2" w14:textId="5AEBBE30" w:rsidR="00F43AD5" w:rsidRPr="00717D45" w:rsidRDefault="003B3FE7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12B49F49" w14:textId="77777777" w:rsidTr="00B76A41">
        <w:trPr>
          <w:cantSplit/>
        </w:trPr>
        <w:tc>
          <w:tcPr>
            <w:tcW w:w="4077" w:type="dxa"/>
          </w:tcPr>
          <w:p w14:paraId="7FF008F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69524E1" w14:textId="634E2197" w:rsidR="00F43AD5" w:rsidRPr="00B40C60" w:rsidRDefault="003B3FE7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364F7B4D" w14:textId="7F4B121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A02C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4275D88" w14:textId="77777777" w:rsidTr="00F4303D">
        <w:trPr>
          <w:cantSplit/>
          <w:tblHeader/>
        </w:trPr>
        <w:tc>
          <w:tcPr>
            <w:tcW w:w="4005" w:type="dxa"/>
            <w:vAlign w:val="center"/>
          </w:tcPr>
          <w:p w14:paraId="223A134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901C676" w14:textId="52FE7315" w:rsidR="002C7AFE" w:rsidRPr="00BA02CC" w:rsidRDefault="00BA02CC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7EB5B101" w14:textId="77777777" w:rsidTr="00F4303D">
        <w:trPr>
          <w:cantSplit/>
        </w:trPr>
        <w:tc>
          <w:tcPr>
            <w:tcW w:w="4005" w:type="dxa"/>
            <w:vAlign w:val="center"/>
          </w:tcPr>
          <w:p w14:paraId="353BFAE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91466B9" w14:textId="5A34A3CD" w:rsidR="002C7AFE" w:rsidRPr="00EB3D1B" w:rsidRDefault="00BA02CC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40F05BE5" w14:textId="77777777" w:rsidTr="00F4303D">
        <w:trPr>
          <w:cantSplit/>
        </w:trPr>
        <w:tc>
          <w:tcPr>
            <w:tcW w:w="4005" w:type="dxa"/>
            <w:vAlign w:val="center"/>
          </w:tcPr>
          <w:p w14:paraId="1B545F7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EDFF616" w14:textId="35B5F09F" w:rsidR="002C7AFE" w:rsidRPr="00EB3D1B" w:rsidRDefault="00BA02CC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488A3AB0" w14:textId="77777777" w:rsidTr="00F4303D">
        <w:trPr>
          <w:cantSplit/>
        </w:trPr>
        <w:tc>
          <w:tcPr>
            <w:tcW w:w="4005" w:type="dxa"/>
          </w:tcPr>
          <w:p w14:paraId="600238F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050D863" w14:textId="3140A23C" w:rsidR="002C7AFE" w:rsidRPr="00EB3D1B" w:rsidRDefault="00BA02CC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5E1E5CB" w14:textId="77777777" w:rsidTr="00F4303D">
        <w:trPr>
          <w:cantSplit/>
        </w:trPr>
        <w:tc>
          <w:tcPr>
            <w:tcW w:w="4005" w:type="dxa"/>
            <w:vAlign w:val="center"/>
          </w:tcPr>
          <w:p w14:paraId="79FA3AE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FB32011" w14:textId="4F8EC960" w:rsidR="002C7AFE" w:rsidRPr="00EB3D1B" w:rsidRDefault="003B3FE7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F4303D" w:rsidRPr="004C23F4" w14:paraId="0367C27E" w14:textId="77777777" w:rsidTr="00A954AD">
        <w:trPr>
          <w:cantSplit/>
        </w:trPr>
        <w:tc>
          <w:tcPr>
            <w:tcW w:w="9026" w:type="dxa"/>
            <w:gridSpan w:val="2"/>
            <w:vAlign w:val="center"/>
          </w:tcPr>
          <w:p w14:paraId="09725D08" w14:textId="7312BF7D" w:rsidR="00F4303D" w:rsidRPr="00EB3D1B" w:rsidRDefault="00F4303D" w:rsidP="00017C82">
            <w:pPr>
              <w:pStyle w:val="Tablefont"/>
              <w:rPr>
                <w:b/>
              </w:rPr>
            </w:pPr>
            <w:r w:rsidRPr="00832EDA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B91321AD0004939AA74279DEA06E8C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32ED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E9D134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AFA14F1" w14:textId="4DE00517" w:rsidR="006639B4" w:rsidRPr="004C23F4" w:rsidRDefault="00F8729B" w:rsidP="000C139A">
      <w:pPr>
        <w:rPr>
          <w:rFonts w:cs="Arial"/>
        </w:rPr>
      </w:pPr>
      <w:r>
        <w:rPr>
          <w:rFonts w:cs="Arial"/>
        </w:rPr>
        <w:t xml:space="preserve">A </w:t>
      </w:r>
      <w:r w:rsidR="00EC0AB7">
        <w:rPr>
          <w:rFonts w:cs="Arial"/>
        </w:rPr>
        <w:t xml:space="preserve">TWA </w:t>
      </w:r>
      <w:r w:rsidR="00F4303D">
        <w:rPr>
          <w:rFonts w:cs="Arial"/>
        </w:rPr>
        <w:t xml:space="preserve">of </w:t>
      </w:r>
      <w:r w:rsidR="00F4303D" w:rsidRPr="00F4303D">
        <w:rPr>
          <w:rFonts w:cs="Arial"/>
        </w:rPr>
        <w:t>1.5 mg/m</w:t>
      </w:r>
      <w:r w:rsidR="00F4303D" w:rsidRPr="00F4303D">
        <w:rPr>
          <w:rFonts w:cs="Arial"/>
          <w:vertAlign w:val="superscript"/>
        </w:rPr>
        <w:t>3</w:t>
      </w:r>
      <w:r w:rsidR="00F4303D">
        <w:rPr>
          <w:rFonts w:cs="Arial"/>
        </w:rPr>
        <w:t xml:space="preserve"> </w:t>
      </w:r>
      <w:r w:rsidR="00BA02CC">
        <w:rPr>
          <w:rFonts w:cs="Arial"/>
        </w:rPr>
        <w:t xml:space="preserve">is recommended to protect for </w:t>
      </w:r>
      <w:r>
        <w:rPr>
          <w:rFonts w:cs="Arial"/>
        </w:rPr>
        <w:t xml:space="preserve">changes in </w:t>
      </w:r>
      <w:r w:rsidR="00BA02CC">
        <w:rPr>
          <w:rFonts w:cs="Arial"/>
        </w:rPr>
        <w:t>lung function and bronchitis in exposed workers.</w:t>
      </w:r>
    </w:p>
    <w:p w14:paraId="57021C3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7DFCBC0" w14:textId="40FDB53A" w:rsidR="00F8729B" w:rsidRDefault="00A3283E" w:rsidP="00BA02CC">
      <w:r>
        <w:t>The recommended TWA is for</w:t>
      </w:r>
      <w:r w:rsidR="00B63882">
        <w:t xml:space="preserve"> exposure to the</w:t>
      </w:r>
      <w:r w:rsidR="00DF2D00">
        <w:t xml:space="preserve"> total dust produced during harvesting and handling activities of</w:t>
      </w:r>
      <w:r w:rsidR="00B63882">
        <w:t xml:space="preserve"> whole grain of oat, wheat and barley </w:t>
      </w:r>
      <w:r w:rsidR="00F4303D">
        <w:t>prior to</w:t>
      </w:r>
      <w:r w:rsidR="00B63882">
        <w:t xml:space="preserve"> the milling operation. Grain dust consists of 60 to 75</w:t>
      </w:r>
      <w:r w:rsidR="00F8729B">
        <w:t xml:space="preserve"> per cent</w:t>
      </w:r>
      <w:r w:rsidR="00B63882">
        <w:t xml:space="preserve"> organic material and 25 to 40</w:t>
      </w:r>
      <w:r w:rsidR="00F8729B">
        <w:t xml:space="preserve"> per cent</w:t>
      </w:r>
      <w:r w:rsidR="00B63882">
        <w:t xml:space="preserve"> inorganic material. </w:t>
      </w:r>
    </w:p>
    <w:p w14:paraId="674ACF56" w14:textId="51BB1B19" w:rsidR="00833067" w:rsidRDefault="00832EDA" w:rsidP="008A386D">
      <w:r>
        <w:t>Critical effects</w:t>
      </w:r>
      <w:r w:rsidR="008A0C39">
        <w:t xml:space="preserve"> of exposure</w:t>
      </w:r>
      <w:r>
        <w:t xml:space="preserve"> include</w:t>
      </w:r>
      <w:r w:rsidRPr="00832EDA">
        <w:t xml:space="preserve"> </w:t>
      </w:r>
      <w:r>
        <w:t>irritation of the upper respiratory tract, eyes and skin</w:t>
      </w:r>
      <w:r w:rsidR="00F8729B">
        <w:t>,</w:t>
      </w:r>
      <w:r>
        <w:t xml:space="preserve"> bronchitis and </w:t>
      </w:r>
      <w:r w:rsidR="00DF2D00">
        <w:t>decreased</w:t>
      </w:r>
      <w:r>
        <w:t xml:space="preserve"> pulmonary function.</w:t>
      </w:r>
      <w:r w:rsidR="00F8729B">
        <w:t xml:space="preserve"> </w:t>
      </w:r>
      <w:r w:rsidR="00795D4C">
        <w:t>Barley, wheat and oat dusts all cause similar respiratory distress symptoms.</w:t>
      </w:r>
    </w:p>
    <w:p w14:paraId="66649F4F" w14:textId="44689D90" w:rsidR="001F73BB" w:rsidRDefault="006C3ED8" w:rsidP="008A386D">
      <w:r>
        <w:t>ACGIH (2018) reported that acute bronchitis symptoms did not appear in workers exposed at or below 4 mg/m</w:t>
      </w:r>
      <w:r w:rsidRPr="00AD4CBB">
        <w:rPr>
          <w:vertAlign w:val="superscript"/>
        </w:rPr>
        <w:t>3</w:t>
      </w:r>
      <w:r>
        <w:t xml:space="preserve"> based on two studies </w:t>
      </w:r>
      <w:r w:rsidR="004F2E44">
        <w:t xml:space="preserve">for </w:t>
      </w:r>
      <w:r>
        <w:t>prevalence of</w:t>
      </w:r>
      <w:r w:rsidR="00907A15">
        <w:t xml:space="preserve"> </w:t>
      </w:r>
      <w:r>
        <w:t>respiratory symptoms and their association</w:t>
      </w:r>
      <w:r w:rsidR="00907A15">
        <w:t xml:space="preserve"> </w:t>
      </w:r>
      <w:r>
        <w:t>with grain dust concentration</w:t>
      </w:r>
      <w:r w:rsidR="00833067">
        <w:t>s</w:t>
      </w:r>
      <w:r>
        <w:t xml:space="preserve">. </w:t>
      </w:r>
      <w:r w:rsidR="00833067">
        <w:t xml:space="preserve">In a </w:t>
      </w:r>
      <w:r>
        <w:t>separate study</w:t>
      </w:r>
      <w:r w:rsidR="00833067">
        <w:t>,</w:t>
      </w:r>
      <w:r>
        <w:t xml:space="preserve"> </w:t>
      </w:r>
      <w:r w:rsidR="00833067">
        <w:t xml:space="preserve">there was </w:t>
      </w:r>
      <w:r>
        <w:t>no increased risk of rapid decline in pulmonary function in workers exposed at concentrations less than 5 mg/m</w:t>
      </w:r>
      <w:r>
        <w:rPr>
          <w:vertAlign w:val="superscript"/>
        </w:rPr>
        <w:t>3</w:t>
      </w:r>
      <w:r>
        <w:t xml:space="preserve"> (ACGIH, 2018). HCOTN (2011) estimated a</w:t>
      </w:r>
      <w:r w:rsidR="00BA02CC">
        <w:t xml:space="preserve"> </w:t>
      </w:r>
      <w:r w:rsidR="00BC005C">
        <w:t xml:space="preserve">LOAEC </w:t>
      </w:r>
      <w:r w:rsidR="00BA02CC">
        <w:t>of 4</w:t>
      </w:r>
      <w:r w:rsidR="004F2E44">
        <w:t> </w:t>
      </w:r>
      <w:r w:rsidR="00BA02CC">
        <w:t>mg/m</w:t>
      </w:r>
      <w:r w:rsidR="00BA02CC">
        <w:rPr>
          <w:vertAlign w:val="superscript"/>
        </w:rPr>
        <w:t>3</w:t>
      </w:r>
      <w:r w:rsidR="00BA02CC">
        <w:t xml:space="preserve"> </w:t>
      </w:r>
      <w:r>
        <w:t>based on</w:t>
      </w:r>
      <w:r w:rsidR="00BA02CC">
        <w:t xml:space="preserve"> acute bronchitis </w:t>
      </w:r>
      <w:r>
        <w:t>outcomes</w:t>
      </w:r>
      <w:r w:rsidR="001F73BB">
        <w:t xml:space="preserve"> in two short</w:t>
      </w:r>
      <w:r w:rsidR="008D0AE2">
        <w:t>-</w:t>
      </w:r>
      <w:r w:rsidR="001F73BB">
        <w:t xml:space="preserve">term studies </w:t>
      </w:r>
      <w:r w:rsidR="00CC6EBA">
        <w:t>in workers</w:t>
      </w:r>
      <w:r w:rsidR="0095481C">
        <w:t xml:space="preserve"> from which </w:t>
      </w:r>
      <w:r w:rsidR="00795D4C">
        <w:t>it</w:t>
      </w:r>
      <w:r w:rsidR="0095481C">
        <w:t xml:space="preserve"> derived their recommended TWA of 1.5 mg/m</w:t>
      </w:r>
      <w:r w:rsidR="0095481C">
        <w:rPr>
          <w:vertAlign w:val="superscript"/>
        </w:rPr>
        <w:t>3</w:t>
      </w:r>
      <w:r w:rsidR="00BA02CC">
        <w:t>.</w:t>
      </w:r>
      <w:r w:rsidR="008A386D">
        <w:t xml:space="preserve"> </w:t>
      </w:r>
    </w:p>
    <w:p w14:paraId="50A05E9F" w14:textId="4706AE97" w:rsidR="00BA02CC" w:rsidRDefault="00064A44" w:rsidP="008A386D">
      <w:r>
        <w:t xml:space="preserve">HCOTN (2011) reported </w:t>
      </w:r>
      <w:r w:rsidR="00115E44">
        <w:t>that the</w:t>
      </w:r>
      <w:r>
        <w:t xml:space="preserve"> </w:t>
      </w:r>
      <w:r w:rsidR="008A386D">
        <w:t xml:space="preserve">average </w:t>
      </w:r>
      <w:r>
        <w:t>forced expiratory volume (FEV</w:t>
      </w:r>
      <w:r>
        <w:rPr>
          <w:vertAlign w:val="subscript"/>
        </w:rPr>
        <w:t>1</w:t>
      </w:r>
      <w:r>
        <w:t xml:space="preserve">) </w:t>
      </w:r>
      <w:r w:rsidR="008A386D">
        <w:t xml:space="preserve">decline </w:t>
      </w:r>
      <w:r>
        <w:t>over a</w:t>
      </w:r>
      <w:r w:rsidR="008A386D">
        <w:t xml:space="preserve"> </w:t>
      </w:r>
      <w:r>
        <w:t>40-year period</w:t>
      </w:r>
      <w:r w:rsidR="008A386D">
        <w:t xml:space="preserve"> is </w:t>
      </w:r>
      <w:r>
        <w:t xml:space="preserve">approximately </w:t>
      </w:r>
      <w:r w:rsidR="008A386D">
        <w:t>1</w:t>
      </w:r>
      <w:r w:rsidR="00AD4CBB">
        <w:t> L</w:t>
      </w:r>
      <w:r w:rsidR="008A386D">
        <w:t xml:space="preserve"> in the general non-smoking population</w:t>
      </w:r>
      <w:r>
        <w:t xml:space="preserve"> and estimated that exposure to a TWA of 1.5 mg/m</w:t>
      </w:r>
      <w:r w:rsidRPr="004E7923">
        <w:rPr>
          <w:vertAlign w:val="superscript"/>
        </w:rPr>
        <w:t>3</w:t>
      </w:r>
      <w:r>
        <w:t xml:space="preserve"> for 40 years leads to an additional loss in </w:t>
      </w:r>
      <w:proofErr w:type="spellStart"/>
      <w:r>
        <w:t>FEV</w:t>
      </w:r>
      <w:r w:rsidRPr="00115E44">
        <w:rPr>
          <w:vertAlign w:val="subscript"/>
        </w:rPr>
        <w:t>1</w:t>
      </w:r>
      <w:proofErr w:type="spellEnd"/>
      <w:r>
        <w:t xml:space="preserve"> of 45</w:t>
      </w:r>
      <w:r w:rsidR="008A0C39">
        <w:t> </w:t>
      </w:r>
      <w:proofErr w:type="spellStart"/>
      <w:r>
        <w:t>mL</w:t>
      </w:r>
      <w:r w:rsidR="00BC005C">
        <w:t>.</w:t>
      </w:r>
      <w:proofErr w:type="spellEnd"/>
      <w:r w:rsidR="00BC005C">
        <w:t xml:space="preserve"> The results</w:t>
      </w:r>
      <w:r w:rsidR="00447073">
        <w:t xml:space="preserve"> of a </w:t>
      </w:r>
      <w:r>
        <w:t>study in workers suggest that a mean FEV</w:t>
      </w:r>
      <w:r w:rsidRPr="00115E44">
        <w:rPr>
          <w:vertAlign w:val="subscript"/>
        </w:rPr>
        <w:t>1</w:t>
      </w:r>
      <w:r>
        <w:t xml:space="preserve"> decline of 120 mL is not statistically significant </w:t>
      </w:r>
      <w:r w:rsidR="00115E44">
        <w:t>with respect to</w:t>
      </w:r>
      <w:r>
        <w:t xml:space="preserve"> cardiovascular mortality. Therefore, HCOTN (2011) concluded an</w:t>
      </w:r>
      <w:r w:rsidR="008A386D">
        <w:t xml:space="preserve"> average loss of FEV</w:t>
      </w:r>
      <w:r w:rsidR="008A386D" w:rsidRPr="00115E44">
        <w:rPr>
          <w:vertAlign w:val="subscript"/>
        </w:rPr>
        <w:t>1</w:t>
      </w:r>
      <w:r w:rsidR="008A386D">
        <w:t xml:space="preserve"> of 45 mL </w:t>
      </w:r>
      <w:r>
        <w:t xml:space="preserve">is </w:t>
      </w:r>
      <w:r w:rsidR="008A386D">
        <w:t>n</w:t>
      </w:r>
      <w:r>
        <w:t>ot considered an adverse effect</w:t>
      </w:r>
      <w:r w:rsidR="000A4DA2">
        <w:t>.</w:t>
      </w:r>
    </w:p>
    <w:p w14:paraId="15388D70" w14:textId="2A3193FB" w:rsidR="000A4DA2" w:rsidRDefault="0095481C" w:rsidP="008A386D">
      <w:r>
        <w:lastRenderedPageBreak/>
        <w:t>Based on the evidence presented</w:t>
      </w:r>
      <w:r w:rsidR="002D7B5A">
        <w:t>,</w:t>
      </w:r>
      <w:r>
        <w:t xml:space="preserve"> a</w:t>
      </w:r>
      <w:r w:rsidR="000A4DA2" w:rsidRPr="000A4DA2">
        <w:t xml:space="preserve"> TWA of 1</w:t>
      </w:r>
      <w:r w:rsidR="000A4DA2">
        <w:t>.5</w:t>
      </w:r>
      <w:r w:rsidR="000A4DA2" w:rsidRPr="000A4DA2">
        <w:t xml:space="preserve"> mg/m</w:t>
      </w:r>
      <w:r w:rsidR="000A4DA2" w:rsidRPr="008B2FBF">
        <w:rPr>
          <w:vertAlign w:val="superscript"/>
        </w:rPr>
        <w:t>3</w:t>
      </w:r>
      <w:r w:rsidR="000A4DA2" w:rsidRPr="000A4DA2">
        <w:t xml:space="preserve"> is recommended as derived by </w:t>
      </w:r>
      <w:r w:rsidR="000A4DA2">
        <w:t>HCOTN (2011</w:t>
      </w:r>
      <w:r w:rsidR="000A4DA2" w:rsidRPr="000A4DA2">
        <w:t>)</w:t>
      </w:r>
      <w:r>
        <w:t xml:space="preserve"> and is considered to provide a sufficient margin of </w:t>
      </w:r>
      <w:r w:rsidR="008B18AC">
        <w:t>protection</w:t>
      </w:r>
      <w:r>
        <w:t xml:space="preserve"> against</w:t>
      </w:r>
      <w:r w:rsidR="000A4DA2">
        <w:t xml:space="preserve"> adverse effects in the respiratory tract and changes in lung function.</w:t>
      </w:r>
    </w:p>
    <w:p w14:paraId="5D9DEFD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E52094B" w14:textId="64A3F712" w:rsidR="003B3FE7" w:rsidRPr="00CC6EBA" w:rsidRDefault="003B3FE7" w:rsidP="003B3FE7">
      <w:pPr>
        <w:rPr>
          <w:rFonts w:cs="Arial"/>
        </w:rPr>
      </w:pPr>
      <w:r w:rsidRPr="00CC6EBA">
        <w:rPr>
          <w:rFonts w:cs="Arial"/>
        </w:rPr>
        <w:t>Not classified as a carcinogen according to the Globally Harmonized System of Classification and Labelling o</w:t>
      </w:r>
      <w:r w:rsidR="00F4303D">
        <w:rPr>
          <w:rFonts w:cs="Arial"/>
        </w:rPr>
        <w:t>f</w:t>
      </w:r>
      <w:r w:rsidRPr="00CC6EBA">
        <w:rPr>
          <w:rFonts w:cs="Arial"/>
        </w:rPr>
        <w:t xml:space="preserve"> Chemicals (GHS). </w:t>
      </w:r>
    </w:p>
    <w:p w14:paraId="7C3B2EAD" w14:textId="1CA74FBC" w:rsidR="003B3FE7" w:rsidRPr="00CC6EBA" w:rsidRDefault="003B3FE7" w:rsidP="003B3FE7">
      <w:pPr>
        <w:rPr>
          <w:rFonts w:cs="Arial"/>
        </w:rPr>
      </w:pPr>
      <w:r w:rsidRPr="00CC6EBA">
        <w:rPr>
          <w:rFonts w:cs="Arial"/>
        </w:rPr>
        <w:t xml:space="preserve">Not classified as a skin </w:t>
      </w:r>
      <w:r w:rsidR="00C1772F">
        <w:rPr>
          <w:rFonts w:cs="Arial"/>
        </w:rPr>
        <w:t>s</w:t>
      </w:r>
      <w:r w:rsidR="00680E72">
        <w:rPr>
          <w:rFonts w:cs="Arial"/>
        </w:rPr>
        <w:t>ensitiser</w:t>
      </w:r>
      <w:r w:rsidR="00C1772F" w:rsidRPr="00CC6EBA">
        <w:rPr>
          <w:rFonts w:cs="Arial"/>
        </w:rPr>
        <w:t xml:space="preserve"> </w:t>
      </w:r>
      <w:r w:rsidRPr="00CC6EBA">
        <w:rPr>
          <w:rFonts w:cs="Arial"/>
        </w:rPr>
        <w:t>or respiratory sensitiser according to the GHS.</w:t>
      </w:r>
      <w:r w:rsidR="008A386D">
        <w:rPr>
          <w:rFonts w:cs="Arial"/>
        </w:rPr>
        <w:t xml:space="preserve"> Asthma and allergy effects are noted in the primary sources and it is recommended </w:t>
      </w:r>
      <w:r w:rsidR="00BF4C1A">
        <w:rPr>
          <w:rFonts w:cs="Arial"/>
        </w:rPr>
        <w:t xml:space="preserve">that </w:t>
      </w:r>
      <w:r w:rsidR="008A386D">
        <w:rPr>
          <w:rFonts w:cs="Arial"/>
        </w:rPr>
        <w:t xml:space="preserve">a further review of sensitiser </w:t>
      </w:r>
      <w:r w:rsidR="008B2FBF">
        <w:rPr>
          <w:rFonts w:cs="Arial"/>
        </w:rPr>
        <w:t>potential</w:t>
      </w:r>
      <w:r w:rsidR="008A386D">
        <w:rPr>
          <w:rFonts w:cs="Arial"/>
        </w:rPr>
        <w:t xml:space="preserve"> is undertaken.</w:t>
      </w:r>
    </w:p>
    <w:p w14:paraId="057A980A" w14:textId="4983C385" w:rsidR="003B3FE7" w:rsidRPr="004C23F4" w:rsidRDefault="00F4303D" w:rsidP="003B3FE7">
      <w:pPr>
        <w:rPr>
          <w:rFonts w:cs="Arial"/>
        </w:rPr>
      </w:pPr>
      <w:r>
        <w:rPr>
          <w:rFonts w:cs="Arial"/>
        </w:rPr>
        <w:t xml:space="preserve">There </w:t>
      </w:r>
      <w:r w:rsidR="00832EDA">
        <w:rPr>
          <w:rFonts w:cs="Arial"/>
        </w:rPr>
        <w:t>are</w:t>
      </w:r>
      <w:r>
        <w:rPr>
          <w:rFonts w:cs="Arial"/>
        </w:rPr>
        <w:t xml:space="preserve"> i</w:t>
      </w:r>
      <w:r w:rsidR="003B3FE7" w:rsidRPr="00CC6EBA">
        <w:rPr>
          <w:rFonts w:cs="Arial"/>
        </w:rPr>
        <w:t xml:space="preserve">nsufficient </w:t>
      </w:r>
      <w:r w:rsidR="00832EDA">
        <w:rPr>
          <w:rFonts w:cs="Arial"/>
        </w:rPr>
        <w:t>data</w:t>
      </w:r>
      <w:r w:rsidR="003B3FE7" w:rsidRPr="00CC6EBA">
        <w:rPr>
          <w:rFonts w:cs="Arial"/>
        </w:rPr>
        <w:t xml:space="preserve"> to recommend a skin notation.</w:t>
      </w:r>
    </w:p>
    <w:p w14:paraId="482E0DD6" w14:textId="77777777" w:rsidR="0025734A" w:rsidRPr="004C23F4" w:rsidRDefault="0025734A">
      <w:pPr>
        <w:rPr>
          <w:rFonts w:cs="Arial"/>
        </w:rPr>
      </w:pPr>
    </w:p>
    <w:p w14:paraId="36DCF04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4FB70D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D2400A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ACB4FF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939003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FA75F2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C7CA45" w14:textId="52BC919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B3FE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B3FE7">
                  <w:t>TWA: 4 mg/m</w:t>
                </w:r>
                <w:r w:rsidR="003B3FE7" w:rsidRPr="003B3FE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2E45AA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F9595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F5FAC0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76BDE4" w14:textId="6AEC985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B3FE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B3FE7">
                  <w:t>TLV-TWA: 4 mg/m</w:t>
                </w:r>
                <w:r w:rsidR="003B3FE7" w:rsidRPr="003B3FE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AB30D8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A0A5A4" w14:textId="3B37F0BE" w:rsidR="00C978F0" w:rsidRDefault="00B63882" w:rsidP="003365A5">
            <w:pPr>
              <w:pStyle w:val="Tabletextprimarysource"/>
            </w:pPr>
            <w:r>
              <w:t>TLV-TWA recommended to minimise the potential for acute irritation of the upper respiratory tract, eyes and skin</w:t>
            </w:r>
            <w:r w:rsidR="00F8729B">
              <w:t>,</w:t>
            </w:r>
            <w:r>
              <w:t xml:space="preserve"> bronchitis and </w:t>
            </w:r>
            <w:r w:rsidR="00762F6E">
              <w:t>decreased</w:t>
            </w:r>
            <w:r>
              <w:t xml:space="preserve"> pulmonary function. Applies to exposure to the</w:t>
            </w:r>
            <w:r w:rsidR="00762F6E">
              <w:t xml:space="preserve"> total dust from</w:t>
            </w:r>
            <w:r>
              <w:t xml:space="preserve"> whole grain before the milling operation.</w:t>
            </w:r>
          </w:p>
          <w:p w14:paraId="536AA684" w14:textId="0EE043B9" w:rsidR="00B63882" w:rsidRDefault="00B63882" w:rsidP="003365A5">
            <w:pPr>
              <w:pStyle w:val="Tabletextprimarysource"/>
            </w:pPr>
            <w:r>
              <w:t>Summary of data:</w:t>
            </w:r>
          </w:p>
          <w:p w14:paraId="192CE1FA" w14:textId="77777777" w:rsidR="00B63882" w:rsidRDefault="00B63882" w:rsidP="003365A5">
            <w:pPr>
              <w:pStyle w:val="Tabletextprimarysource"/>
            </w:pPr>
            <w:r>
              <w:t>Human data:</w:t>
            </w:r>
          </w:p>
          <w:p w14:paraId="64640CC5" w14:textId="2FD7D4F7" w:rsidR="00B63882" w:rsidRDefault="00B63882" w:rsidP="00F87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Barley, wheat and oat dusts all cause similar respiratory distress</w:t>
            </w:r>
            <w:r w:rsidR="007A1ECA">
              <w:t>; available evidence indicates that grain dust is not merely a nuisance</w:t>
            </w:r>
          </w:p>
          <w:p w14:paraId="4EFD5FBC" w14:textId="5A77123F" w:rsidR="00DD4D55" w:rsidRDefault="00DD4D55" w:rsidP="00F87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Pulmonary effects reported in g</w:t>
            </w:r>
            <w:r w:rsidR="00B67077">
              <w:t xml:space="preserve">rain workers </w:t>
            </w:r>
            <w:r>
              <w:t>include</w:t>
            </w:r>
            <w:r w:rsidR="00B67077">
              <w:t xml:space="preserve"> wheezing, cough, chronic bronchitis, </w:t>
            </w:r>
            <w:r w:rsidR="00832EDA">
              <w:t>dyspnoea</w:t>
            </w:r>
            <w:r w:rsidR="00B67077">
              <w:t>, asthma, farmer's lung, chronic airway obstruction, mycotoxicosi</w:t>
            </w:r>
            <w:r w:rsidR="00F4303D">
              <w:t xml:space="preserve">s </w:t>
            </w:r>
            <w:r>
              <w:t>and allergic alveolitis</w:t>
            </w:r>
          </w:p>
          <w:p w14:paraId="2F67CF8B" w14:textId="3EDD94D1" w:rsidR="00B63882" w:rsidRDefault="00DD4D55" w:rsidP="00F87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B67077">
              <w:t>on</w:t>
            </w:r>
            <w:r w:rsidR="00F4303D">
              <w:t>-</w:t>
            </w:r>
            <w:r w:rsidR="00B67077">
              <w:t xml:space="preserve">pulmonary effects </w:t>
            </w:r>
            <w:r>
              <w:t xml:space="preserve">include </w:t>
            </w:r>
            <w:r w:rsidR="00B67077">
              <w:t>rhinitis, conjunctivitis, grain f</w:t>
            </w:r>
            <w:r>
              <w:t>ever and dermatitis</w:t>
            </w:r>
          </w:p>
          <w:p w14:paraId="55A2F888" w14:textId="6EBE827B" w:rsidR="000C5B72" w:rsidRDefault="000C5B72" w:rsidP="00F87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measurements from 85 samples taken at 8 terminal elevators in the United States during October 1975, a peak season for shipping newly harvested grain; the geometric means varied between elevators from 2.57 to 8.86 mg/m</w:t>
            </w:r>
            <w:r w:rsidRPr="00AD4CBB">
              <w:rPr>
                <w:vertAlign w:val="superscript"/>
              </w:rPr>
              <w:t>3</w:t>
            </w:r>
            <w:r>
              <w:t>; the fraction of samples expected to be below 4 mg/m</w:t>
            </w:r>
            <w:r w:rsidRPr="00AD4CBB">
              <w:rPr>
                <w:vertAlign w:val="superscript"/>
              </w:rPr>
              <w:t>3</w:t>
            </w:r>
            <w:r>
              <w:t xml:space="preserve"> varied from 73% to only 5%</w:t>
            </w:r>
          </w:p>
          <w:p w14:paraId="1DA09808" w14:textId="08411682" w:rsidR="000C5B72" w:rsidRDefault="000C5B72" w:rsidP="00F87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Used to determine the prevalence of respiratory symptoms and correlated them with dust concentrations by Rankin </w:t>
            </w:r>
            <w:r>
              <w:rPr>
                <w:i/>
              </w:rPr>
              <w:t>et al</w:t>
            </w:r>
            <w:r>
              <w:t xml:space="preserve"> (1986) and DoPico </w:t>
            </w:r>
            <w:r>
              <w:rPr>
                <w:i/>
              </w:rPr>
              <w:t xml:space="preserve">et al </w:t>
            </w:r>
            <w:r w:rsidRPr="00D142C1">
              <w:t>(1983)</w:t>
            </w:r>
          </w:p>
          <w:p w14:paraId="00E27052" w14:textId="04AB2FEC" w:rsidR="00DD4D55" w:rsidRDefault="000C5B72" w:rsidP="00F87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two s</w:t>
            </w:r>
            <w:r w:rsidR="00B96A2C">
              <w:t xml:space="preserve">tudies </w:t>
            </w:r>
            <w:r w:rsidR="00C74008">
              <w:t xml:space="preserve">for </w:t>
            </w:r>
            <w:r w:rsidR="00B96A2C">
              <w:t>prevalence of respiratory symptoms and their association with dust concentration showed that a</w:t>
            </w:r>
            <w:r w:rsidR="00DD4D55">
              <w:t xml:space="preserve">cute bronchitis symptoms did not appear in workers exposed </w:t>
            </w:r>
            <w:r w:rsidR="005B50BC">
              <w:t xml:space="preserve">at </w:t>
            </w:r>
            <w:r w:rsidR="00DD4D55">
              <w:rPr>
                <w:rFonts w:cs="Arial"/>
              </w:rPr>
              <w:t>≤</w:t>
            </w:r>
            <w:r w:rsidR="00DD4D55">
              <w:t>4 mg/m</w:t>
            </w:r>
            <w:r w:rsidR="00DD4D55" w:rsidRPr="00DD4D55">
              <w:rPr>
                <w:vertAlign w:val="superscript"/>
              </w:rPr>
              <w:t>3</w:t>
            </w:r>
          </w:p>
          <w:p w14:paraId="5B3FFC6A" w14:textId="6992369A" w:rsidR="00DD4D55" w:rsidRDefault="00B96A2C" w:rsidP="00F87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Little to no correlation</w:t>
            </w:r>
            <w:r w:rsidR="00DD4D55">
              <w:t xml:space="preserve"> in pulmonary function</w:t>
            </w:r>
            <w:r>
              <w:t xml:space="preserve"> across one day</w:t>
            </w:r>
            <w:r w:rsidR="00DD4D55">
              <w:t xml:space="preserve"> in workers </w:t>
            </w:r>
            <w:r w:rsidR="005B50BC">
              <w:t>exposed at</w:t>
            </w:r>
            <w:r w:rsidR="00762F6E">
              <w:t xml:space="preserve"> an average</w:t>
            </w:r>
            <w:r w:rsidR="00DD4D55">
              <w:t xml:space="preserve"> dust concentration of 6.6 mg/m</w:t>
            </w:r>
            <w:r w:rsidR="00DD4D55" w:rsidRPr="00DD4D55">
              <w:rPr>
                <w:vertAlign w:val="superscript"/>
              </w:rPr>
              <w:t>3</w:t>
            </w:r>
          </w:p>
          <w:p w14:paraId="3050266F" w14:textId="04F43F2B" w:rsidR="00DD4D55" w:rsidRDefault="00DD4D55" w:rsidP="00F87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increased risk of rapid decline in pulmonary function in workers exposed</w:t>
            </w:r>
            <w:r w:rsidR="00BA02CC">
              <w:t xml:space="preserve"> &lt;</w:t>
            </w:r>
            <w:r>
              <w:t>5 mg/m</w:t>
            </w:r>
            <w:r>
              <w:rPr>
                <w:vertAlign w:val="superscript"/>
              </w:rPr>
              <w:t>3</w:t>
            </w:r>
            <w:r w:rsidR="00725345">
              <w:t>.</w:t>
            </w:r>
          </w:p>
          <w:p w14:paraId="25D073D8" w14:textId="77777777" w:rsidR="00604DCF" w:rsidRDefault="00604DCF" w:rsidP="00DD4D55">
            <w:pPr>
              <w:pStyle w:val="Tabletextprimarysource"/>
            </w:pPr>
          </w:p>
          <w:p w14:paraId="710AC51A" w14:textId="4A920FDB" w:rsidR="00DD4D55" w:rsidRDefault="00DD4D55" w:rsidP="00DD4D55">
            <w:pPr>
              <w:pStyle w:val="Tabletextprimarysource"/>
            </w:pPr>
            <w:r>
              <w:t>No animal data reported</w:t>
            </w:r>
            <w:r w:rsidR="00725345">
              <w:t>.</w:t>
            </w:r>
          </w:p>
          <w:p w14:paraId="60771F5F" w14:textId="495ABD36" w:rsidR="00B96A2C" w:rsidRDefault="00B96A2C" w:rsidP="00DD4D55">
            <w:pPr>
              <w:pStyle w:val="Tabletextprimarysource"/>
            </w:pPr>
            <w:r>
              <w:t>No specific derivation of the TWA is provided</w:t>
            </w:r>
            <w:r w:rsidR="008B2FBF">
              <w:t>.</w:t>
            </w:r>
          </w:p>
          <w:p w14:paraId="0862BAA0" w14:textId="77777777" w:rsidR="00DD4D55" w:rsidRDefault="00DD4D55" w:rsidP="00DD4D55">
            <w:pPr>
              <w:pStyle w:val="Tabletextprimarysource"/>
            </w:pPr>
            <w:r>
              <w:t>Insufficient data to recommended sensitisation, skin or carcinogenicity notations.</w:t>
            </w:r>
          </w:p>
          <w:p w14:paraId="74570DA3" w14:textId="7B084C44" w:rsidR="000B799D" w:rsidRPr="00DA352E" w:rsidRDefault="000B799D" w:rsidP="00DD4D55">
            <w:pPr>
              <w:pStyle w:val="Tabletextprimarysource"/>
            </w:pPr>
          </w:p>
        </w:tc>
      </w:tr>
      <w:tr w:rsidR="00C978F0" w:rsidRPr="00DA352E" w14:paraId="7D61420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1B538E" w14:textId="4C8D072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B3FE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B3FE7">
                  <w:t>NA</w:t>
                </w:r>
                <w:proofErr w:type="spellEnd"/>
              </w:sdtContent>
            </w:sdt>
          </w:p>
        </w:tc>
      </w:tr>
      <w:tr w:rsidR="00C978F0" w:rsidRPr="00DA352E" w14:paraId="26A0BAD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2FFA44" w14:textId="28F22C34" w:rsidR="00C978F0" w:rsidRPr="00DA352E" w:rsidRDefault="003B3FE7" w:rsidP="003365A5">
            <w:pPr>
              <w:pStyle w:val="Tabletextprimarysource"/>
            </w:pPr>
            <w:r>
              <w:t>No report</w:t>
            </w:r>
            <w:r w:rsidR="00F4303D">
              <w:t>.</w:t>
            </w:r>
          </w:p>
        </w:tc>
      </w:tr>
      <w:tr w:rsidR="00C978F0" w:rsidRPr="00DA352E" w14:paraId="57E3323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2C0C5C" w14:textId="15C3664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B3FE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B3FE7">
                  <w:t>NA</w:t>
                </w:r>
                <w:proofErr w:type="spellEnd"/>
              </w:sdtContent>
            </w:sdt>
          </w:p>
        </w:tc>
      </w:tr>
      <w:tr w:rsidR="00C978F0" w:rsidRPr="00DA352E" w14:paraId="1A8C950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0A2725" w14:textId="0F4ED598" w:rsidR="00C978F0" w:rsidRPr="00DA352E" w:rsidRDefault="003B3FE7" w:rsidP="003365A5">
            <w:pPr>
              <w:pStyle w:val="Tabletextprimarysource"/>
            </w:pPr>
            <w:r>
              <w:t>No report</w:t>
            </w:r>
            <w:r w:rsidR="00F4303D">
              <w:t>.</w:t>
            </w:r>
          </w:p>
        </w:tc>
      </w:tr>
      <w:tr w:rsidR="00DA352E" w:rsidRPr="00DA352E" w14:paraId="25C30C8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3D03AF" w14:textId="6AC120A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B3FE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B3FE7">
                  <w:t>NA</w:t>
                </w:r>
                <w:proofErr w:type="spellEnd"/>
              </w:sdtContent>
            </w:sdt>
          </w:p>
        </w:tc>
      </w:tr>
      <w:tr w:rsidR="00DA352E" w:rsidRPr="00DA352E" w14:paraId="69B811B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C409C8" w14:textId="1336857F" w:rsidR="00DA352E" w:rsidRPr="00DA352E" w:rsidRDefault="003B3FE7" w:rsidP="003365A5">
            <w:pPr>
              <w:pStyle w:val="Tabletextprimarysource"/>
            </w:pPr>
            <w:r>
              <w:t>No report</w:t>
            </w:r>
            <w:r w:rsidR="00F4303D">
              <w:t>.</w:t>
            </w:r>
          </w:p>
        </w:tc>
      </w:tr>
      <w:tr w:rsidR="00DA352E" w:rsidRPr="00DA352E" w14:paraId="184AE90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8CDEC4" w14:textId="588CDC1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B3FE7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B3FE7">
                  <w:t>TWA: 1.5 mg/m</w:t>
                </w:r>
                <w:r w:rsidR="003B3FE7" w:rsidRPr="003B3FE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1A12CEF9" w14:textId="77777777" w:rsidTr="00604DCF">
        <w:trPr>
          <w:gridAfter w:val="1"/>
          <w:wAfter w:w="8" w:type="pct"/>
        </w:trPr>
        <w:tc>
          <w:tcPr>
            <w:tcW w:w="4992" w:type="pct"/>
          </w:tcPr>
          <w:p w14:paraId="4C43BF42" w14:textId="77777777" w:rsidR="00DA352E" w:rsidRDefault="00DD4D55" w:rsidP="003365A5">
            <w:pPr>
              <w:pStyle w:val="Tabletextprimarysource"/>
            </w:pPr>
            <w:r>
              <w:t>Summary of additional data:</w:t>
            </w:r>
          </w:p>
          <w:p w14:paraId="1731BF6C" w14:textId="3CB0A5AE" w:rsidR="007A1ECA" w:rsidRDefault="002C3EF2" w:rsidP="007A1ECA">
            <w:pPr>
              <w:pStyle w:val="ListBullet"/>
              <w:spacing w:before="60" w:after="60"/>
              <w:ind w:left="720" w:hanging="357"/>
              <w:contextualSpacing w:val="0"/>
            </w:pPr>
            <w:r>
              <w:lastRenderedPageBreak/>
              <w:t>Heterogeneous composition; components of plants and components of microbial origin such as endotoxins; endotoxin content extremely variable</w:t>
            </w:r>
            <w:r w:rsidR="00AD4CBB">
              <w:t xml:space="preserve">. </w:t>
            </w:r>
            <w:r w:rsidR="007A1ECA">
              <w:t>Two acute and short term exposure studies on grain workers were selected as critical studies for the derivation of a health-based recommended OEL</w:t>
            </w:r>
          </w:p>
          <w:p w14:paraId="4B2791A0" w14:textId="080F6B76" w:rsidR="007A1ECA" w:rsidRDefault="000C5B72" w:rsidP="00AD4CBB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Corey </w:t>
            </w:r>
            <w:r w:rsidRPr="00AD4CBB">
              <w:rPr>
                <w:i/>
              </w:rPr>
              <w:t>et al</w:t>
            </w:r>
            <w:r>
              <w:t xml:space="preserve"> (1982) studied </w:t>
            </w:r>
            <w:r w:rsidR="007A1ECA">
              <w:t>47 grain workers  during</w:t>
            </w:r>
            <w:r>
              <w:t xml:space="preserve"> 1 wk</w:t>
            </w:r>
            <w:r w:rsidR="007A1ECA">
              <w:t>; mean exposure levels were approximately 1 mg/m</w:t>
            </w:r>
            <w:r w:rsidR="007A1ECA" w:rsidRPr="00AD4CBB">
              <w:rPr>
                <w:vertAlign w:val="superscript"/>
              </w:rPr>
              <w:t>3</w:t>
            </w:r>
            <w:r w:rsidR="007A1ECA">
              <w:t xml:space="preserve"> respirable dust and 6 mg/m</w:t>
            </w:r>
            <w:r w:rsidR="007A1ECA" w:rsidRPr="00AD4CBB">
              <w:rPr>
                <w:vertAlign w:val="superscript"/>
              </w:rPr>
              <w:t xml:space="preserve">3 </w:t>
            </w:r>
            <w:r w:rsidR="007A1ECA">
              <w:t>non-respirable dust; compared to a control group of outside labourers, FEV</w:t>
            </w:r>
            <w:r w:rsidR="007A1ECA" w:rsidRPr="00AD4CBB">
              <w:rPr>
                <w:vertAlign w:val="subscript"/>
              </w:rPr>
              <w:t xml:space="preserve">1 </w:t>
            </w:r>
            <w:r w:rsidR="007A1ECA">
              <w:t>and FVC decreased during the week (from Monday morning to Friday morning); correlation between exposure and cross-shift decreases of MEF</w:t>
            </w:r>
            <w:r w:rsidR="007A1ECA" w:rsidRPr="00AD4CBB">
              <w:rPr>
                <w:vertAlign w:val="subscript"/>
              </w:rPr>
              <w:t>50</w:t>
            </w:r>
            <w:r w:rsidR="007A1ECA">
              <w:t xml:space="preserve"> and MEF</w:t>
            </w:r>
            <w:r w:rsidR="007A1ECA" w:rsidRPr="00AD4CBB">
              <w:rPr>
                <w:vertAlign w:val="subscript"/>
              </w:rPr>
              <w:t>25</w:t>
            </w:r>
            <w:r w:rsidR="007A1ECA">
              <w:t xml:space="preserve"> was found</w:t>
            </w:r>
          </w:p>
          <w:p w14:paraId="1B0A649C" w14:textId="68559DF3" w:rsidR="00A45B8F" w:rsidRDefault="000C5B72" w:rsidP="00AD4CBB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DoPico </w:t>
            </w:r>
            <w:r>
              <w:rPr>
                <w:i/>
              </w:rPr>
              <w:t xml:space="preserve">et al </w:t>
            </w:r>
            <w:r w:rsidRPr="00AD4CBB">
              <w:t xml:space="preserve">(1983) </w:t>
            </w:r>
            <w:r>
              <w:t>studied</w:t>
            </w:r>
            <w:r w:rsidR="00A45B8F">
              <w:t xml:space="preserve"> 248 grain handlers before and after an 8-h work shift compared to 192 controls; grain workers were exposed to a mean personal total dust concentration of 3.3 mg/m</w:t>
            </w:r>
            <w:r w:rsidR="00A45B8F">
              <w:rPr>
                <w:vertAlign w:val="superscript"/>
              </w:rPr>
              <w:t>3</w:t>
            </w:r>
            <w:r w:rsidR="00A45B8F">
              <w:t>; corrected for effects of age, height and smoking habits, the increase of total dust concentration correlated significantly (p&lt; 0.05) with the decrease in FVC, MEF</w:t>
            </w:r>
            <w:r w:rsidR="00A45B8F" w:rsidRPr="00AD4CBB">
              <w:rPr>
                <w:vertAlign w:val="subscript"/>
              </w:rPr>
              <w:t>50</w:t>
            </w:r>
            <w:r w:rsidR="00A45B8F">
              <w:t xml:space="preserve"> and MEF</w:t>
            </w:r>
            <w:r w:rsidR="00A45B8F" w:rsidRPr="00AD4CBB">
              <w:rPr>
                <w:vertAlign w:val="subscript"/>
              </w:rPr>
              <w:t>75</w:t>
            </w:r>
            <w:r w:rsidR="00A45B8F">
              <w:t xml:space="preserve"> and the increase in leukocyte count</w:t>
            </w:r>
            <w:r>
              <w:t>; different study to that cited in ACGIH (2018)</w:t>
            </w:r>
          </w:p>
          <w:p w14:paraId="1E323EA9" w14:textId="37997009" w:rsidR="002C3EF2" w:rsidRDefault="001C1C4D" w:rsidP="00AD4CBB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f</w:t>
            </w:r>
            <w:r w:rsidR="00A45B8F">
              <w:t xml:space="preserve">rom these studies the HCOTN estimated a </w:t>
            </w:r>
            <w:r w:rsidR="002C3EF2">
              <w:t>LOAE</w:t>
            </w:r>
            <w:r w:rsidR="008B543B">
              <w:t>C</w:t>
            </w:r>
            <w:r w:rsidR="002C3EF2">
              <w:t xml:space="preserve"> of 4 mg/m</w:t>
            </w:r>
            <w:r w:rsidR="002C3EF2" w:rsidRPr="007A1ECA">
              <w:rPr>
                <w:vertAlign w:val="superscript"/>
              </w:rPr>
              <w:t>3</w:t>
            </w:r>
            <w:r w:rsidR="002C3EF2">
              <w:t>; applied a safety factor of 3 for no NOAE</w:t>
            </w:r>
            <w:r w:rsidR="008B543B">
              <w:t>C</w:t>
            </w:r>
            <w:r w:rsidR="002C3EF2">
              <w:t xml:space="preserve"> to arrive at 1.5</w:t>
            </w:r>
            <w:r w:rsidR="000B799D">
              <w:t> </w:t>
            </w:r>
            <w:r w:rsidR="002C3EF2">
              <w:t>mg/m</w:t>
            </w:r>
            <w:r w:rsidR="002C3EF2" w:rsidRPr="007A1ECA">
              <w:rPr>
                <w:vertAlign w:val="superscript"/>
              </w:rPr>
              <w:t>3</w:t>
            </w:r>
            <w:r w:rsidR="002C3EF2">
              <w:t xml:space="preserve"> </w:t>
            </w:r>
          </w:p>
          <w:p w14:paraId="53C79934" w14:textId="77777777" w:rsidR="00BA02CC" w:rsidRDefault="00BA02CC" w:rsidP="00604DCF">
            <w:pPr>
              <w:pStyle w:val="ListBullet"/>
              <w:spacing w:before="60" w:after="60"/>
              <w:ind w:left="720" w:hanging="357"/>
              <w:contextualSpacing w:val="0"/>
            </w:pPr>
            <w:r>
              <w:t>Supporting information:</w:t>
            </w:r>
          </w:p>
          <w:p w14:paraId="558EB67A" w14:textId="08A76DD4" w:rsidR="00BA02CC" w:rsidRDefault="00BA02CC" w:rsidP="00604DCF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2C3EF2">
              <w:t>verage FEV</w:t>
            </w:r>
            <w:r w:rsidR="002C3EF2" w:rsidRPr="002C3EF2">
              <w:rPr>
                <w:vertAlign w:val="subscript"/>
              </w:rPr>
              <w:t>1</w:t>
            </w:r>
            <w:r w:rsidR="002C3EF2">
              <w:t xml:space="preserve"> decline during 40 </w:t>
            </w:r>
            <w:r w:rsidR="00F4303D">
              <w:t>yr</w:t>
            </w:r>
            <w:r w:rsidR="002C3EF2">
              <w:t xml:space="preserve"> is </w:t>
            </w:r>
            <w:r w:rsidR="00FA25EC">
              <w:rPr>
                <w:rFonts w:cs="Arial"/>
              </w:rPr>
              <w:t>≈</w:t>
            </w:r>
            <w:r w:rsidR="002C3EF2">
              <w:t xml:space="preserve">1 </w:t>
            </w:r>
            <w:r w:rsidR="00F4303D">
              <w:t>L</w:t>
            </w:r>
            <w:r w:rsidR="002C3EF2">
              <w:t xml:space="preserve"> in the general non-smoking population</w:t>
            </w:r>
          </w:p>
          <w:p w14:paraId="586FBEE4" w14:textId="5E9EF4FF" w:rsidR="002C3EF2" w:rsidRDefault="00BA02CC" w:rsidP="00604DCF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2C3EF2">
              <w:t xml:space="preserve">ata from endotoxin TWA </w:t>
            </w:r>
            <w:r>
              <w:t>allows prediction of additional loss of FEV</w:t>
            </w:r>
            <w:r w:rsidRPr="00BA02CC">
              <w:rPr>
                <w:vertAlign w:val="subscript"/>
              </w:rPr>
              <w:t>1</w:t>
            </w:r>
            <w:r>
              <w:t xml:space="preserve"> in time (no </w:t>
            </w:r>
            <w:r w:rsidR="00F4303D">
              <w:t xml:space="preserve">further </w:t>
            </w:r>
            <w:r>
              <w:t>information provided)</w:t>
            </w:r>
          </w:p>
          <w:p w14:paraId="656B7FDA" w14:textId="68DD051F" w:rsidR="00BA02CC" w:rsidRDefault="00BA02CC" w:rsidP="00604DCF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exposure to the proposed TWA of 1.5 mg/m</w:t>
            </w:r>
            <w:r w:rsidRPr="00BA02CC">
              <w:rPr>
                <w:vertAlign w:val="superscript"/>
              </w:rPr>
              <w:t>3</w:t>
            </w:r>
            <w:r>
              <w:t xml:space="preserve"> for 40 </w:t>
            </w:r>
            <w:r w:rsidR="00F4303D">
              <w:t>yr</w:t>
            </w:r>
            <w:r>
              <w:t xml:space="preserve"> leads to an additional loss in FEV</w:t>
            </w:r>
            <w:r w:rsidRPr="00BA02CC">
              <w:rPr>
                <w:vertAlign w:val="subscript"/>
              </w:rPr>
              <w:t>1</w:t>
            </w:r>
            <w:r>
              <w:t xml:space="preserve"> of 45 mL (no further information); average loss of FEV</w:t>
            </w:r>
            <w:r w:rsidRPr="00BA02CC">
              <w:rPr>
                <w:vertAlign w:val="subscript"/>
              </w:rPr>
              <w:t>1</w:t>
            </w:r>
            <w:r w:rsidR="00F17D42">
              <w:t xml:space="preserve"> of 45 mL</w:t>
            </w:r>
            <w:r>
              <w:t xml:space="preserve"> not considered an adverse effect</w:t>
            </w:r>
          </w:p>
          <w:p w14:paraId="01DEE107" w14:textId="77777777" w:rsidR="002C3EF2" w:rsidRDefault="00BA02CC" w:rsidP="00604DCF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study in workers suggests that a mean FEV</w:t>
            </w:r>
            <w:r w:rsidRPr="00BA02CC">
              <w:rPr>
                <w:vertAlign w:val="subscript"/>
              </w:rPr>
              <w:t>1</w:t>
            </w:r>
            <w:r>
              <w:t xml:space="preserve"> decline of 120 mL is not statistically significantly associated with cardiovascular mortality</w:t>
            </w:r>
            <w:r w:rsidR="00F4303D">
              <w:t>.</w:t>
            </w:r>
          </w:p>
          <w:p w14:paraId="0CD9C979" w14:textId="3FFDACE7" w:rsidR="00F069A7" w:rsidRPr="00DA352E" w:rsidRDefault="00F069A7" w:rsidP="00604DCF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</w:tbl>
    <w:p w14:paraId="5E9AD9C8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7CAABA70" w14:textId="18D4D2A5" w:rsidR="007E2A4B" w:rsidRDefault="00F4303D">
      <w:r>
        <w:t>NIL</w:t>
      </w:r>
      <w:r w:rsidR="00604DCF">
        <w:t>.</w:t>
      </w:r>
    </w:p>
    <w:bookmarkEnd w:id="0"/>
    <w:p w14:paraId="3CBF645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CAE057E" w14:textId="77777777" w:rsidTr="00BA02CC">
        <w:trPr>
          <w:trHeight w:val="454"/>
          <w:tblHeader/>
        </w:trPr>
        <w:tc>
          <w:tcPr>
            <w:tcW w:w="6603" w:type="dxa"/>
            <w:vAlign w:val="center"/>
          </w:tcPr>
          <w:p w14:paraId="1578DE4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8F43BFC" w14:textId="0FEAF828" w:rsidR="002E0D61" w:rsidRDefault="00BA02C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ADC9FB5" w14:textId="77777777" w:rsidTr="00BA02C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57ADA93" w14:textId="4121C191" w:rsidR="008A36CF" w:rsidRPr="006901A2" w:rsidRDefault="00BA02C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520154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13CD7E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11217B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6346F0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494F1E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325AB8C" w14:textId="77777777" w:rsidTr="00812887">
        <w:trPr>
          <w:cantSplit/>
        </w:trPr>
        <w:tc>
          <w:tcPr>
            <w:tcW w:w="3227" w:type="dxa"/>
          </w:tcPr>
          <w:p w14:paraId="4E25BD8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8E48DEE" w14:textId="60618D1E" w:rsidR="00687890" w:rsidRPr="00DD2F9B" w:rsidRDefault="003B3FE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69ED60C" w14:textId="77777777" w:rsidTr="00812887">
        <w:trPr>
          <w:cantSplit/>
        </w:trPr>
        <w:tc>
          <w:tcPr>
            <w:tcW w:w="3227" w:type="dxa"/>
          </w:tcPr>
          <w:p w14:paraId="2732C34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17AFF3E" w14:textId="06E0BE73" w:rsidR="007925F0" w:rsidRPr="00DD2F9B" w:rsidRDefault="003B3FE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71C3028" w14:textId="77777777" w:rsidTr="00812887">
        <w:trPr>
          <w:cantSplit/>
        </w:trPr>
        <w:tc>
          <w:tcPr>
            <w:tcW w:w="3227" w:type="dxa"/>
          </w:tcPr>
          <w:p w14:paraId="5686731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EFAD076" w14:textId="557BCF54" w:rsidR="00AF483F" w:rsidRPr="00DD2F9B" w:rsidRDefault="003B3FE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E870E78" w14:textId="77777777" w:rsidTr="00812887">
        <w:trPr>
          <w:cantSplit/>
        </w:trPr>
        <w:tc>
          <w:tcPr>
            <w:tcW w:w="3227" w:type="dxa"/>
          </w:tcPr>
          <w:p w14:paraId="0F7060F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5440BD6" w14:textId="44BE0E29" w:rsidR="00687890" w:rsidRPr="00DD2F9B" w:rsidRDefault="003B3FE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6B02982" w14:textId="77777777" w:rsidTr="00812887">
        <w:trPr>
          <w:cantSplit/>
        </w:trPr>
        <w:tc>
          <w:tcPr>
            <w:tcW w:w="3227" w:type="dxa"/>
          </w:tcPr>
          <w:p w14:paraId="1E4309D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CDDDE91" w14:textId="18240B0E" w:rsidR="00E41A26" w:rsidRPr="00DD2F9B" w:rsidRDefault="003B3F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3766227" w14:textId="77777777" w:rsidTr="00812887">
        <w:trPr>
          <w:cantSplit/>
        </w:trPr>
        <w:tc>
          <w:tcPr>
            <w:tcW w:w="3227" w:type="dxa"/>
          </w:tcPr>
          <w:p w14:paraId="1F3528F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5720D55" w14:textId="18427E25" w:rsidR="002E0D61" w:rsidRPr="00DD2F9B" w:rsidRDefault="003B3FE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5C19C14" w14:textId="77777777" w:rsidTr="00812887">
        <w:trPr>
          <w:cantSplit/>
        </w:trPr>
        <w:tc>
          <w:tcPr>
            <w:tcW w:w="3227" w:type="dxa"/>
          </w:tcPr>
          <w:p w14:paraId="3FA037B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085BD73" w14:textId="19A1DBC7" w:rsidR="002E0D61" w:rsidRPr="00DD2F9B" w:rsidRDefault="003B3F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568335D" w14:textId="77777777" w:rsidTr="00812887">
        <w:trPr>
          <w:cantSplit/>
        </w:trPr>
        <w:tc>
          <w:tcPr>
            <w:tcW w:w="3227" w:type="dxa"/>
          </w:tcPr>
          <w:p w14:paraId="0F8D60B2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3DC338D6" w14:textId="0954A234" w:rsidR="002E0D61" w:rsidRPr="00DD2F9B" w:rsidRDefault="003B3F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2EB568F" w14:textId="77777777" w:rsidTr="00812887">
        <w:trPr>
          <w:cantSplit/>
        </w:trPr>
        <w:tc>
          <w:tcPr>
            <w:tcW w:w="3227" w:type="dxa"/>
          </w:tcPr>
          <w:p w14:paraId="098728D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1368079" w14:textId="41DF1896" w:rsidR="002E0D61" w:rsidRPr="00DD2F9B" w:rsidRDefault="003B3FE7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4F7A51CF" w14:textId="77777777" w:rsidTr="00812887">
        <w:trPr>
          <w:cantSplit/>
        </w:trPr>
        <w:tc>
          <w:tcPr>
            <w:tcW w:w="3227" w:type="dxa"/>
          </w:tcPr>
          <w:p w14:paraId="5964730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D9EC862" w14:textId="536E48D4" w:rsidR="00386093" w:rsidRPr="00DD2F9B" w:rsidRDefault="003B3FE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5613C4A" w14:textId="77777777" w:rsidTr="00812887">
        <w:trPr>
          <w:cantSplit/>
        </w:trPr>
        <w:tc>
          <w:tcPr>
            <w:tcW w:w="3227" w:type="dxa"/>
          </w:tcPr>
          <w:p w14:paraId="22A155E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26A5C3C" w14:textId="71BD4B0A" w:rsidR="00386093" w:rsidRPr="00DD2F9B" w:rsidRDefault="003B3FE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E52E28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CCA759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B40A99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E0D31E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30763E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AB7AA26" w14:textId="7744A0C6" w:rsidR="00932DCE" w:rsidRPr="004C23F4" w:rsidRDefault="00F4303D" w:rsidP="00F9496B">
            <w:pPr>
              <w:pStyle w:val="Tablefont"/>
            </w:pPr>
            <w:r w:rsidRPr="00F4303D">
              <w:t>Insufficient data to assign a skin notation</w:t>
            </w:r>
            <w:r w:rsidR="00604DCF">
              <w:t>.</w:t>
            </w:r>
          </w:p>
        </w:tc>
      </w:tr>
    </w:tbl>
    <w:bookmarkEnd w:id="3"/>
    <w:p w14:paraId="4D903E3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CB46A4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1AF2DF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882CB0D" w14:textId="0823FCE1" w:rsidR="00EB3D1B" w:rsidRDefault="003B3FE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05E9E6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EEE876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EFC97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2115B76" w14:textId="744F8A6E" w:rsidR="001B79E5" w:rsidRDefault="00F4303D" w:rsidP="001B79E5">
                <w:pPr>
                  <w:pStyle w:val="Tablefont"/>
                </w:pPr>
                <w:r>
                  <w:t>N/A</w:t>
                </w:r>
              </w:p>
            </w:tc>
          </w:sdtContent>
        </w:sdt>
      </w:tr>
      <w:tr w:rsidR="00A31D99" w:rsidRPr="004C23F4" w14:paraId="3E8E4E0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FCC289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63F1ED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D0C978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5375E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DEC3D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16DD0C6" w14:textId="77777777" w:rsidTr="00EA6243">
        <w:trPr>
          <w:cantSplit/>
        </w:trPr>
        <w:tc>
          <w:tcPr>
            <w:tcW w:w="4077" w:type="dxa"/>
            <w:vAlign w:val="center"/>
          </w:tcPr>
          <w:p w14:paraId="271DF04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96E22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D84FC3" w14:textId="77777777" w:rsidTr="00EA6243">
        <w:trPr>
          <w:cantSplit/>
        </w:trPr>
        <w:tc>
          <w:tcPr>
            <w:tcW w:w="4077" w:type="dxa"/>
            <w:vAlign w:val="center"/>
          </w:tcPr>
          <w:p w14:paraId="5CEF0C0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AD490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7A7CEA0" w14:textId="77777777" w:rsidTr="00EA6243">
        <w:trPr>
          <w:cantSplit/>
        </w:trPr>
        <w:tc>
          <w:tcPr>
            <w:tcW w:w="4077" w:type="dxa"/>
            <w:vAlign w:val="center"/>
          </w:tcPr>
          <w:p w14:paraId="7078D61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6B9F98F" w14:textId="77777777" w:rsidR="00E06F40" w:rsidRPr="00A006A0" w:rsidRDefault="00EA494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BAE844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502EF6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1155B7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B624BC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4C1B1D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CA8534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08E78E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5CFDF6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2BAD7B3" w14:textId="390CD69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C9126F0" w14:textId="78B2F5E9" w:rsidR="003B3FE7" w:rsidRPr="00351FE0" w:rsidRDefault="003B3FE7" w:rsidP="00084859">
      <w:r w:rsidRPr="002022B6">
        <w:t>Health Council of the Netherlands</w:t>
      </w:r>
      <w:r>
        <w:t xml:space="preserve"> (HCOTN) (</w:t>
      </w:r>
      <w:r w:rsidRPr="003B3FE7">
        <w:t>2011</w:t>
      </w:r>
      <w:r>
        <w:t xml:space="preserve">) </w:t>
      </w:r>
      <w:r w:rsidRPr="003B3FE7">
        <w:t>Grain dust</w:t>
      </w:r>
      <w:r w:rsidRPr="005F7416">
        <w:t xml:space="preserve">. Health-based calculated occupational cancer risk values. The Hague: Health Council of the Netherlands; publication no. </w:t>
      </w:r>
      <w:r w:rsidRPr="003B3FE7">
        <w:t>2011/13</w:t>
      </w:r>
      <w:r>
        <w:t>.</w:t>
      </w:r>
    </w:p>
    <w:sectPr w:rsidR="003B3FE7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E540F" w14:textId="77777777" w:rsidR="00725FE8" w:rsidRDefault="00725FE8" w:rsidP="00F43AD5">
      <w:pPr>
        <w:spacing w:after="0" w:line="240" w:lineRule="auto"/>
      </w:pPr>
      <w:r>
        <w:separator/>
      </w:r>
    </w:p>
  </w:endnote>
  <w:endnote w:type="continuationSeparator" w:id="0">
    <w:p w14:paraId="0D4E83B1" w14:textId="77777777" w:rsidR="00725FE8" w:rsidRDefault="00725FE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A0BCC" w14:textId="77777777" w:rsidR="00523A02" w:rsidRDefault="00523A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35D126B" w14:textId="6EE29083" w:rsidR="008A36CF" w:rsidRDefault="003B3FE7" w:rsidP="0034744C">
        <w:pPr>
          <w:pStyle w:val="Footer"/>
          <w:rPr>
            <w:sz w:val="18"/>
            <w:szCs w:val="18"/>
          </w:rPr>
        </w:pPr>
        <w:r w:rsidRPr="003B3FE7">
          <w:rPr>
            <w:b/>
            <w:sz w:val="18"/>
            <w:szCs w:val="18"/>
          </w:rPr>
          <w:t>Grain dust (oats,</w:t>
        </w:r>
        <w:r w:rsidR="00F4303D">
          <w:rPr>
            <w:b/>
            <w:sz w:val="18"/>
            <w:szCs w:val="18"/>
          </w:rPr>
          <w:t xml:space="preserve"> </w:t>
        </w:r>
        <w:r w:rsidRPr="003B3FE7">
          <w:rPr>
            <w:b/>
            <w:sz w:val="18"/>
            <w:szCs w:val="18"/>
          </w:rPr>
          <w:t xml:space="preserve">wheat, barley) </w:t>
        </w:r>
        <w:r w:rsidR="008A36CF">
          <w:rPr>
            <w:b/>
            <w:sz w:val="18"/>
            <w:szCs w:val="18"/>
          </w:rPr>
          <w:t>(</w:t>
        </w:r>
        <w:r w:rsidR="00013A22">
          <w:rPr>
            <w:b/>
            <w:sz w:val="18"/>
            <w:szCs w:val="18"/>
          </w:rPr>
          <w:t xml:space="preserve">CAS </w:t>
        </w:r>
        <w:r w:rsidR="00F4303D">
          <w:rPr>
            <w:b/>
            <w:sz w:val="18"/>
            <w:szCs w:val="18"/>
          </w:rPr>
          <w:t>-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4986EBC" w14:textId="192072C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23A02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9D469" w14:textId="77777777" w:rsidR="00523A02" w:rsidRDefault="00523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8BB7E" w14:textId="77777777" w:rsidR="00725FE8" w:rsidRDefault="00725FE8" w:rsidP="00F43AD5">
      <w:pPr>
        <w:spacing w:after="0" w:line="240" w:lineRule="auto"/>
      </w:pPr>
      <w:r>
        <w:separator/>
      </w:r>
    </w:p>
  </w:footnote>
  <w:footnote w:type="continuationSeparator" w:id="0">
    <w:p w14:paraId="00CF2F4A" w14:textId="77777777" w:rsidR="00725FE8" w:rsidRDefault="00725FE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83748" w14:textId="107C87DE" w:rsidR="00523A02" w:rsidRDefault="00523A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7D4C3" w14:textId="14750CA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E2059" w14:textId="1D0CD60E" w:rsidR="00523A02" w:rsidRDefault="00523A0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1A3D7" w14:textId="72D1291C" w:rsidR="00523A02" w:rsidRDefault="00523A0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4ED39" w14:textId="5D2314FA" w:rsidR="008A36CF" w:rsidRDefault="00523A02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8C45B88" wp14:editId="7FF84A2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8B63A" w14:textId="6972C3DF" w:rsidR="00523A02" w:rsidRDefault="00523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CE7A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575051"/>
    <w:multiLevelType w:val="hybridMultilevel"/>
    <w:tmpl w:val="039E19E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75159E"/>
    <w:multiLevelType w:val="hybridMultilevel"/>
    <w:tmpl w:val="F82E9B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988134">
    <w:abstractNumId w:val="0"/>
  </w:num>
  <w:num w:numId="2" w16cid:durableId="864320810">
    <w:abstractNumId w:val="2"/>
  </w:num>
  <w:num w:numId="3" w16cid:durableId="1204517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4A44"/>
    <w:rsid w:val="00067F32"/>
    <w:rsid w:val="00071807"/>
    <w:rsid w:val="000803E1"/>
    <w:rsid w:val="00084513"/>
    <w:rsid w:val="00084859"/>
    <w:rsid w:val="00092D94"/>
    <w:rsid w:val="000A4DA2"/>
    <w:rsid w:val="000B0868"/>
    <w:rsid w:val="000B3E12"/>
    <w:rsid w:val="000B3E78"/>
    <w:rsid w:val="000B799D"/>
    <w:rsid w:val="000B7B48"/>
    <w:rsid w:val="000C096D"/>
    <w:rsid w:val="000C139A"/>
    <w:rsid w:val="000C2053"/>
    <w:rsid w:val="000C248C"/>
    <w:rsid w:val="000C5B72"/>
    <w:rsid w:val="000D291C"/>
    <w:rsid w:val="000E5A54"/>
    <w:rsid w:val="000E63D3"/>
    <w:rsid w:val="000E67CF"/>
    <w:rsid w:val="0010461E"/>
    <w:rsid w:val="00106FAA"/>
    <w:rsid w:val="00113443"/>
    <w:rsid w:val="00115E44"/>
    <w:rsid w:val="001269A7"/>
    <w:rsid w:val="00131092"/>
    <w:rsid w:val="00140E6A"/>
    <w:rsid w:val="00146545"/>
    <w:rsid w:val="00146B75"/>
    <w:rsid w:val="0015266D"/>
    <w:rsid w:val="0015288A"/>
    <w:rsid w:val="00160F47"/>
    <w:rsid w:val="00177AA1"/>
    <w:rsid w:val="00177CA1"/>
    <w:rsid w:val="00183823"/>
    <w:rsid w:val="00183942"/>
    <w:rsid w:val="001A009E"/>
    <w:rsid w:val="001A1287"/>
    <w:rsid w:val="001A3859"/>
    <w:rsid w:val="001A3C9D"/>
    <w:rsid w:val="001A43F8"/>
    <w:rsid w:val="001A76FE"/>
    <w:rsid w:val="001B79E5"/>
    <w:rsid w:val="001C1C4D"/>
    <w:rsid w:val="001C4590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BB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3EF2"/>
    <w:rsid w:val="002C58FF"/>
    <w:rsid w:val="002C7AFE"/>
    <w:rsid w:val="002D05D2"/>
    <w:rsid w:val="002D7B5A"/>
    <w:rsid w:val="002E0D61"/>
    <w:rsid w:val="002E4C7B"/>
    <w:rsid w:val="002E77C8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3FE7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20BD"/>
    <w:rsid w:val="00444482"/>
    <w:rsid w:val="00444B42"/>
    <w:rsid w:val="00445E44"/>
    <w:rsid w:val="00447073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728"/>
    <w:rsid w:val="004E5EDD"/>
    <w:rsid w:val="004F2E44"/>
    <w:rsid w:val="004F448A"/>
    <w:rsid w:val="004F493D"/>
    <w:rsid w:val="004F65E8"/>
    <w:rsid w:val="0050005E"/>
    <w:rsid w:val="00502B88"/>
    <w:rsid w:val="005142C4"/>
    <w:rsid w:val="0051509C"/>
    <w:rsid w:val="00523A02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50BC"/>
    <w:rsid w:val="005B771D"/>
    <w:rsid w:val="005C5D16"/>
    <w:rsid w:val="005D3193"/>
    <w:rsid w:val="005D3645"/>
    <w:rsid w:val="005D4A6E"/>
    <w:rsid w:val="005E6979"/>
    <w:rsid w:val="005E75CB"/>
    <w:rsid w:val="006013C1"/>
    <w:rsid w:val="00604DCF"/>
    <w:rsid w:val="0060669E"/>
    <w:rsid w:val="00610F2E"/>
    <w:rsid w:val="00611399"/>
    <w:rsid w:val="006231E7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0E72"/>
    <w:rsid w:val="006867F3"/>
    <w:rsid w:val="00687890"/>
    <w:rsid w:val="00687F7B"/>
    <w:rsid w:val="006901A2"/>
    <w:rsid w:val="00690368"/>
    <w:rsid w:val="0069079C"/>
    <w:rsid w:val="00690B53"/>
    <w:rsid w:val="00695B72"/>
    <w:rsid w:val="006B160A"/>
    <w:rsid w:val="006B4E6C"/>
    <w:rsid w:val="006B50B6"/>
    <w:rsid w:val="006C3ED8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5345"/>
    <w:rsid w:val="00725FE8"/>
    <w:rsid w:val="007365D1"/>
    <w:rsid w:val="00740E0E"/>
    <w:rsid w:val="00750212"/>
    <w:rsid w:val="00754779"/>
    <w:rsid w:val="0075716D"/>
    <w:rsid w:val="00762F6E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5D4C"/>
    <w:rsid w:val="00796708"/>
    <w:rsid w:val="007A1ECA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2EDA"/>
    <w:rsid w:val="00833067"/>
    <w:rsid w:val="00834CC8"/>
    <w:rsid w:val="00835E00"/>
    <w:rsid w:val="00837113"/>
    <w:rsid w:val="008414E4"/>
    <w:rsid w:val="00843E21"/>
    <w:rsid w:val="0084508E"/>
    <w:rsid w:val="0084720A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0C39"/>
    <w:rsid w:val="008A36CF"/>
    <w:rsid w:val="008A386D"/>
    <w:rsid w:val="008A3BC4"/>
    <w:rsid w:val="008B18AC"/>
    <w:rsid w:val="008B2FBF"/>
    <w:rsid w:val="008B403C"/>
    <w:rsid w:val="008B543B"/>
    <w:rsid w:val="008B7983"/>
    <w:rsid w:val="008C2511"/>
    <w:rsid w:val="008D026D"/>
    <w:rsid w:val="008D0AE2"/>
    <w:rsid w:val="008D23AB"/>
    <w:rsid w:val="008D4B8B"/>
    <w:rsid w:val="008D5A78"/>
    <w:rsid w:val="008E7B64"/>
    <w:rsid w:val="008F5DCD"/>
    <w:rsid w:val="00900472"/>
    <w:rsid w:val="00900951"/>
    <w:rsid w:val="00907A15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481C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E86"/>
    <w:rsid w:val="00A252AE"/>
    <w:rsid w:val="00A27E2D"/>
    <w:rsid w:val="00A31D99"/>
    <w:rsid w:val="00A3283E"/>
    <w:rsid w:val="00A357BA"/>
    <w:rsid w:val="00A35ADC"/>
    <w:rsid w:val="00A402A3"/>
    <w:rsid w:val="00A45B8F"/>
    <w:rsid w:val="00A53681"/>
    <w:rsid w:val="00A633D4"/>
    <w:rsid w:val="00A6461A"/>
    <w:rsid w:val="00A821BF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4CBB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3882"/>
    <w:rsid w:val="00B67077"/>
    <w:rsid w:val="00B71188"/>
    <w:rsid w:val="00B76A41"/>
    <w:rsid w:val="00B87D4C"/>
    <w:rsid w:val="00B93646"/>
    <w:rsid w:val="00B96A2C"/>
    <w:rsid w:val="00BA02CC"/>
    <w:rsid w:val="00BA0B38"/>
    <w:rsid w:val="00BA1DBB"/>
    <w:rsid w:val="00BA4510"/>
    <w:rsid w:val="00BA529A"/>
    <w:rsid w:val="00BB612A"/>
    <w:rsid w:val="00BC005C"/>
    <w:rsid w:val="00BD499F"/>
    <w:rsid w:val="00BD56DE"/>
    <w:rsid w:val="00BF2406"/>
    <w:rsid w:val="00BF4C1A"/>
    <w:rsid w:val="00C053E6"/>
    <w:rsid w:val="00C06E43"/>
    <w:rsid w:val="00C16315"/>
    <w:rsid w:val="00C1772F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008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6EBA"/>
    <w:rsid w:val="00CD2BFD"/>
    <w:rsid w:val="00CE5AD6"/>
    <w:rsid w:val="00CE617F"/>
    <w:rsid w:val="00CE78EF"/>
    <w:rsid w:val="00D03787"/>
    <w:rsid w:val="00D048F7"/>
    <w:rsid w:val="00D0517E"/>
    <w:rsid w:val="00D140FC"/>
    <w:rsid w:val="00D21D8C"/>
    <w:rsid w:val="00D21EBF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4D55"/>
    <w:rsid w:val="00DE2513"/>
    <w:rsid w:val="00DE26E8"/>
    <w:rsid w:val="00DF2D00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4949"/>
    <w:rsid w:val="00EA6243"/>
    <w:rsid w:val="00EA74AB"/>
    <w:rsid w:val="00EB3D1B"/>
    <w:rsid w:val="00EC0AB7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69A7"/>
    <w:rsid w:val="00F10C97"/>
    <w:rsid w:val="00F11C71"/>
    <w:rsid w:val="00F16019"/>
    <w:rsid w:val="00F17D42"/>
    <w:rsid w:val="00F20E68"/>
    <w:rsid w:val="00F22093"/>
    <w:rsid w:val="00F236DF"/>
    <w:rsid w:val="00F4303D"/>
    <w:rsid w:val="00F43AD5"/>
    <w:rsid w:val="00F4402E"/>
    <w:rsid w:val="00F56DD0"/>
    <w:rsid w:val="00F6491C"/>
    <w:rsid w:val="00F67BBB"/>
    <w:rsid w:val="00F8729B"/>
    <w:rsid w:val="00F87D92"/>
    <w:rsid w:val="00F90AA7"/>
    <w:rsid w:val="00F92498"/>
    <w:rsid w:val="00F9496B"/>
    <w:rsid w:val="00F970C9"/>
    <w:rsid w:val="00FA06A8"/>
    <w:rsid w:val="00FA25EC"/>
    <w:rsid w:val="00FA3DF5"/>
    <w:rsid w:val="00FA741F"/>
    <w:rsid w:val="00FB4E07"/>
    <w:rsid w:val="00FB755A"/>
    <w:rsid w:val="00FC60A2"/>
    <w:rsid w:val="00FD16AE"/>
    <w:rsid w:val="00FD1871"/>
    <w:rsid w:val="00FD3110"/>
    <w:rsid w:val="00FD7EF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6388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7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2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29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29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B91321AD0004939AA74279DEA06E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B2EBB-4DB9-46E5-B925-1A620E5BF25B}"/>
      </w:docPartPr>
      <w:docPartBody>
        <w:p w:rsidR="00682E33" w:rsidRDefault="00546134" w:rsidP="00546134">
          <w:pPr>
            <w:pStyle w:val="CB91321AD0004939AA74279DEA06E8C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E72BC"/>
    <w:rsid w:val="004420BD"/>
    <w:rsid w:val="00546134"/>
    <w:rsid w:val="00682E33"/>
    <w:rsid w:val="009973F6"/>
    <w:rsid w:val="00B02263"/>
    <w:rsid w:val="00D21A9F"/>
    <w:rsid w:val="00D82380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6134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B91321AD0004939AA74279DEA06E8CC">
    <w:name w:val="CB91321AD0004939AA74279DEA06E8CC"/>
    <w:rsid w:val="005461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15D4D4-DC97-48F9-BEF8-19749DB221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458CE-C210-4B61-B5BE-A30EA188E3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B5655D-F51D-4D7C-A18C-D5ECE0A04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73C912-BD65-4A60-87BF-58E1FEDAC400}">
  <ds:schemaRefs>
    <ds:schemaRef ds:uri="a0509f21-ed56-4150-9955-96be669e5f2d"/>
    <ds:schemaRef ds:uri="1c567317-0c4d-4a62-8516-c22afd1b5354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1244</Words>
  <Characters>6930</Characters>
  <Application>Microsoft Office Word</Application>
  <DocSecurity>0</DocSecurity>
  <Lines>238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2019-11-27T03:44:00Z</dcterms:created>
  <dcterms:modified xsi:type="dcterms:W3CDTF">2026-01-09T00:22:00Z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2025-12-24T00:02:21Z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e429a643-6234-4ddc-ba4e-6a2299c77ec8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