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79866D7" w14:textId="7B82D333" w:rsidR="00BD499F" w:rsidRPr="004C23F4" w:rsidRDefault="005A31DB" w:rsidP="00B40C60">
          <w:pPr>
            <w:pStyle w:val="Heading1"/>
            <w:jc w:val="center"/>
            <w:rPr>
              <w:rFonts w:ascii="Arial" w:hAnsi="Arial" w:cs="Arial"/>
            </w:rPr>
          </w:pPr>
          <w:r w:rsidRPr="005A31DB">
            <w:rPr>
              <w:rFonts w:ascii="Arial" w:hAnsi="Arial" w:cs="Arial"/>
            </w:rPr>
            <w:t>Formic acid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2B361FC6" w14:textId="77777777" w:rsidTr="00B76A41">
        <w:trPr>
          <w:cantSplit/>
          <w:tblHeader/>
        </w:trPr>
        <w:tc>
          <w:tcPr>
            <w:tcW w:w="4077" w:type="dxa"/>
          </w:tcPr>
          <w:p w14:paraId="7CADFF1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A21513B" w14:textId="5C0F3E2E" w:rsidR="00F43AD5" w:rsidRPr="00717D45" w:rsidRDefault="005A31DB" w:rsidP="00B76A41">
            <w:pPr>
              <w:pStyle w:val="Tablefont"/>
            </w:pPr>
            <w:r w:rsidRPr="005A31DB">
              <w:t>64-18-6</w:t>
            </w:r>
          </w:p>
        </w:tc>
      </w:tr>
      <w:tr w:rsidR="00F43AD5" w:rsidRPr="004C23F4" w14:paraId="738AC705" w14:textId="77777777" w:rsidTr="00B76A41">
        <w:trPr>
          <w:cantSplit/>
        </w:trPr>
        <w:tc>
          <w:tcPr>
            <w:tcW w:w="4077" w:type="dxa"/>
          </w:tcPr>
          <w:p w14:paraId="566DB28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96645A6" w14:textId="4C676AE5" w:rsidR="00F43AD5" w:rsidRPr="00717D45" w:rsidRDefault="00A0193A" w:rsidP="00A0193A">
            <w:pPr>
              <w:pStyle w:val="Tablefont"/>
            </w:pPr>
            <w:proofErr w:type="spellStart"/>
            <w:r>
              <w:t>Methanoic</w:t>
            </w:r>
            <w:proofErr w:type="spellEnd"/>
            <w:r>
              <w:t xml:space="preserve"> acid, carbonous acid</w:t>
            </w:r>
            <w:r w:rsidR="00594710">
              <w:t>,</w:t>
            </w:r>
            <w:r>
              <w:t xml:space="preserve"> </w:t>
            </w:r>
            <w:proofErr w:type="spellStart"/>
            <w:r>
              <w:t>formylic</w:t>
            </w:r>
            <w:proofErr w:type="spellEnd"/>
            <w:r>
              <w:t xml:space="preserve"> acid</w:t>
            </w:r>
          </w:p>
        </w:tc>
      </w:tr>
      <w:tr w:rsidR="00F43AD5" w:rsidRPr="004C23F4" w14:paraId="7CB4C00A" w14:textId="77777777" w:rsidTr="00B76A41">
        <w:trPr>
          <w:cantSplit/>
        </w:trPr>
        <w:tc>
          <w:tcPr>
            <w:tcW w:w="4077" w:type="dxa"/>
          </w:tcPr>
          <w:p w14:paraId="2E02033A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E429E04" w14:textId="1A977E7D" w:rsidR="00F43AD5" w:rsidRPr="00717D45" w:rsidRDefault="000F1D12" w:rsidP="00B76A41">
            <w:pPr>
              <w:pStyle w:val="Tablefont"/>
            </w:pPr>
            <w:proofErr w:type="spellStart"/>
            <w:r>
              <w:t>CH</w:t>
            </w:r>
            <w:r w:rsidRPr="000F1D12">
              <w:rPr>
                <w:vertAlign w:val="subscript"/>
              </w:rPr>
              <w:t>2</w:t>
            </w:r>
            <w:r>
              <w:t>O</w:t>
            </w:r>
            <w:r w:rsidRPr="000F1D12">
              <w:rPr>
                <w:vertAlign w:val="subscript"/>
              </w:rPr>
              <w:t>2</w:t>
            </w:r>
            <w:proofErr w:type="spellEnd"/>
          </w:p>
        </w:tc>
      </w:tr>
      <w:tr w:rsidR="00F43AD5" w:rsidRPr="004C23F4" w14:paraId="54D65D9A" w14:textId="77777777" w:rsidTr="00B76A41">
        <w:trPr>
          <w:cantSplit/>
        </w:trPr>
        <w:tc>
          <w:tcPr>
            <w:tcW w:w="4077" w:type="dxa"/>
          </w:tcPr>
          <w:p w14:paraId="3D382F80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F8322AF" w14:textId="30E981E4" w:rsidR="00F43AD5" w:rsidRPr="00D50BC9" w:rsidRDefault="00D50BC9" w:rsidP="00B76A41">
            <w:pPr>
              <w:pStyle w:val="Tablerowheading"/>
              <w:rPr>
                <w:b w:val="0"/>
              </w:rPr>
            </w:pPr>
            <w:r w:rsidRPr="00D50BC9">
              <w:rPr>
                <w:b w:val="0"/>
              </w:rPr>
              <w:t>—</w:t>
            </w:r>
          </w:p>
        </w:tc>
      </w:tr>
    </w:tbl>
    <w:p w14:paraId="3ED1C878" w14:textId="30FB8AB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E55F2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6"/>
        <w:gridCol w:w="5030"/>
      </w:tblGrid>
      <w:tr w:rsidR="002C7AFE" w:rsidRPr="004C23F4" w14:paraId="0517C562" w14:textId="77777777" w:rsidTr="00A0193A">
        <w:trPr>
          <w:cantSplit/>
          <w:tblHeader/>
        </w:trPr>
        <w:tc>
          <w:tcPr>
            <w:tcW w:w="3996" w:type="dxa"/>
            <w:vAlign w:val="center"/>
          </w:tcPr>
          <w:p w14:paraId="1104702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30" w:type="dxa"/>
          </w:tcPr>
          <w:p w14:paraId="725013E2" w14:textId="7041FF48" w:rsidR="002C7AFE" w:rsidRPr="00EB3D1B" w:rsidRDefault="003E55F2" w:rsidP="00017C82">
            <w:pPr>
              <w:pStyle w:val="Tablefont"/>
              <w:rPr>
                <w:b/>
              </w:rPr>
            </w:pPr>
            <w:r w:rsidRPr="003E55F2">
              <w:rPr>
                <w:b/>
              </w:rPr>
              <w:t>5 ppm (9.4 mg/</w:t>
            </w:r>
            <w:proofErr w:type="spellStart"/>
            <w:r w:rsidRPr="003E55F2">
              <w:rPr>
                <w:b/>
              </w:rPr>
              <w:t>m</w:t>
            </w:r>
            <w:r w:rsidRPr="003E55F2">
              <w:rPr>
                <w:b/>
                <w:vertAlign w:val="superscript"/>
              </w:rPr>
              <w:t>3</w:t>
            </w:r>
            <w:proofErr w:type="spellEnd"/>
            <w:r w:rsidRPr="003E55F2">
              <w:rPr>
                <w:b/>
              </w:rPr>
              <w:t>)</w:t>
            </w:r>
          </w:p>
        </w:tc>
      </w:tr>
      <w:tr w:rsidR="002C7AFE" w:rsidRPr="004C23F4" w14:paraId="4C5F567A" w14:textId="77777777" w:rsidTr="00A0193A">
        <w:trPr>
          <w:cantSplit/>
        </w:trPr>
        <w:tc>
          <w:tcPr>
            <w:tcW w:w="3996" w:type="dxa"/>
            <w:vAlign w:val="center"/>
          </w:tcPr>
          <w:p w14:paraId="7BFBF2E0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30" w:type="dxa"/>
          </w:tcPr>
          <w:p w14:paraId="0BA17703" w14:textId="7087E5D2" w:rsidR="002C7AFE" w:rsidRPr="00EB3D1B" w:rsidRDefault="003E55F2" w:rsidP="00017C82">
            <w:pPr>
              <w:pStyle w:val="Tablefont"/>
              <w:rPr>
                <w:b/>
              </w:rPr>
            </w:pPr>
            <w:r w:rsidRPr="003E55F2">
              <w:rPr>
                <w:b/>
              </w:rPr>
              <w:t>10 ppm (19 mg/</w:t>
            </w:r>
            <w:proofErr w:type="spellStart"/>
            <w:r w:rsidRPr="003E55F2">
              <w:rPr>
                <w:b/>
              </w:rPr>
              <w:t>m</w:t>
            </w:r>
            <w:r w:rsidRPr="003E55F2">
              <w:rPr>
                <w:b/>
                <w:vertAlign w:val="superscript"/>
              </w:rPr>
              <w:t>3</w:t>
            </w:r>
            <w:proofErr w:type="spellEnd"/>
            <w:r w:rsidRPr="003E55F2">
              <w:rPr>
                <w:b/>
              </w:rPr>
              <w:t>)</w:t>
            </w:r>
          </w:p>
        </w:tc>
      </w:tr>
      <w:tr w:rsidR="002C7AFE" w:rsidRPr="004C23F4" w14:paraId="26A80D6D" w14:textId="77777777" w:rsidTr="00A0193A">
        <w:trPr>
          <w:cantSplit/>
        </w:trPr>
        <w:tc>
          <w:tcPr>
            <w:tcW w:w="3996" w:type="dxa"/>
            <w:vAlign w:val="center"/>
          </w:tcPr>
          <w:p w14:paraId="00855C7E" w14:textId="5A363DDC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30" w:type="dxa"/>
          </w:tcPr>
          <w:p w14:paraId="1739FCE8" w14:textId="61D416D6" w:rsidR="002C7AFE" w:rsidRPr="00EB3D1B" w:rsidRDefault="003E55F2" w:rsidP="00017C82">
            <w:pPr>
              <w:pStyle w:val="Tablefont"/>
              <w:rPr>
                <w:b/>
              </w:rPr>
            </w:pPr>
            <w:r w:rsidRPr="00D50BC9">
              <w:t>—</w:t>
            </w:r>
          </w:p>
        </w:tc>
      </w:tr>
      <w:tr w:rsidR="002C7AFE" w:rsidRPr="004C23F4" w14:paraId="53F7C6C3" w14:textId="77777777" w:rsidTr="00A0193A">
        <w:trPr>
          <w:cantSplit/>
        </w:trPr>
        <w:tc>
          <w:tcPr>
            <w:tcW w:w="3996" w:type="dxa"/>
          </w:tcPr>
          <w:p w14:paraId="1817D5F8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30" w:type="dxa"/>
          </w:tcPr>
          <w:p w14:paraId="6578523C" w14:textId="75047027" w:rsidR="002C7AFE" w:rsidRPr="00A0193A" w:rsidRDefault="007A53AA" w:rsidP="008A36CF">
            <w:pPr>
              <w:pStyle w:val="Tablefont"/>
              <w:rPr>
                <w:b/>
              </w:rPr>
            </w:pPr>
            <w:r w:rsidRPr="00D50BC9">
              <w:t>—</w:t>
            </w:r>
          </w:p>
        </w:tc>
      </w:tr>
      <w:tr w:rsidR="002C7AFE" w:rsidRPr="004C23F4" w14:paraId="26FC2D34" w14:textId="77777777" w:rsidTr="00A0193A">
        <w:trPr>
          <w:cantSplit/>
        </w:trPr>
        <w:tc>
          <w:tcPr>
            <w:tcW w:w="3996" w:type="dxa"/>
            <w:vAlign w:val="center"/>
          </w:tcPr>
          <w:p w14:paraId="63910BD7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30" w:type="dxa"/>
          </w:tcPr>
          <w:p w14:paraId="4E80319D" w14:textId="4AEA1DE9" w:rsidR="002C7AFE" w:rsidRPr="00EB3D1B" w:rsidRDefault="000F1D1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30 ppm</w:t>
            </w:r>
          </w:p>
        </w:tc>
      </w:tr>
      <w:tr w:rsidR="00A0193A" w:rsidRPr="004C23F4" w14:paraId="4EE24F26" w14:textId="77777777" w:rsidTr="00452E03">
        <w:trPr>
          <w:cantSplit/>
        </w:trPr>
        <w:tc>
          <w:tcPr>
            <w:tcW w:w="9026" w:type="dxa"/>
            <w:gridSpan w:val="2"/>
            <w:vAlign w:val="center"/>
          </w:tcPr>
          <w:p w14:paraId="595938BB" w14:textId="61609CA7" w:rsidR="00A0193A" w:rsidRPr="009A1F11" w:rsidRDefault="00A0193A" w:rsidP="00017C82">
            <w:pPr>
              <w:pStyle w:val="Tablefont"/>
              <w:rPr>
                <w:b/>
              </w:rPr>
            </w:pPr>
            <w:r w:rsidRPr="009A1F11">
              <w:rPr>
                <w:b/>
              </w:rPr>
              <w:t>Sampling and analysis:</w:t>
            </w:r>
            <w:r w:rsidRPr="009A1F11">
              <w:rPr>
                <w:rStyle w:val="WESstatus"/>
                <w:b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7719B9BA187C436B8ED73B08219CD2B6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9A1F11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B035040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054D66B" w14:textId="088158E0" w:rsidR="003E55F2" w:rsidRPr="009A1F11" w:rsidRDefault="003E55F2" w:rsidP="009A1F11">
      <w:r w:rsidRPr="003E55F2">
        <w:t>A TWA of 5 ppm (9.4 mg/</w:t>
      </w:r>
      <w:proofErr w:type="spellStart"/>
      <w:r w:rsidRPr="003E55F2">
        <w:t>m</w:t>
      </w:r>
      <w:r w:rsidRPr="009A1F11">
        <w:rPr>
          <w:vertAlign w:val="superscript"/>
        </w:rPr>
        <w:t>3</w:t>
      </w:r>
      <w:proofErr w:type="spellEnd"/>
      <w:r w:rsidRPr="003E55F2">
        <w:t>)</w:t>
      </w:r>
      <w:r>
        <w:t xml:space="preserve"> </w:t>
      </w:r>
      <w:r w:rsidRPr="003E55F2">
        <w:t xml:space="preserve">is recommended to protect for </w:t>
      </w:r>
      <w:r w:rsidR="00B55DF8">
        <w:t xml:space="preserve">potential </w:t>
      </w:r>
      <w:r>
        <w:t xml:space="preserve">liver </w:t>
      </w:r>
      <w:r w:rsidR="005505BD">
        <w:t>changes</w:t>
      </w:r>
      <w:r w:rsidRPr="003E55F2">
        <w:t xml:space="preserve"> in exposed workers.</w:t>
      </w:r>
    </w:p>
    <w:p w14:paraId="4D7E80EA" w14:textId="0EB68F21" w:rsidR="003E55F2" w:rsidRPr="009A1F11" w:rsidRDefault="003E55F2" w:rsidP="009A1F11">
      <w:r w:rsidRPr="003E55F2">
        <w:t>A STEL of 10 ppm (19 mg/</w:t>
      </w:r>
      <w:proofErr w:type="spellStart"/>
      <w:r w:rsidRPr="003E55F2">
        <w:t>m</w:t>
      </w:r>
      <w:r w:rsidRPr="009A1F11">
        <w:rPr>
          <w:vertAlign w:val="superscript"/>
        </w:rPr>
        <w:t>3</w:t>
      </w:r>
      <w:proofErr w:type="spellEnd"/>
      <w:r w:rsidRPr="003E55F2">
        <w:t>) is recommended to protect for</w:t>
      </w:r>
      <w:r w:rsidR="00C405A6">
        <w:t xml:space="preserve"> acute</w:t>
      </w:r>
      <w:r w:rsidRPr="003E55F2">
        <w:t xml:space="preserve"> irritation of the eyes, skin, mucous membrane and respiratory tract </w:t>
      </w:r>
      <w:r>
        <w:t xml:space="preserve">in </w:t>
      </w:r>
      <w:r w:rsidR="0037793D">
        <w:t>exposed workers</w:t>
      </w:r>
      <w:r w:rsidRPr="003E55F2">
        <w:t>.</w:t>
      </w:r>
    </w:p>
    <w:p w14:paraId="615EC1BB" w14:textId="039D8831" w:rsidR="00C7155E" w:rsidRPr="004C23F4" w:rsidRDefault="00F10C97" w:rsidP="003E55F2">
      <w:pPr>
        <w:pStyle w:val="Heading2"/>
      </w:pPr>
      <w:r>
        <w:t>Discussion and conclusions</w:t>
      </w:r>
    </w:p>
    <w:p w14:paraId="548B9C6E" w14:textId="59420B25" w:rsidR="00C405A6" w:rsidRDefault="003E55F2" w:rsidP="003E55F2">
      <w:pPr>
        <w:rPr>
          <w:rFonts w:cs="Arial"/>
        </w:rPr>
      </w:pPr>
      <w:r w:rsidRPr="003E55F2">
        <w:rPr>
          <w:rFonts w:cs="Arial"/>
        </w:rPr>
        <w:t xml:space="preserve">Formic acid </w:t>
      </w:r>
      <w:r>
        <w:rPr>
          <w:rFonts w:cs="Arial"/>
        </w:rPr>
        <w:t xml:space="preserve">is used in the dyeing and finishing of textiles and paper, </w:t>
      </w:r>
      <w:r w:rsidR="00EF78EF">
        <w:rPr>
          <w:rFonts w:cs="Arial"/>
        </w:rPr>
        <w:t xml:space="preserve">the </w:t>
      </w:r>
      <w:r>
        <w:rPr>
          <w:rFonts w:cs="Arial"/>
        </w:rPr>
        <w:t xml:space="preserve">treatment of leather, electroplating, brewing, silvering glass and </w:t>
      </w:r>
      <w:r w:rsidRPr="008F50A2">
        <w:rPr>
          <w:rFonts w:cs="Arial"/>
        </w:rPr>
        <w:t xml:space="preserve">as </w:t>
      </w:r>
      <w:r>
        <w:rPr>
          <w:rFonts w:cs="Arial"/>
        </w:rPr>
        <w:t>an</w:t>
      </w:r>
      <w:r w:rsidRPr="008F50A2">
        <w:rPr>
          <w:rFonts w:cs="Arial"/>
        </w:rPr>
        <w:t xml:space="preserve"> intermediate in the production of </w:t>
      </w:r>
      <w:r>
        <w:rPr>
          <w:rFonts w:cs="Arial"/>
        </w:rPr>
        <w:t xml:space="preserve">chemicals. </w:t>
      </w:r>
    </w:p>
    <w:p w14:paraId="6A293C21" w14:textId="69A1C8FC" w:rsidR="005505BD" w:rsidRDefault="00CF1DD6" w:rsidP="005505BD">
      <w:r>
        <w:rPr>
          <w:rFonts w:cs="Arial"/>
        </w:rPr>
        <w:t xml:space="preserve">Critical effects </w:t>
      </w:r>
      <w:r w:rsidR="00C405A6">
        <w:rPr>
          <w:rFonts w:cs="Arial"/>
        </w:rPr>
        <w:t xml:space="preserve">of exposure </w:t>
      </w:r>
      <w:r>
        <w:rPr>
          <w:rFonts w:cs="Arial"/>
        </w:rPr>
        <w:t xml:space="preserve">include </w:t>
      </w:r>
      <w:r w:rsidRPr="003E55F2">
        <w:t>irritation of the eyes, s</w:t>
      </w:r>
      <w:r>
        <w:t xml:space="preserve">kin </w:t>
      </w:r>
      <w:r w:rsidRPr="003E55F2">
        <w:t xml:space="preserve">and respiratory </w:t>
      </w:r>
      <w:r>
        <w:t xml:space="preserve">tract and potential liver damage. </w:t>
      </w:r>
    </w:p>
    <w:p w14:paraId="5D579DE3" w14:textId="56D4FE18" w:rsidR="00E873C8" w:rsidRDefault="00A0193A" w:rsidP="003E55F2">
      <w:r>
        <w:t>The available</w:t>
      </w:r>
      <w:r w:rsidR="00EF78EF">
        <w:t xml:space="preserve"> data</w:t>
      </w:r>
      <w:r>
        <w:t xml:space="preserve"> on</w:t>
      </w:r>
      <w:r w:rsidR="003E55F2">
        <w:t xml:space="preserve"> </w:t>
      </w:r>
      <w:r w:rsidR="00EF78EF">
        <w:t xml:space="preserve">irritant </w:t>
      </w:r>
      <w:r w:rsidR="003E55F2">
        <w:t>effect concentration</w:t>
      </w:r>
      <w:r>
        <w:t xml:space="preserve">s are </w:t>
      </w:r>
      <w:r w:rsidR="003E55F2">
        <w:t xml:space="preserve">conflicting. </w:t>
      </w:r>
      <w:r w:rsidR="00EF78EF">
        <w:t>A sub-chronic inhalation study of rats and mice reports a</w:t>
      </w:r>
      <w:r w:rsidR="0013305D" w:rsidRPr="0013305D">
        <w:t xml:space="preserve"> </w:t>
      </w:r>
      <w:proofErr w:type="spellStart"/>
      <w:r w:rsidR="0013305D" w:rsidRPr="0013305D">
        <w:t>NOAEC</w:t>
      </w:r>
      <w:proofErr w:type="spellEnd"/>
      <w:r w:rsidR="0013305D" w:rsidRPr="0013305D">
        <w:t xml:space="preserve"> of </w:t>
      </w:r>
      <w:r w:rsidR="00A53510" w:rsidRPr="00B55DF8">
        <w:t>16 ppm</w:t>
      </w:r>
      <w:r w:rsidR="0013305D">
        <w:t xml:space="preserve"> </w:t>
      </w:r>
      <w:r w:rsidR="00A53510">
        <w:t xml:space="preserve">for </w:t>
      </w:r>
      <w:r w:rsidR="00A53510" w:rsidRPr="00A53510">
        <w:rPr>
          <w:rFonts w:cs="Arial"/>
        </w:rPr>
        <w:t>histopathological and systemic effects (changes to liver weights)</w:t>
      </w:r>
      <w:r w:rsidR="00A53510">
        <w:rPr>
          <w:rFonts w:cs="Arial"/>
        </w:rPr>
        <w:t xml:space="preserve"> and 32 ppm for lesions of the nasal epithelium </w:t>
      </w:r>
      <w:r w:rsidR="00A53510" w:rsidRPr="00B55DF8">
        <w:t>(</w:t>
      </w:r>
      <w:proofErr w:type="spellStart"/>
      <w:r w:rsidR="00A53510" w:rsidRPr="00B55DF8">
        <w:t>DFG</w:t>
      </w:r>
      <w:proofErr w:type="spellEnd"/>
      <w:r w:rsidR="00A53510" w:rsidRPr="00B55DF8">
        <w:t>, 2003)</w:t>
      </w:r>
      <w:r w:rsidR="00A53510" w:rsidRPr="00B55DF8">
        <w:rPr>
          <w:rFonts w:cs="Arial"/>
        </w:rPr>
        <w:t>.</w:t>
      </w:r>
      <w:r w:rsidR="003E55F2">
        <w:t xml:space="preserve"> </w:t>
      </w:r>
      <w:r w:rsidR="002B3A2B">
        <w:t xml:space="preserve">Based on an acute inhalation study in guinea pigs, </w:t>
      </w:r>
      <w:proofErr w:type="spellStart"/>
      <w:r w:rsidR="00AA13F0" w:rsidRPr="00AA13F0">
        <w:t>HCOTN</w:t>
      </w:r>
      <w:proofErr w:type="spellEnd"/>
      <w:r w:rsidR="00AA13F0" w:rsidRPr="00AA13F0">
        <w:t xml:space="preserve"> (2005)</w:t>
      </w:r>
      <w:r w:rsidR="00AA13F0">
        <w:t xml:space="preserve"> report that</w:t>
      </w:r>
      <w:r w:rsidR="00AA13F0" w:rsidRPr="00AA13F0">
        <w:t xml:space="preserve"> </w:t>
      </w:r>
      <w:r w:rsidR="00380067">
        <w:t xml:space="preserve">an </w:t>
      </w:r>
      <w:r w:rsidR="00AA13F0" w:rsidRPr="00AA13F0">
        <w:t>increase in airway resistance would occur at an exposure concentration</w:t>
      </w:r>
      <w:r w:rsidR="00380067">
        <w:t xml:space="preserve"> of</w:t>
      </w:r>
      <w:r w:rsidR="00AA13F0" w:rsidRPr="00AA13F0">
        <w:t xml:space="preserve"> </w:t>
      </w:r>
      <w:r w:rsidR="00AA13F0">
        <w:t>2</w:t>
      </w:r>
      <w:r w:rsidR="00F40C9C">
        <w:t xml:space="preserve"> to </w:t>
      </w:r>
      <w:r w:rsidR="00AA13F0">
        <w:t>5</w:t>
      </w:r>
      <w:r w:rsidR="00F40C9C">
        <w:t> </w:t>
      </w:r>
      <w:r w:rsidR="00AA13F0">
        <w:t>mg/</w:t>
      </w:r>
      <w:proofErr w:type="spellStart"/>
      <w:r w:rsidR="00AA13F0">
        <w:t>m</w:t>
      </w:r>
      <w:r w:rsidR="00AA13F0" w:rsidRPr="009A1F11">
        <w:rPr>
          <w:vertAlign w:val="superscript"/>
        </w:rPr>
        <w:t>3</w:t>
      </w:r>
      <w:proofErr w:type="spellEnd"/>
      <w:r w:rsidR="00AA13F0">
        <w:t xml:space="preserve"> (1</w:t>
      </w:r>
      <w:r w:rsidR="00F40C9C">
        <w:t xml:space="preserve"> to </w:t>
      </w:r>
      <w:r w:rsidR="00AA13F0">
        <w:t>2.8 ppm</w:t>
      </w:r>
      <w:r w:rsidR="003E55F2">
        <w:t>)</w:t>
      </w:r>
      <w:r w:rsidR="00AA13F0">
        <w:t xml:space="preserve"> whilst maintaining the existing TWA</w:t>
      </w:r>
      <w:r w:rsidR="003E55F2">
        <w:t>.</w:t>
      </w:r>
      <w:r w:rsidR="00AA13F0">
        <w:t xml:space="preserve"> </w:t>
      </w:r>
      <w:r w:rsidR="001B2A76">
        <w:t>However, t</w:t>
      </w:r>
      <w:r w:rsidR="00AA13F0">
        <w:t xml:space="preserve">his study is </w:t>
      </w:r>
      <w:r w:rsidR="00C74EAA">
        <w:t xml:space="preserve">not considered suitable </w:t>
      </w:r>
      <w:r w:rsidR="00AA13F0">
        <w:t>due to the sensitivity of guinea pigs to irritant substances</w:t>
      </w:r>
      <w:r w:rsidR="00C74EAA">
        <w:t xml:space="preserve"> (</w:t>
      </w:r>
      <w:proofErr w:type="spellStart"/>
      <w:r w:rsidR="00C74EAA">
        <w:t>DFG</w:t>
      </w:r>
      <w:proofErr w:type="spellEnd"/>
      <w:r w:rsidR="00C74EAA">
        <w:t>, 2003)</w:t>
      </w:r>
      <w:r w:rsidR="00B56AE1">
        <w:t>.</w:t>
      </w:r>
      <w:r w:rsidR="00204A96">
        <w:t xml:space="preserve"> </w:t>
      </w:r>
    </w:p>
    <w:p w14:paraId="7479384B" w14:textId="7B802DA0" w:rsidR="003E55F2" w:rsidRDefault="00EF78EF" w:rsidP="003E55F2">
      <w:r>
        <w:t>A</w:t>
      </w:r>
      <w:r w:rsidR="00E873C8" w:rsidRPr="00E873C8">
        <w:t xml:space="preserve"> TWA of </w:t>
      </w:r>
      <w:r w:rsidR="00E873C8">
        <w:t>5</w:t>
      </w:r>
      <w:r w:rsidR="00E873C8" w:rsidRPr="00E873C8">
        <w:t xml:space="preserve"> ppm </w:t>
      </w:r>
      <w:r w:rsidR="008D26FD">
        <w:t>is</w:t>
      </w:r>
      <w:r w:rsidR="00E873C8" w:rsidRPr="00E873C8">
        <w:t xml:space="preserve"> consistent across primary sources</w:t>
      </w:r>
      <w:r w:rsidR="006F380A">
        <w:t xml:space="preserve">. In absence of any other data, </w:t>
      </w:r>
      <w:r>
        <w:t>a</w:t>
      </w:r>
      <w:r w:rsidR="006F380A">
        <w:t xml:space="preserve"> TWA of 5 ppm</w:t>
      </w:r>
      <w:r w:rsidR="00E873C8">
        <w:t xml:space="preserve"> </w:t>
      </w:r>
      <w:r w:rsidR="006F380A">
        <w:t xml:space="preserve">and STEL of 10 ppm </w:t>
      </w:r>
      <w:r w:rsidR="00E873C8">
        <w:t xml:space="preserve">are recommended. </w:t>
      </w:r>
      <w:r w:rsidR="00244A95">
        <w:t xml:space="preserve">This recommendation is </w:t>
      </w:r>
      <w:r w:rsidR="003E55F2">
        <w:t xml:space="preserve">considered sufficiently low to minimise </w:t>
      </w:r>
      <w:r w:rsidR="00545A3B">
        <w:t>potential</w:t>
      </w:r>
      <w:r w:rsidR="00C4774D">
        <w:t xml:space="preserve"> for </w:t>
      </w:r>
      <w:r w:rsidR="005505BD" w:rsidRPr="005505BD">
        <w:t>liver changes</w:t>
      </w:r>
      <w:r w:rsidR="00B56AE1">
        <w:t xml:space="preserve"> </w:t>
      </w:r>
      <w:r w:rsidR="005505BD">
        <w:t xml:space="preserve">and </w:t>
      </w:r>
      <w:r w:rsidR="005505BD" w:rsidRPr="003E55F2">
        <w:t xml:space="preserve">irritation of the skin, </w:t>
      </w:r>
      <w:r w:rsidR="00CF1DD6">
        <w:t>eyes</w:t>
      </w:r>
      <w:r w:rsidR="005505BD" w:rsidRPr="003E55F2">
        <w:t xml:space="preserve"> and respiratory </w:t>
      </w:r>
      <w:r w:rsidR="00CF1DD6">
        <w:t>system</w:t>
      </w:r>
      <w:r w:rsidR="001B2A76">
        <w:t xml:space="preserve"> in exposed workers</w:t>
      </w:r>
      <w:r w:rsidR="003E55F2">
        <w:t>.</w:t>
      </w:r>
    </w:p>
    <w:p w14:paraId="70F48A1E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6F229441" w14:textId="1629A930" w:rsidR="000F1D12" w:rsidRPr="00755E3E" w:rsidRDefault="000F1D12" w:rsidP="000F1D12">
      <w:pPr>
        <w:rPr>
          <w:rFonts w:cs="Arial"/>
        </w:rPr>
      </w:pPr>
      <w:r w:rsidRPr="00755E3E">
        <w:rPr>
          <w:rFonts w:cs="Arial"/>
        </w:rPr>
        <w:t>Not classified as a carcinogen according to the Globally Harmonized System of</w:t>
      </w:r>
      <w:r w:rsidR="00B55DF8">
        <w:rPr>
          <w:rFonts w:cs="Arial"/>
        </w:rPr>
        <w:t xml:space="preserve"> Classification and Labelling of</w:t>
      </w:r>
      <w:r w:rsidRPr="00755E3E">
        <w:rPr>
          <w:rFonts w:cs="Arial"/>
        </w:rPr>
        <w:t xml:space="preserve"> Chemicals (GHS). </w:t>
      </w:r>
    </w:p>
    <w:p w14:paraId="1C9E78C0" w14:textId="60C49BC2" w:rsidR="000F1D12" w:rsidRPr="00755E3E" w:rsidRDefault="000F1D12" w:rsidP="000F1D12">
      <w:pPr>
        <w:rPr>
          <w:rFonts w:cs="Arial"/>
        </w:rPr>
      </w:pPr>
      <w:r w:rsidRPr="00755E3E">
        <w:rPr>
          <w:rFonts w:cs="Arial"/>
        </w:rPr>
        <w:t xml:space="preserve">Not classified as a skin </w:t>
      </w:r>
      <w:r w:rsidR="00B55DF8" w:rsidRPr="00755E3E">
        <w:rPr>
          <w:rFonts w:cs="Arial"/>
        </w:rPr>
        <w:t xml:space="preserve">sensitiser </w:t>
      </w:r>
      <w:r w:rsidRPr="00755E3E">
        <w:rPr>
          <w:rFonts w:cs="Arial"/>
        </w:rPr>
        <w:t>or respiratory sensitiser according to the GHS.</w:t>
      </w:r>
    </w:p>
    <w:p w14:paraId="0805B75C" w14:textId="70F4E6E1" w:rsidR="00B55DF8" w:rsidRDefault="00B55DF8" w:rsidP="00B55DF8">
      <w:pPr>
        <w:rPr>
          <w:rFonts w:cs="Arial"/>
        </w:rPr>
      </w:pPr>
      <w:r w:rsidRPr="00B55DF8">
        <w:rPr>
          <w:rFonts w:cs="Arial"/>
          <w:szCs w:val="20"/>
        </w:rPr>
        <w:t xml:space="preserve">There </w:t>
      </w:r>
      <w:r w:rsidR="00CF1DD6">
        <w:rPr>
          <w:rFonts w:cs="Arial"/>
          <w:szCs w:val="20"/>
        </w:rPr>
        <w:t>are</w:t>
      </w:r>
      <w:r w:rsidRPr="00B55DF8">
        <w:rPr>
          <w:rFonts w:cs="Arial"/>
          <w:szCs w:val="20"/>
        </w:rPr>
        <w:t xml:space="preserve"> insufficient </w:t>
      </w:r>
      <w:r w:rsidR="00CF1DD6">
        <w:rPr>
          <w:rFonts w:cs="Arial"/>
          <w:szCs w:val="20"/>
        </w:rPr>
        <w:t>data</w:t>
      </w:r>
      <w:r w:rsidRPr="00B55DF8">
        <w:rPr>
          <w:rFonts w:cs="Arial"/>
          <w:szCs w:val="20"/>
        </w:rPr>
        <w:t xml:space="preserve"> to recommend a skin notation.</w:t>
      </w:r>
    </w:p>
    <w:p w14:paraId="59558C8E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1FE030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8C7A69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252D5F1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E4E064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EA738E7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EE6285C" w14:textId="34D04C34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F1D12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F1D12">
                  <w:t>TWA: 5 ppm (9.4 mg/</w:t>
                </w:r>
                <w:proofErr w:type="spellStart"/>
                <w:r w:rsidR="000F1D12">
                  <w:t>m</w:t>
                </w:r>
                <w:r w:rsidR="000F1D12" w:rsidRPr="000F1D12">
                  <w:rPr>
                    <w:vertAlign w:val="superscript"/>
                  </w:rPr>
                  <w:t>3</w:t>
                </w:r>
                <w:proofErr w:type="spellEnd"/>
                <w:r w:rsidR="000F1D12">
                  <w:t>); STEL: 10 ppm (19 mg/</w:t>
                </w:r>
                <w:proofErr w:type="spellStart"/>
                <w:r w:rsidR="000F1D12">
                  <w:t>m</w:t>
                </w:r>
                <w:r w:rsidR="000F1D12" w:rsidRPr="000F1D12">
                  <w:rPr>
                    <w:vertAlign w:val="superscript"/>
                  </w:rPr>
                  <w:t>3</w:t>
                </w:r>
                <w:proofErr w:type="spellEnd"/>
                <w:r w:rsidR="000F1D12">
                  <w:t>)</w:t>
                </w:r>
              </w:sdtContent>
            </w:sdt>
          </w:p>
        </w:tc>
      </w:tr>
      <w:tr w:rsidR="00C978F0" w:rsidRPr="00DA352E" w14:paraId="5184BBE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03EBA7B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5F3E0C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C286D3E" w14:textId="5C2E56D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0F1D12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0F1D12">
                  <w:t>TLV-TWA: 5 ppm (9.4 mg/</w:t>
                </w:r>
                <w:proofErr w:type="spellStart"/>
                <w:r w:rsidR="000F1D12">
                  <w:t>m</w:t>
                </w:r>
                <w:r w:rsidR="000F1D12" w:rsidRPr="000F1D12">
                  <w:rPr>
                    <w:vertAlign w:val="superscript"/>
                  </w:rPr>
                  <w:t>3</w:t>
                </w:r>
                <w:proofErr w:type="spellEnd"/>
                <w:r w:rsidR="000F1D12">
                  <w:t>); STEL: 10 ppm (19 mg/</w:t>
                </w:r>
                <w:proofErr w:type="spellStart"/>
                <w:r w:rsidR="000F1D12">
                  <w:t>m</w:t>
                </w:r>
                <w:r w:rsidR="000F1D12" w:rsidRPr="000F1D12">
                  <w:rPr>
                    <w:vertAlign w:val="superscript"/>
                  </w:rPr>
                  <w:t>3</w:t>
                </w:r>
                <w:proofErr w:type="spellEnd"/>
                <w:r w:rsidR="000F1D12">
                  <w:t>)</w:t>
                </w:r>
              </w:sdtContent>
            </w:sdt>
          </w:p>
        </w:tc>
      </w:tr>
      <w:tr w:rsidR="00C978F0" w:rsidRPr="00DA352E" w14:paraId="2E7E8A2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B0BCC62" w14:textId="0A2AFB9F" w:rsidR="00101B50" w:rsidRDefault="00101B50" w:rsidP="00101B50">
            <w:pPr>
              <w:pStyle w:val="Tabletextprimarysource"/>
            </w:pPr>
            <w:r>
              <w:t xml:space="preserve">TLV-TWA and TLV-STEL recommended to minimise </w:t>
            </w:r>
            <w:r w:rsidRPr="00C91D05">
              <w:t>the potential for irritation of the eyes</w:t>
            </w:r>
            <w:r>
              <w:t>, skin, mucous membrane and respiratory tract in exposed workers.</w:t>
            </w:r>
          </w:p>
          <w:p w14:paraId="3EACC0B7" w14:textId="77777777" w:rsidR="00101B50" w:rsidRDefault="00101B50" w:rsidP="00101B50">
            <w:pPr>
              <w:pStyle w:val="Tabletextprimarysource"/>
            </w:pPr>
            <w:r>
              <w:t>Summary of data:</w:t>
            </w:r>
          </w:p>
          <w:p w14:paraId="2C0E0615" w14:textId="77777777" w:rsidR="009A1F11" w:rsidRDefault="009A1F11" w:rsidP="009A1F11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TLV-TWA and TLV-STEL are based on referenced recommended levels (details not provided).</w:t>
            </w:r>
          </w:p>
          <w:p w14:paraId="5AB95E3B" w14:textId="77777777" w:rsidR="009A1F11" w:rsidRDefault="009A1F11" w:rsidP="009A1F11">
            <w:pPr>
              <w:pStyle w:val="ListBullet"/>
              <w:numPr>
                <w:ilvl w:val="0"/>
                <w:numId w:val="0"/>
              </w:numPr>
              <w:ind w:left="360" w:hanging="360"/>
            </w:pPr>
            <w:r w:rsidRPr="00913C3B">
              <w:rPr>
                <w:rFonts w:cs="Arial"/>
              </w:rPr>
              <w:t>Insufficient</w:t>
            </w:r>
            <w:r>
              <w:t xml:space="preserve"> data to recommend a carcinogen, skin or sensitiser notation.</w:t>
            </w:r>
          </w:p>
          <w:p w14:paraId="71F74FAA" w14:textId="4BFA41C1" w:rsidR="00101B50" w:rsidRDefault="00101B50" w:rsidP="009A1F11">
            <w:pPr>
              <w:pStyle w:val="Tabletextprimarysource"/>
            </w:pPr>
            <w:r>
              <w:t>Human data:</w:t>
            </w:r>
          </w:p>
          <w:p w14:paraId="6C578959" w14:textId="5CCB7D2B" w:rsidR="00101B50" w:rsidRDefault="00101B50" w:rsidP="00571F2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Primary reported symptom is mucous membrane, eyes and skin irritation</w:t>
            </w:r>
          </w:p>
          <w:p w14:paraId="2103FB3C" w14:textId="1A1C8004" w:rsidR="00101B50" w:rsidRDefault="00585D7D" w:rsidP="00571F2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Ingestion of 50 g resulted in </w:t>
            </w:r>
            <w:r w:rsidR="00057A84">
              <w:t>salivation</w:t>
            </w:r>
            <w:r>
              <w:t xml:space="preserve">, vomiting and burning in the mouth and </w:t>
            </w:r>
            <w:r w:rsidRPr="00585D7D">
              <w:t>pharynx</w:t>
            </w:r>
            <w:r>
              <w:t xml:space="preserve"> and severe pain</w:t>
            </w:r>
            <w:r w:rsidR="00057A84">
              <w:t xml:space="preserve"> potentially followed by circulatory collapse and death</w:t>
            </w:r>
          </w:p>
          <w:p w14:paraId="4A58008C" w14:textId="7EA29F99" w:rsidR="00101B50" w:rsidRPr="00B55DF8" w:rsidRDefault="00B55DF8" w:rsidP="00571F2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Worker splashed in face</w:t>
            </w:r>
            <w:r w:rsidR="00057A84" w:rsidRPr="00B55DF8">
              <w:t xml:space="preserve"> at an elevated temperature resulted in dyspnoea, difficulty swallow</w:t>
            </w:r>
            <w:r w:rsidR="003A1DAE" w:rsidRPr="00B55DF8">
              <w:t>ing and death within 6 h</w:t>
            </w:r>
            <w:r w:rsidR="00545A3B">
              <w:t>. No further inform</w:t>
            </w:r>
            <w:r w:rsidR="009A1F11">
              <w:t>ation on main route of exposure</w:t>
            </w:r>
            <w:r w:rsidR="00545A3B">
              <w:t xml:space="preserve"> </w:t>
            </w:r>
          </w:p>
          <w:p w14:paraId="45977001" w14:textId="77777777" w:rsidR="00057A84" w:rsidRDefault="00135CFC" w:rsidP="00204A9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TLV</w:t>
            </w:r>
            <w:r w:rsidRPr="00B55DF8">
              <w:t xml:space="preserve"> </w:t>
            </w:r>
            <w:r w:rsidR="007D5FD2" w:rsidRPr="00B55DF8">
              <w:t>based on referenced threshold</w:t>
            </w:r>
            <w:r w:rsidR="007D5FD2">
              <w:t xml:space="preserve"> limits, details not provided</w:t>
            </w:r>
            <w:r w:rsidR="009A1F11">
              <w:t>.</w:t>
            </w:r>
            <w:r w:rsidR="007D5FD2">
              <w:t xml:space="preserve"> </w:t>
            </w:r>
          </w:p>
          <w:p w14:paraId="58040D49" w14:textId="7E7ABC51" w:rsidR="00265BF6" w:rsidRPr="00DA352E" w:rsidRDefault="00265BF6" w:rsidP="00FA6158">
            <w:pPr>
              <w:pStyle w:val="ListBullet"/>
              <w:numPr>
                <w:ilvl w:val="0"/>
                <w:numId w:val="0"/>
              </w:numPr>
              <w:spacing w:before="60" w:after="60"/>
              <w:ind w:left="714"/>
              <w:contextualSpacing w:val="0"/>
            </w:pPr>
          </w:p>
        </w:tc>
      </w:tr>
      <w:tr w:rsidR="00C978F0" w:rsidRPr="00DA352E" w14:paraId="3ED0402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787C653" w14:textId="0B172F5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55DF8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0F1D12">
                  <w:t>MAK: 5 ppm (9.5 mg/</w:t>
                </w:r>
                <w:proofErr w:type="spellStart"/>
                <w:r w:rsidR="000F1D12">
                  <w:t>m</w:t>
                </w:r>
                <w:r w:rsidR="000F1D12" w:rsidRPr="002432D0">
                  <w:rPr>
                    <w:vertAlign w:val="superscript"/>
                  </w:rPr>
                  <w:t>3</w:t>
                </w:r>
                <w:proofErr w:type="spellEnd"/>
                <w:r w:rsidR="000F1D12">
                  <w:t>)</w:t>
                </w:r>
              </w:sdtContent>
            </w:sdt>
          </w:p>
        </w:tc>
      </w:tr>
      <w:tr w:rsidR="00C978F0" w:rsidRPr="00DA352E" w14:paraId="11241F6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AC854DD" w14:textId="77777777" w:rsidR="007A53AA" w:rsidRDefault="0005696D" w:rsidP="0005696D">
            <w:pPr>
              <w:pStyle w:val="Tabletextprimarysource"/>
            </w:pPr>
            <w:r>
              <w:t>Summary of additional data:</w:t>
            </w:r>
            <w:r w:rsidR="007A53AA" w:rsidRPr="00B55DF8">
              <w:t xml:space="preserve"> </w:t>
            </w:r>
          </w:p>
          <w:p w14:paraId="688E6EE1" w14:textId="30DD09A9" w:rsidR="0005696D" w:rsidRDefault="007A53AA" w:rsidP="0005696D">
            <w:pPr>
              <w:pStyle w:val="Tabletextprimarysource"/>
            </w:pPr>
            <w:r w:rsidRPr="00B55DF8">
              <w:t>There are no studies of dermal absorption or of all</w:t>
            </w:r>
            <w:r>
              <w:t>ergenic effects.</w:t>
            </w:r>
          </w:p>
          <w:p w14:paraId="74846D72" w14:textId="77777777" w:rsidR="003A1DAE" w:rsidRDefault="003A1DAE" w:rsidP="003A1DAE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1FD1C816" w14:textId="5EDD4DD4" w:rsidR="007D5FD2" w:rsidRDefault="001F5B4C" w:rsidP="00571F2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 c</w:t>
            </w:r>
            <w:r w:rsidR="007D5FD2" w:rsidRPr="007D5FD2">
              <w:t xml:space="preserve">ase-control study </w:t>
            </w:r>
            <w:r>
              <w:t xml:space="preserve">on </w:t>
            </w:r>
            <w:r w:rsidR="007D5FD2" w:rsidRPr="007D5FD2">
              <w:t xml:space="preserve">patients </w:t>
            </w:r>
            <w:r>
              <w:t>with</w:t>
            </w:r>
            <w:r w:rsidR="007D5FD2" w:rsidRPr="007D5FD2">
              <w:t xml:space="preserve"> tumours</w:t>
            </w:r>
            <w:r>
              <w:t xml:space="preserve"> </w:t>
            </w:r>
            <w:r w:rsidR="007519F1">
              <w:t>was</w:t>
            </w:r>
            <w:r w:rsidR="003A1DAE">
              <w:t xml:space="preserve"> inadequate to draw conclusion</w:t>
            </w:r>
            <w:r w:rsidR="007519F1">
              <w:t xml:space="preserve"> and not applicable to</w:t>
            </w:r>
            <w:r w:rsidR="00CF1DD6">
              <w:t xml:space="preserve"> occupational exposure setting.</w:t>
            </w:r>
          </w:p>
          <w:p w14:paraId="4B71873E" w14:textId="145CCFAB" w:rsidR="003A1DAE" w:rsidRDefault="003A1DAE" w:rsidP="003A1DAE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6D2177DB" w14:textId="3FE70535" w:rsidR="003A1DAE" w:rsidRDefault="003A1DAE" w:rsidP="00571F27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LC</w:t>
            </w:r>
            <w:r w:rsidRPr="003A1DAE">
              <w:rPr>
                <w:vertAlign w:val="subscript"/>
              </w:rPr>
              <w:t>50</w:t>
            </w:r>
            <w:proofErr w:type="spellEnd"/>
            <w:r>
              <w:t>: 7,400 mg/</w:t>
            </w:r>
            <w:proofErr w:type="spellStart"/>
            <w:r>
              <w:t>m</w:t>
            </w:r>
            <w:r w:rsidRPr="003A1DAE">
              <w:rPr>
                <w:vertAlign w:val="superscript"/>
              </w:rPr>
              <w:t>3</w:t>
            </w:r>
            <w:proofErr w:type="spellEnd"/>
            <w:r>
              <w:t xml:space="preserve"> (rats, 4 h)</w:t>
            </w:r>
          </w:p>
          <w:p w14:paraId="3678A460" w14:textId="1870B1E6" w:rsidR="003A1DAE" w:rsidRDefault="003A1DAE" w:rsidP="00571F27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LD</w:t>
            </w:r>
            <w:r w:rsidRPr="003A1DAE">
              <w:rPr>
                <w:vertAlign w:val="subscript"/>
              </w:rPr>
              <w:t>50</w:t>
            </w:r>
            <w:proofErr w:type="spellEnd"/>
            <w:r>
              <w:t>: 730</w:t>
            </w:r>
            <w:r w:rsidR="00F40C9C">
              <w:t>–</w:t>
            </w:r>
            <w:r>
              <w:t>1,830 mg/kg (rats and mice, oral)</w:t>
            </w:r>
          </w:p>
          <w:p w14:paraId="0F393FB1" w14:textId="171FE251" w:rsidR="009022DA" w:rsidRDefault="00B717D6" w:rsidP="00571F2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Guinea pigs showed </w:t>
            </w:r>
            <w:r w:rsidRPr="00B717D6">
              <w:t>increased airway</w:t>
            </w:r>
            <w:r>
              <w:t xml:space="preserve"> </w:t>
            </w:r>
            <w:r w:rsidRPr="00B717D6">
              <w:t xml:space="preserve">resistance and reduced dynamic compliance </w:t>
            </w:r>
            <w:r w:rsidR="00FA6158">
              <w:t xml:space="preserve">at </w:t>
            </w:r>
            <w:r>
              <w:t>concentrations between 0.34</w:t>
            </w:r>
            <w:r w:rsidR="00F40C9C">
              <w:t>–</w:t>
            </w:r>
            <w:r>
              <w:t>42.5 m</w:t>
            </w:r>
            <w:r w:rsidR="00EB7591">
              <w:t>L</w:t>
            </w:r>
            <w:r>
              <w:t>/</w:t>
            </w:r>
            <w:proofErr w:type="spellStart"/>
            <w:r>
              <w:t>m</w:t>
            </w:r>
            <w:r w:rsidRPr="00B717D6">
              <w:rPr>
                <w:vertAlign w:val="superscript"/>
              </w:rPr>
              <w:t>3</w:t>
            </w:r>
            <w:proofErr w:type="spellEnd"/>
            <w:r w:rsidR="00135CFC">
              <w:t>, 1 h exposure</w:t>
            </w:r>
            <w:r w:rsidR="009022DA">
              <w:t>:</w:t>
            </w:r>
          </w:p>
          <w:p w14:paraId="44B0476F" w14:textId="0DA902BE" w:rsidR="00B717D6" w:rsidRDefault="00B717D6" w:rsidP="00571F27">
            <w:pPr>
              <w:pStyle w:val="ListBullet"/>
              <w:numPr>
                <w:ilvl w:val="0"/>
                <w:numId w:val="15"/>
              </w:numPr>
              <w:spacing w:before="60" w:after="60"/>
              <w:contextualSpacing w:val="0"/>
            </w:pPr>
            <w:r>
              <w:t xml:space="preserve">guinea pigs </w:t>
            </w:r>
            <w:r w:rsidR="009022DA">
              <w:t>considered</w:t>
            </w:r>
            <w:r w:rsidR="009022DA" w:rsidRPr="00B717D6">
              <w:t xml:space="preserve"> </w:t>
            </w:r>
            <w:r w:rsidRPr="00B717D6">
              <w:t xml:space="preserve">very sensitive to irritant substances and react with </w:t>
            </w:r>
            <w:proofErr w:type="gramStart"/>
            <w:r w:rsidRPr="00B717D6">
              <w:t>bronchoconstriction</w:t>
            </w:r>
            <w:r w:rsidR="009022DA">
              <w:t>;</w:t>
            </w:r>
            <w:proofErr w:type="gramEnd"/>
            <w:r w:rsidR="009022DA" w:rsidRPr="00B717D6">
              <w:t xml:space="preserve"> quantitative comparison with </w:t>
            </w:r>
            <w:r w:rsidR="009022DA">
              <w:t xml:space="preserve">humans </w:t>
            </w:r>
            <w:r w:rsidRPr="00B717D6">
              <w:t xml:space="preserve">not possible at present </w:t>
            </w:r>
          </w:p>
          <w:p w14:paraId="7AEBEBF3" w14:textId="59BD5BF4" w:rsidR="007D5FD2" w:rsidRDefault="007D5FD2" w:rsidP="00571F27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NOAEC</w:t>
            </w:r>
            <w:proofErr w:type="spellEnd"/>
            <w:r>
              <w:t xml:space="preserve">: </w:t>
            </w:r>
            <w:r w:rsidR="00C00655">
              <w:t>16</w:t>
            </w:r>
            <w:r w:rsidR="00A0193A">
              <w:t xml:space="preserve"> mL</w:t>
            </w:r>
            <w:r>
              <w:t>/</w:t>
            </w:r>
            <w:proofErr w:type="spellStart"/>
            <w:r>
              <w:t>m</w:t>
            </w:r>
            <w:r w:rsidRPr="003A1DAE">
              <w:rPr>
                <w:vertAlign w:val="superscript"/>
              </w:rPr>
              <w:t>3</w:t>
            </w:r>
            <w:proofErr w:type="spellEnd"/>
            <w:r>
              <w:t xml:space="preserve"> </w:t>
            </w:r>
            <w:r w:rsidR="00C00655">
              <w:t xml:space="preserve">(rats and mice, 13 </w:t>
            </w:r>
            <w:proofErr w:type="spellStart"/>
            <w:r w:rsidR="00C00655">
              <w:t>wk</w:t>
            </w:r>
            <w:proofErr w:type="spellEnd"/>
            <w:r w:rsidR="00C00655">
              <w:t xml:space="preserve">, inhalation) for </w:t>
            </w:r>
            <w:r w:rsidR="00135CFC" w:rsidRPr="00C00655">
              <w:t>histopathological</w:t>
            </w:r>
            <w:r w:rsidR="00135CFC">
              <w:t xml:space="preserve"> and </w:t>
            </w:r>
            <w:r w:rsidR="00C00655" w:rsidRPr="00C00655">
              <w:t xml:space="preserve">systemic </w:t>
            </w:r>
            <w:r w:rsidR="00135CFC">
              <w:t>effects (</w:t>
            </w:r>
            <w:r w:rsidR="00C00655" w:rsidRPr="00C00655">
              <w:t>changes</w:t>
            </w:r>
            <w:r w:rsidR="00135CFC">
              <w:t xml:space="preserve"> to</w:t>
            </w:r>
            <w:r w:rsidR="00204A96">
              <w:t xml:space="preserve"> </w:t>
            </w:r>
            <w:r w:rsidR="00A0193A">
              <w:t>liver weights), 32 mL</w:t>
            </w:r>
            <w:r w:rsidR="00B43B06">
              <w:t>/</w:t>
            </w:r>
            <w:proofErr w:type="spellStart"/>
            <w:r w:rsidR="00B43B06">
              <w:t>m</w:t>
            </w:r>
            <w:r w:rsidR="00B43B06" w:rsidRPr="003A1DAE">
              <w:rPr>
                <w:vertAlign w:val="superscript"/>
              </w:rPr>
              <w:t>3</w:t>
            </w:r>
            <w:proofErr w:type="spellEnd"/>
            <w:r w:rsidR="00B43B06">
              <w:t xml:space="preserve"> </w:t>
            </w:r>
            <w:r w:rsidR="000D57A0">
              <w:t xml:space="preserve">(32 ppm) </w:t>
            </w:r>
            <w:r w:rsidR="00B43B06">
              <w:t xml:space="preserve">for </w:t>
            </w:r>
            <w:r w:rsidR="00B43B06" w:rsidRPr="00B43B06">
              <w:t>lesions of the nasal epithelium</w:t>
            </w:r>
          </w:p>
          <w:p w14:paraId="641F95D3" w14:textId="1F978265" w:rsidR="00C00655" w:rsidRDefault="00C00655" w:rsidP="00571F27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NOAEL</w:t>
            </w:r>
            <w:proofErr w:type="spellEnd"/>
            <w:r>
              <w:t>: 160 mg/kg</w:t>
            </w:r>
            <w:r w:rsidR="00117D26">
              <w:t>/d</w:t>
            </w:r>
            <w:r>
              <w:t xml:space="preserve"> (rats, 27 </w:t>
            </w:r>
            <w:proofErr w:type="spellStart"/>
            <w:r>
              <w:t>wk</w:t>
            </w:r>
            <w:proofErr w:type="spellEnd"/>
            <w:r>
              <w:t>, oral)</w:t>
            </w:r>
          </w:p>
          <w:p w14:paraId="46670DB2" w14:textId="7F081F85" w:rsidR="00C00655" w:rsidRDefault="00C00655" w:rsidP="00571F27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NOAEC</w:t>
            </w:r>
            <w:proofErr w:type="spellEnd"/>
            <w:r>
              <w:t>: 128 ml/</w:t>
            </w:r>
            <w:proofErr w:type="spellStart"/>
            <w:r>
              <w:t>m</w:t>
            </w:r>
            <w:r w:rsidRPr="00C00655">
              <w:rPr>
                <w:vertAlign w:val="superscript"/>
              </w:rPr>
              <w:t>3</w:t>
            </w:r>
            <w:proofErr w:type="spellEnd"/>
            <w:r>
              <w:t xml:space="preserve"> (rats and mice, 13 </w:t>
            </w:r>
            <w:proofErr w:type="spellStart"/>
            <w:r>
              <w:t>wk</w:t>
            </w:r>
            <w:proofErr w:type="spellEnd"/>
            <w:r>
              <w:t xml:space="preserve">, inhalation) for </w:t>
            </w:r>
            <w:r w:rsidRPr="00C00655">
              <w:t>sper</w:t>
            </w:r>
            <w:r>
              <w:t xml:space="preserve">m motility, sperm concentration, </w:t>
            </w:r>
            <w:r w:rsidRPr="00C00655">
              <w:t>testis or epididymis weights</w:t>
            </w:r>
            <w:r>
              <w:t xml:space="preserve"> and </w:t>
            </w:r>
            <w:r w:rsidRPr="00C00655">
              <w:t>the oestrus cycle</w:t>
            </w:r>
          </w:p>
          <w:p w14:paraId="248D8E0E" w14:textId="734B22BE" w:rsidR="00C00655" w:rsidRDefault="00CD5B95" w:rsidP="00571F27">
            <w:pPr>
              <w:pStyle w:val="ListBullet"/>
              <w:spacing w:before="60" w:after="60"/>
              <w:ind w:left="714" w:hanging="357"/>
              <w:contextualSpacing w:val="0"/>
            </w:pPr>
            <w:r w:rsidRPr="00CD5B95">
              <w:rPr>
                <w:i/>
              </w:rPr>
              <w:t>In Vitro</w:t>
            </w:r>
            <w:r>
              <w:t xml:space="preserve"> developmental studies in rats suggested embryotoxic potential</w:t>
            </w:r>
          </w:p>
          <w:p w14:paraId="2480BD6C" w14:textId="1B366B33" w:rsidR="00327E29" w:rsidRDefault="00327E29" w:rsidP="00571F27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i/>
              </w:rPr>
              <w:t xml:space="preserve">In Vivo </w:t>
            </w:r>
            <w:r>
              <w:t>developmental study on rats for 5 generations at 0.2% and 2 generation</w:t>
            </w:r>
            <w:r w:rsidR="00EB7591">
              <w:t>s</w:t>
            </w:r>
            <w:r>
              <w:t xml:space="preserve"> at 0.4% (150</w:t>
            </w:r>
            <w:r w:rsidR="00F40C9C">
              <w:t>–</w:t>
            </w:r>
            <w:r>
              <w:t xml:space="preserve">200 mg/kg), </w:t>
            </w:r>
            <w:r w:rsidRPr="00327E29">
              <w:t>no evidence of effects on fertility</w:t>
            </w:r>
            <w:r>
              <w:t xml:space="preserve">, </w:t>
            </w:r>
            <w:r w:rsidRPr="00327E29">
              <w:t>development of the embryos, the number of litters or the body weight gains of the offspring</w:t>
            </w:r>
          </w:p>
          <w:p w14:paraId="20AAF8A0" w14:textId="1517445C" w:rsidR="00327E29" w:rsidRDefault="00B22277" w:rsidP="00571F2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</w:t>
            </w:r>
            <w:r w:rsidRPr="00B22277">
              <w:t>o convincing evidence that formic acid is mutagenic</w:t>
            </w:r>
            <w:r>
              <w:t xml:space="preserve"> in </w:t>
            </w:r>
            <w:r w:rsidR="00F40C9C">
              <w:rPr>
                <w:i/>
              </w:rPr>
              <w:t>i</w:t>
            </w:r>
            <w:r w:rsidRPr="00B22277">
              <w:rPr>
                <w:i/>
              </w:rPr>
              <w:t xml:space="preserve">n </w:t>
            </w:r>
            <w:r w:rsidR="00F40C9C">
              <w:rPr>
                <w:i/>
              </w:rPr>
              <w:t>v</w:t>
            </w:r>
            <w:r w:rsidRPr="00B22277">
              <w:rPr>
                <w:i/>
              </w:rPr>
              <w:t>itro</w:t>
            </w:r>
            <w:r>
              <w:t xml:space="preserve"> assays</w:t>
            </w:r>
          </w:p>
          <w:p w14:paraId="4D0BB033" w14:textId="77777777" w:rsidR="00B55DF8" w:rsidRDefault="00B22277" w:rsidP="001A678B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t>No evidence of carcinogenicity in short or long-term studies</w:t>
            </w:r>
            <w:r w:rsidR="00CF1DD6">
              <w:t>.</w:t>
            </w:r>
          </w:p>
          <w:p w14:paraId="563A2ED9" w14:textId="73E2560A" w:rsidR="00265BF6" w:rsidRPr="00DA352E" w:rsidRDefault="00265BF6" w:rsidP="001A678B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</w:tr>
      <w:tr w:rsidR="00C978F0" w:rsidRPr="00DA352E" w14:paraId="5014EA4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1D4E9AA" w14:textId="555E0E3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432D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2432D0">
                  <w:t>NA</w:t>
                </w:r>
                <w:proofErr w:type="spellEnd"/>
              </w:sdtContent>
            </w:sdt>
          </w:p>
        </w:tc>
      </w:tr>
      <w:tr w:rsidR="00C978F0" w:rsidRPr="00DA352E" w14:paraId="6272B0E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D6CCFF4" w14:textId="734059F6" w:rsidR="00C978F0" w:rsidRPr="00DA352E" w:rsidRDefault="002432D0" w:rsidP="003365A5">
            <w:pPr>
              <w:pStyle w:val="Tabletextprimarysource"/>
            </w:pPr>
            <w:r>
              <w:t>No report</w:t>
            </w:r>
            <w:r w:rsidR="007A53AA">
              <w:t>.</w:t>
            </w:r>
          </w:p>
        </w:tc>
      </w:tr>
      <w:tr w:rsidR="00DA352E" w:rsidRPr="00DA352E" w14:paraId="3718232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4F8C7DC" w14:textId="1B0A6AF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432D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2432D0">
                  <w:t>NA</w:t>
                </w:r>
                <w:proofErr w:type="spellEnd"/>
              </w:sdtContent>
            </w:sdt>
          </w:p>
        </w:tc>
      </w:tr>
      <w:tr w:rsidR="00DA352E" w:rsidRPr="00DA352E" w14:paraId="46DD41B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4088B85" w14:textId="055B5CE7" w:rsidR="00DA352E" w:rsidRPr="00DA352E" w:rsidRDefault="002432D0" w:rsidP="003365A5">
            <w:pPr>
              <w:pStyle w:val="Tabletextprimarysource"/>
            </w:pPr>
            <w:r>
              <w:t>No report</w:t>
            </w:r>
            <w:r w:rsidR="00CF1DD6">
              <w:t>.</w:t>
            </w:r>
          </w:p>
        </w:tc>
      </w:tr>
      <w:tr w:rsidR="00DA352E" w:rsidRPr="00DA352E" w14:paraId="43DDC14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12DC4A5" w14:textId="48BFC68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432D0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2432D0">
                  <w:t>TWA 8 hours: 5 ppm (9 mg/</w:t>
                </w:r>
                <w:proofErr w:type="spellStart"/>
                <w:r w:rsidR="002432D0">
                  <w:t>m</w:t>
                </w:r>
                <w:r w:rsidR="002432D0" w:rsidRPr="002432D0">
                  <w:rPr>
                    <w:vertAlign w:val="superscript"/>
                  </w:rPr>
                  <w:t>3</w:t>
                </w:r>
                <w:proofErr w:type="spellEnd"/>
                <w:r w:rsidR="002432D0">
                  <w:t>)</w:t>
                </w:r>
              </w:sdtContent>
            </w:sdt>
          </w:p>
        </w:tc>
      </w:tr>
      <w:tr w:rsidR="00A41E3B" w:rsidRPr="00DA352E" w14:paraId="57BF146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8D3D634" w14:textId="07FB1671" w:rsidR="00C82A81" w:rsidRDefault="00C82A81">
            <w:pPr>
              <w:pStyle w:val="ListBullet"/>
              <w:numPr>
                <w:ilvl w:val="0"/>
                <w:numId w:val="0"/>
              </w:numPr>
              <w:contextualSpacing w:val="0"/>
            </w:pPr>
            <w:proofErr w:type="spellStart"/>
            <w:r>
              <w:t>HCOTN</w:t>
            </w:r>
            <w:proofErr w:type="spellEnd"/>
            <w:r>
              <w:t xml:space="preserve"> recommends a </w:t>
            </w:r>
            <w:r w:rsidR="00CD492A">
              <w:t>15-</w:t>
            </w:r>
            <w:r w:rsidR="001A678B">
              <w:t>minute OEL of 2.5 ppm (5</w:t>
            </w:r>
            <w:r w:rsidR="00265BF6">
              <w:t xml:space="preserve"> </w:t>
            </w:r>
            <w:r w:rsidR="001A678B">
              <w:t>mg/</w:t>
            </w:r>
            <w:proofErr w:type="spellStart"/>
            <w:r w:rsidR="001A678B">
              <w:t>m</w:t>
            </w:r>
            <w:r w:rsidR="001A678B" w:rsidRPr="00204A96">
              <w:rPr>
                <w:vertAlign w:val="superscript"/>
              </w:rPr>
              <w:t>3</w:t>
            </w:r>
            <w:proofErr w:type="spellEnd"/>
            <w:r w:rsidR="001A678B">
              <w:t xml:space="preserve">) to avoid bronchoconstriction observed in Guinea pigs during 1 </w:t>
            </w:r>
            <w:r w:rsidR="00117D26">
              <w:t>h</w:t>
            </w:r>
            <w:r w:rsidR="00CD492A">
              <w:t xml:space="preserve"> </w:t>
            </w:r>
            <w:r w:rsidR="001A678B">
              <w:t xml:space="preserve">exposure. Combined with applying an assessment factor of 6 to the </w:t>
            </w:r>
            <w:proofErr w:type="spellStart"/>
            <w:r w:rsidR="001A678B">
              <w:t>NOAEL</w:t>
            </w:r>
            <w:proofErr w:type="spellEnd"/>
            <w:r w:rsidR="001A678B">
              <w:t xml:space="preserve"> of 16 ppm for local irritant and systematic effects in mice and rats</w:t>
            </w:r>
            <w:r w:rsidR="00001436">
              <w:t xml:space="preserve"> and rounding up according to </w:t>
            </w:r>
            <w:proofErr w:type="spellStart"/>
            <w:r w:rsidR="00001436">
              <w:t>HCOTN</w:t>
            </w:r>
            <w:proofErr w:type="spellEnd"/>
            <w:r w:rsidR="00001436">
              <w:t xml:space="preserve"> methodology</w:t>
            </w:r>
            <w:r w:rsidR="001A678B">
              <w:t>.</w:t>
            </w:r>
          </w:p>
          <w:p w14:paraId="429E149D" w14:textId="437273DE" w:rsidR="009A1F11" w:rsidRDefault="009A1F11" w:rsidP="009A1F11">
            <w:pPr>
              <w:pStyle w:val="ListBullet"/>
              <w:numPr>
                <w:ilvl w:val="0"/>
                <w:numId w:val="0"/>
              </w:numPr>
              <w:ind w:left="360" w:hanging="360"/>
              <w:contextualSpacing w:val="0"/>
            </w:pPr>
            <w:r>
              <w:t>Additional data:</w:t>
            </w:r>
          </w:p>
          <w:p w14:paraId="5F9640A0" w14:textId="4698ACAA" w:rsidR="009A1F11" w:rsidRDefault="00B717D6" w:rsidP="00571F27">
            <w:pPr>
              <w:pStyle w:val="ListBullet"/>
              <w:spacing w:before="60" w:after="60"/>
              <w:ind w:left="714" w:hanging="357"/>
              <w:contextualSpacing w:val="0"/>
            </w:pPr>
            <w:r w:rsidRPr="00B717D6">
              <w:t>50% increase in airway resistance occur at an exposure concentration of formic acid between 2</w:t>
            </w:r>
            <w:r w:rsidR="001D4BF6">
              <w:t>–</w:t>
            </w:r>
            <w:r w:rsidRPr="00B717D6">
              <w:t>5 mg/</w:t>
            </w:r>
            <w:proofErr w:type="spellStart"/>
            <w:r w:rsidRPr="00B717D6">
              <w:t>m</w:t>
            </w:r>
            <w:r w:rsidRPr="009A1F11">
              <w:rPr>
                <w:vertAlign w:val="superscript"/>
              </w:rPr>
              <w:t>3</w:t>
            </w:r>
            <w:proofErr w:type="spellEnd"/>
            <w:r w:rsidRPr="00B717D6">
              <w:t xml:space="preserve"> (</w:t>
            </w:r>
            <w:r w:rsidR="001D4BF6">
              <w:t>1–</w:t>
            </w:r>
            <w:r w:rsidRPr="00B717D6">
              <w:t>2.8 ppm</w:t>
            </w:r>
            <w:r w:rsidR="007519F1">
              <w:t>,</w:t>
            </w:r>
            <w:r w:rsidR="00C82A81">
              <w:t xml:space="preserve"> 1 h, </w:t>
            </w:r>
            <w:r w:rsidR="007519F1">
              <w:t>guinea pigs</w:t>
            </w:r>
            <w:r w:rsidRPr="00B717D6">
              <w:t xml:space="preserve">). </w:t>
            </w:r>
            <w:r w:rsidR="007519F1">
              <w:t>Similar b</w:t>
            </w:r>
            <w:r w:rsidR="007519F1" w:rsidRPr="00B717D6">
              <w:t xml:space="preserve">ronchoconstriction </w:t>
            </w:r>
            <w:r w:rsidR="007519F1">
              <w:t xml:space="preserve">response possible in humans. </w:t>
            </w:r>
          </w:p>
          <w:p w14:paraId="2D4C0095" w14:textId="604FF13D" w:rsidR="00F40C9C" w:rsidRPr="00DA352E" w:rsidRDefault="00F40C9C" w:rsidP="00571F27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</w:pPr>
          </w:p>
        </w:tc>
      </w:tr>
    </w:tbl>
    <w:p w14:paraId="587F20DD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3"/>
        <w:gridCol w:w="661"/>
        <w:gridCol w:w="6445"/>
      </w:tblGrid>
      <w:tr w:rsidR="004966BF" w:rsidRPr="00263255" w14:paraId="220C10CC" w14:textId="77777777" w:rsidTr="00C35334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201CAFE1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07940C4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5A8BD57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45748481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E9D3F58" w14:textId="77777777" w:rsidTr="00C35334">
        <w:trPr>
          <w:cantSplit/>
        </w:trPr>
        <w:tc>
          <w:tcPr>
            <w:tcW w:w="1497" w:type="dxa"/>
          </w:tcPr>
          <w:p w14:paraId="58A2898C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3" w:type="dxa"/>
          </w:tcPr>
          <w:p w14:paraId="6E83A3D0" w14:textId="220BC311" w:rsidR="004966BF" w:rsidRPr="00CE617F" w:rsidRDefault="00EC718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3533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B30483D" w14:textId="53D25B1A" w:rsidR="004966BF" w:rsidRPr="004C23F4" w:rsidRDefault="00C3533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45" w:type="dxa"/>
          </w:tcPr>
          <w:p w14:paraId="39CFEAF0" w14:textId="18ABEC8E" w:rsidR="004966BF" w:rsidRPr="00C35334" w:rsidRDefault="00A0193A" w:rsidP="00571F27">
            <w:pPr>
              <w:pStyle w:val="ListBullet"/>
              <w:spacing w:before="60" w:after="60"/>
              <w:ind w:left="612" w:hanging="255"/>
              <w:contextualSpacing w:val="0"/>
            </w:pPr>
            <w:r>
              <w:t>N</w:t>
            </w:r>
            <w:r w:rsidR="00C35334" w:rsidRPr="00C35334">
              <w:t>ot shown to be a skin sensitiser in a Buehler study</w:t>
            </w:r>
          </w:p>
          <w:p w14:paraId="165038BC" w14:textId="0E8DC668" w:rsidR="00C35334" w:rsidRPr="00C35334" w:rsidRDefault="00A0193A" w:rsidP="00571F27">
            <w:pPr>
              <w:pStyle w:val="ListBullet"/>
              <w:spacing w:before="60" w:after="60"/>
              <w:ind w:left="612" w:hanging="255"/>
              <w:contextualSpacing w:val="0"/>
              <w:rPr>
                <w:rStyle w:val="checkbox"/>
                <w:rFonts w:ascii="Arial" w:hAnsi="Arial"/>
              </w:rPr>
            </w:pPr>
            <w:r>
              <w:t>Sensitisation in human</w:t>
            </w:r>
            <w:r w:rsidR="00C35334" w:rsidRPr="00C35334">
              <w:t xml:space="preserve"> reported when the patient had been previously sensitised to formaldehyde</w:t>
            </w:r>
            <w:r>
              <w:t>.</w:t>
            </w:r>
          </w:p>
        </w:tc>
      </w:tr>
    </w:tbl>
    <w:p w14:paraId="238B30AC" w14:textId="77777777" w:rsidR="007E2A4B" w:rsidRDefault="007E2A4B"/>
    <w:bookmarkEnd w:id="0"/>
    <w:p w14:paraId="2DD7095B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5D1425D" w14:textId="77777777" w:rsidTr="005505BD">
        <w:trPr>
          <w:trHeight w:val="454"/>
          <w:tblHeader/>
        </w:trPr>
        <w:tc>
          <w:tcPr>
            <w:tcW w:w="6603" w:type="dxa"/>
            <w:vAlign w:val="center"/>
          </w:tcPr>
          <w:p w14:paraId="2D8EBDD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58162D35" w14:textId="2ED5FD9B" w:rsidR="002E0D61" w:rsidRDefault="005505B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7CA4CFE" w14:textId="77777777" w:rsidTr="005505BD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A6C4F5E" w14:textId="5AF7BBE9" w:rsidR="008A36CF" w:rsidRPr="006901A2" w:rsidRDefault="005505BD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2D956E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03E9A7F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EE537A0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CB9A6F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9467436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30E553C" w14:textId="77777777" w:rsidTr="00812887">
        <w:trPr>
          <w:cantSplit/>
        </w:trPr>
        <w:tc>
          <w:tcPr>
            <w:tcW w:w="3227" w:type="dxa"/>
          </w:tcPr>
          <w:p w14:paraId="5A93C04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14444BF" w14:textId="08CED687" w:rsidR="00687890" w:rsidRPr="00DD2F9B" w:rsidRDefault="002432D0" w:rsidP="00DD2F9B">
            <w:pPr>
              <w:pStyle w:val="Tablefont"/>
            </w:pPr>
            <w:r w:rsidRPr="002432D0">
              <w:t>—</w:t>
            </w:r>
          </w:p>
        </w:tc>
      </w:tr>
      <w:tr w:rsidR="007925F0" w:rsidRPr="004C23F4" w14:paraId="270D23E7" w14:textId="77777777" w:rsidTr="00812887">
        <w:trPr>
          <w:cantSplit/>
        </w:trPr>
        <w:tc>
          <w:tcPr>
            <w:tcW w:w="3227" w:type="dxa"/>
          </w:tcPr>
          <w:p w14:paraId="37E8D6C2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7A83A2E5" w14:textId="32B037A3" w:rsidR="007925F0" w:rsidRPr="00DD2F9B" w:rsidRDefault="002432D0" w:rsidP="00DD2F9B">
            <w:pPr>
              <w:pStyle w:val="Tablefont"/>
            </w:pPr>
            <w:r w:rsidRPr="002432D0">
              <w:t>—</w:t>
            </w:r>
          </w:p>
        </w:tc>
      </w:tr>
      <w:tr w:rsidR="00AF483F" w:rsidRPr="004C23F4" w14:paraId="080C1231" w14:textId="77777777" w:rsidTr="00812887">
        <w:trPr>
          <w:cantSplit/>
        </w:trPr>
        <w:tc>
          <w:tcPr>
            <w:tcW w:w="3227" w:type="dxa"/>
          </w:tcPr>
          <w:p w14:paraId="3E27205F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7E11B2FA" w14:textId="77494CA3" w:rsidR="00AF483F" w:rsidRPr="00DD2F9B" w:rsidRDefault="002432D0" w:rsidP="00DD2F9B">
            <w:pPr>
              <w:pStyle w:val="Tablefont"/>
            </w:pPr>
            <w:r w:rsidRPr="002432D0">
              <w:t>—</w:t>
            </w:r>
          </w:p>
        </w:tc>
      </w:tr>
      <w:tr w:rsidR="00687890" w:rsidRPr="004C23F4" w14:paraId="5968F276" w14:textId="77777777" w:rsidTr="00812887">
        <w:trPr>
          <w:cantSplit/>
        </w:trPr>
        <w:tc>
          <w:tcPr>
            <w:tcW w:w="3227" w:type="dxa"/>
          </w:tcPr>
          <w:p w14:paraId="52228E88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2C2E21B" w14:textId="3283A83B" w:rsidR="00687890" w:rsidRPr="00DD2F9B" w:rsidRDefault="002432D0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64EC628" w14:textId="77777777" w:rsidTr="00812887">
        <w:trPr>
          <w:cantSplit/>
        </w:trPr>
        <w:tc>
          <w:tcPr>
            <w:tcW w:w="3227" w:type="dxa"/>
          </w:tcPr>
          <w:p w14:paraId="2A2A6BBD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8740774" w14:textId="33EACD11" w:rsidR="00E41A26" w:rsidRPr="00DD2F9B" w:rsidRDefault="002432D0" w:rsidP="00DD2F9B">
            <w:pPr>
              <w:pStyle w:val="Tablefont"/>
            </w:pPr>
            <w:r w:rsidRPr="002432D0">
              <w:t>—</w:t>
            </w:r>
          </w:p>
        </w:tc>
      </w:tr>
      <w:tr w:rsidR="002E0D61" w:rsidRPr="004C23F4" w14:paraId="31C4C446" w14:textId="77777777" w:rsidTr="00812887">
        <w:trPr>
          <w:cantSplit/>
        </w:trPr>
        <w:tc>
          <w:tcPr>
            <w:tcW w:w="3227" w:type="dxa"/>
          </w:tcPr>
          <w:p w14:paraId="2714BE48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61D48A26" w14:textId="4253CFBD" w:rsidR="002E0D61" w:rsidRPr="00DD2F9B" w:rsidRDefault="002432D0" w:rsidP="00DD2F9B">
            <w:pPr>
              <w:pStyle w:val="Tablefont"/>
            </w:pPr>
            <w:r w:rsidRPr="002432D0">
              <w:t>—</w:t>
            </w:r>
          </w:p>
        </w:tc>
      </w:tr>
      <w:tr w:rsidR="002E0D61" w:rsidRPr="004C23F4" w14:paraId="35B3250F" w14:textId="77777777" w:rsidTr="00812887">
        <w:trPr>
          <w:cantSplit/>
        </w:trPr>
        <w:tc>
          <w:tcPr>
            <w:tcW w:w="3227" w:type="dxa"/>
          </w:tcPr>
          <w:p w14:paraId="64AA7D8E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7B9F9F67" w14:textId="7C618ECD" w:rsidR="002E0D61" w:rsidRPr="00DD2F9B" w:rsidRDefault="002432D0" w:rsidP="00DD2F9B">
            <w:pPr>
              <w:pStyle w:val="Tablefont"/>
            </w:pPr>
            <w:r w:rsidRPr="002432D0">
              <w:t>—</w:t>
            </w:r>
          </w:p>
        </w:tc>
      </w:tr>
      <w:tr w:rsidR="002E0D61" w:rsidRPr="004C23F4" w14:paraId="16DE8FCA" w14:textId="77777777" w:rsidTr="00812887">
        <w:trPr>
          <w:cantSplit/>
        </w:trPr>
        <w:tc>
          <w:tcPr>
            <w:tcW w:w="3227" w:type="dxa"/>
          </w:tcPr>
          <w:p w14:paraId="34A186FE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33C4903F" w14:textId="3855F233" w:rsidR="002E0D61" w:rsidRPr="00DD2F9B" w:rsidRDefault="002432D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F2FD3B5" w14:textId="77777777" w:rsidTr="00812887">
        <w:trPr>
          <w:cantSplit/>
        </w:trPr>
        <w:tc>
          <w:tcPr>
            <w:tcW w:w="3227" w:type="dxa"/>
          </w:tcPr>
          <w:p w14:paraId="733EF61F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5174F6E0" w14:textId="08E58449" w:rsidR="002E0D61" w:rsidRPr="00DD2F9B" w:rsidRDefault="002432D0" w:rsidP="00DD2F9B">
            <w:pPr>
              <w:pStyle w:val="Tablefont"/>
            </w:pPr>
            <w:r w:rsidRPr="002432D0">
              <w:t>—</w:t>
            </w:r>
          </w:p>
        </w:tc>
      </w:tr>
      <w:tr w:rsidR="00386093" w:rsidRPr="004C23F4" w14:paraId="315FFE10" w14:textId="77777777" w:rsidTr="00812887">
        <w:trPr>
          <w:cantSplit/>
        </w:trPr>
        <w:tc>
          <w:tcPr>
            <w:tcW w:w="3227" w:type="dxa"/>
          </w:tcPr>
          <w:p w14:paraId="38D9828C" w14:textId="77777777" w:rsidR="004079B4" w:rsidRDefault="00386093" w:rsidP="00F4402E">
            <w:pPr>
              <w:pStyle w:val="Tablefont"/>
            </w:pPr>
            <w:r>
              <w:lastRenderedPageBreak/>
              <w:t>IARC</w:t>
            </w:r>
          </w:p>
        </w:tc>
        <w:tc>
          <w:tcPr>
            <w:tcW w:w="6015" w:type="dxa"/>
          </w:tcPr>
          <w:p w14:paraId="0B720CC1" w14:textId="343ADAD9" w:rsidR="00386093" w:rsidRPr="00DD2F9B" w:rsidRDefault="002432D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7E6743E" w14:textId="77777777" w:rsidTr="00812887">
        <w:trPr>
          <w:cantSplit/>
        </w:trPr>
        <w:tc>
          <w:tcPr>
            <w:tcW w:w="3227" w:type="dxa"/>
          </w:tcPr>
          <w:p w14:paraId="4AA27D42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56AC37D3" w14:textId="3A28E604" w:rsidR="00386093" w:rsidRPr="00DD2F9B" w:rsidRDefault="002432D0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F063927" w14:textId="3129BCF4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  <w:r w:rsidR="00745C55">
        <w:t>.</w:t>
      </w:r>
    </w:p>
    <w:p w14:paraId="3CCB63B6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CF8B442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1BD0F16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670311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5C2805B7" w14:textId="576D9B16" w:rsidR="00932DCE" w:rsidRPr="004C23F4" w:rsidRDefault="00545A3B" w:rsidP="00F9496B">
            <w:pPr>
              <w:pStyle w:val="Tablefont"/>
            </w:pPr>
            <w:r w:rsidRPr="00545A3B">
              <w:t>Insufficient data to assign a skin notation</w:t>
            </w:r>
            <w:r>
              <w:t>.</w:t>
            </w:r>
          </w:p>
        </w:tc>
      </w:tr>
    </w:tbl>
    <w:bookmarkEnd w:id="3"/>
    <w:p w14:paraId="191849FA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269ABD94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3DAB0A5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7B785F5" w14:textId="3EA01123" w:rsidR="00EB3D1B" w:rsidRDefault="002432D0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967ABB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548D697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9342463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064C2AF" w14:textId="019F2CB1" w:rsidR="001B79E5" w:rsidRDefault="00143D37" w:rsidP="001B79E5">
                <w:pPr>
                  <w:pStyle w:val="Tablefont"/>
                </w:pPr>
                <w:r w:rsidRPr="00143D37">
                  <w:t>46.03</w:t>
                </w:r>
              </w:p>
            </w:tc>
          </w:sdtContent>
        </w:sdt>
      </w:tr>
      <w:tr w:rsidR="00A31D99" w:rsidRPr="004C23F4" w14:paraId="6AB36D5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0132B41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0A6F4B96" w14:textId="203C651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143D37">
                  <w:t>1.88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143D37">
                  <w:t>0.532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9B5AD7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076972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090450B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C373681" w14:textId="77777777" w:rsidTr="00EA6243">
        <w:trPr>
          <w:cantSplit/>
        </w:trPr>
        <w:tc>
          <w:tcPr>
            <w:tcW w:w="4077" w:type="dxa"/>
            <w:vAlign w:val="center"/>
          </w:tcPr>
          <w:p w14:paraId="69CC4D7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DC5115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9848492" w14:textId="77777777" w:rsidTr="00EA6243">
        <w:trPr>
          <w:cantSplit/>
        </w:trPr>
        <w:tc>
          <w:tcPr>
            <w:tcW w:w="4077" w:type="dxa"/>
            <w:vAlign w:val="center"/>
          </w:tcPr>
          <w:p w14:paraId="1D32F56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6FCC0FD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8394095" w14:textId="77777777" w:rsidTr="00EA6243">
        <w:trPr>
          <w:cantSplit/>
        </w:trPr>
        <w:tc>
          <w:tcPr>
            <w:tcW w:w="4077" w:type="dxa"/>
            <w:vAlign w:val="center"/>
          </w:tcPr>
          <w:p w14:paraId="1BDECD00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D6B4B6C" w14:textId="77777777" w:rsidR="00E06F40" w:rsidRPr="00A006A0" w:rsidRDefault="00EC718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376F5F8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023AA4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6AFCDB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17427B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64167A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3497FF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5BE72A8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6325C97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516EE6A" w14:textId="51648FBE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1DBAB2E9" w14:textId="4565E3C1" w:rsidR="00143D37" w:rsidRDefault="00143D37" w:rsidP="00143D37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(2003) </w:t>
      </w:r>
      <w:r w:rsidRPr="00143D37">
        <w:t>Formic Acid</w:t>
      </w:r>
      <w:r>
        <w:t xml:space="preserve"> – MAK value documentation.</w:t>
      </w:r>
    </w:p>
    <w:p w14:paraId="4A062593" w14:textId="77777777" w:rsidR="007A53AA" w:rsidRDefault="007A53AA" w:rsidP="007A53AA">
      <w:r>
        <w:t>European Chemicals Agency (ECHA) (2016) formic acid – REACH assessment.</w:t>
      </w:r>
    </w:p>
    <w:p w14:paraId="12A99438" w14:textId="7DADBB30" w:rsidR="00143D37" w:rsidRDefault="00143D37" w:rsidP="00084859">
      <w:r w:rsidRPr="002022B6">
        <w:t>Health Council of the Netherlands</w:t>
      </w:r>
      <w:r>
        <w:t xml:space="preserve"> (</w:t>
      </w:r>
      <w:proofErr w:type="spellStart"/>
      <w:r>
        <w:t>HCOTN</w:t>
      </w:r>
      <w:proofErr w:type="spellEnd"/>
      <w:r>
        <w:t xml:space="preserve">) (2005) </w:t>
      </w:r>
      <w:r w:rsidRPr="00143D37">
        <w:t>Formic acid</w:t>
      </w:r>
      <w:r w:rsidRPr="005F7416">
        <w:t xml:space="preserve">. Health-based calculated occupational cancer risk values. The Hague: Health Council of the Netherlands; publication no. </w:t>
      </w:r>
      <w:r w:rsidRPr="00143D37">
        <w:t>2000/</w:t>
      </w:r>
      <w:proofErr w:type="spellStart"/>
      <w:r w:rsidRPr="00143D37">
        <w:t>15OSH</w:t>
      </w:r>
      <w:proofErr w:type="spellEnd"/>
      <w:r w:rsidRPr="00143D37">
        <w:t>/149</w:t>
      </w:r>
      <w:r>
        <w:t>.</w:t>
      </w:r>
    </w:p>
    <w:p w14:paraId="4E8C5A17" w14:textId="5CA84F6A" w:rsidR="00143D37" w:rsidRDefault="00143D37" w:rsidP="00143D37">
      <w:pPr>
        <w:rPr>
          <w:b/>
        </w:rPr>
      </w:pPr>
      <w:r w:rsidRPr="002022B6">
        <w:t>National Industrial Chemicals Notification and Assessment Scheme (</w:t>
      </w:r>
      <w:proofErr w:type="spellStart"/>
      <w:r w:rsidRPr="002022B6">
        <w:t>NICNAS</w:t>
      </w:r>
      <w:proofErr w:type="spellEnd"/>
      <w:r w:rsidRPr="002022B6">
        <w:t>)</w:t>
      </w:r>
      <w:r>
        <w:t xml:space="preserve"> (2013) </w:t>
      </w:r>
      <w:r w:rsidRPr="00143D37">
        <w:t>Formic acid</w:t>
      </w:r>
      <w:r w:rsidRPr="0071660C">
        <w:t xml:space="preserve">: Human health </w:t>
      </w:r>
      <w:r>
        <w:t xml:space="preserve">tier II </w:t>
      </w:r>
      <w:r w:rsidRPr="0071660C">
        <w:t>assessment</w:t>
      </w:r>
      <w:r>
        <w:t xml:space="preserve"> – IMAP report.</w:t>
      </w:r>
    </w:p>
    <w:p w14:paraId="28F2E720" w14:textId="41ED068D" w:rsidR="00143D37" w:rsidRPr="00351FE0" w:rsidRDefault="00143D37" w:rsidP="00084859">
      <w:r w:rsidRPr="00D86E03">
        <w:lastRenderedPageBreak/>
        <w:t>US National Institute for Occupational Safety and Health (</w:t>
      </w:r>
      <w:proofErr w:type="spellStart"/>
      <w:r w:rsidRPr="00D86E03">
        <w:t>NIOSH</w:t>
      </w:r>
      <w:proofErr w:type="spellEnd"/>
      <w:r w:rsidRPr="00D86E03">
        <w:t>)</w:t>
      </w:r>
      <w:r>
        <w:t xml:space="preserve"> (1994) Immediately dangerous to life or health concentrations – formic acid.</w:t>
      </w:r>
    </w:p>
    <w:sectPr w:rsidR="00143D37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AF30D" w14:textId="77777777" w:rsidR="00FA0517" w:rsidRDefault="00FA0517" w:rsidP="00F43AD5">
      <w:pPr>
        <w:spacing w:after="0" w:line="240" w:lineRule="auto"/>
      </w:pPr>
      <w:r>
        <w:separator/>
      </w:r>
    </w:p>
  </w:endnote>
  <w:endnote w:type="continuationSeparator" w:id="0">
    <w:p w14:paraId="1C05968F" w14:textId="77777777" w:rsidR="00FA0517" w:rsidRDefault="00FA051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1B8C5" w14:textId="77777777" w:rsidR="00403CB4" w:rsidRDefault="00403C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1679C22" w14:textId="77777777" w:rsidR="000F1D12" w:rsidRPr="000F1D12" w:rsidRDefault="000F1D12" w:rsidP="000F1D12">
        <w:pPr>
          <w:pStyle w:val="Footer"/>
          <w:rPr>
            <w:b/>
            <w:sz w:val="18"/>
            <w:szCs w:val="18"/>
          </w:rPr>
        </w:pPr>
      </w:p>
      <w:p w14:paraId="7076779A" w14:textId="7EDD7C52" w:rsidR="008A36CF" w:rsidRDefault="000F1D12" w:rsidP="000F1D12">
        <w:pPr>
          <w:pStyle w:val="Footer"/>
          <w:rPr>
            <w:sz w:val="18"/>
            <w:szCs w:val="18"/>
          </w:rPr>
        </w:pPr>
        <w:r w:rsidRPr="000F1D12">
          <w:rPr>
            <w:b/>
            <w:sz w:val="18"/>
            <w:szCs w:val="18"/>
          </w:rPr>
          <w:t>Formic acid</w:t>
        </w:r>
        <w:r w:rsidR="008A36CF">
          <w:rPr>
            <w:b/>
            <w:sz w:val="18"/>
            <w:szCs w:val="18"/>
          </w:rPr>
          <w:t xml:space="preserve"> (</w:t>
        </w:r>
        <w:r w:rsidRPr="000F1D12">
          <w:rPr>
            <w:b/>
            <w:sz w:val="18"/>
            <w:szCs w:val="18"/>
          </w:rPr>
          <w:t>64-18-6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BD72FE8" w14:textId="252F45BC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03CB4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AB77E" w14:textId="77777777" w:rsidR="00403CB4" w:rsidRDefault="00403C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9828A" w14:textId="77777777" w:rsidR="00FA0517" w:rsidRDefault="00FA0517" w:rsidP="00F43AD5">
      <w:pPr>
        <w:spacing w:after="0" w:line="240" w:lineRule="auto"/>
      </w:pPr>
      <w:r>
        <w:separator/>
      </w:r>
    </w:p>
  </w:footnote>
  <w:footnote w:type="continuationSeparator" w:id="0">
    <w:p w14:paraId="500989AE" w14:textId="77777777" w:rsidR="00FA0517" w:rsidRDefault="00FA051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0FC8E" w14:textId="64034A12" w:rsidR="00403CB4" w:rsidRDefault="00403C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D9E71" w14:textId="6D3D7079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7F27D" w14:textId="2909475C" w:rsidR="00403CB4" w:rsidRDefault="00403CB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03399" w14:textId="44A0691F" w:rsidR="00403CB4" w:rsidRDefault="00403CB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3B35E" w14:textId="58EDB0EA" w:rsidR="008A36CF" w:rsidRDefault="00403CB4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2939E19A" wp14:editId="2C909774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5735B" w14:textId="6910CD49" w:rsidR="00403CB4" w:rsidRDefault="00403C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F5685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9F11C88"/>
    <w:multiLevelType w:val="hybridMultilevel"/>
    <w:tmpl w:val="7A407B6C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 w16cid:durableId="2066029242">
    <w:abstractNumId w:val="0"/>
  </w:num>
  <w:num w:numId="2" w16cid:durableId="946275706">
    <w:abstractNumId w:val="0"/>
  </w:num>
  <w:num w:numId="3" w16cid:durableId="328991596">
    <w:abstractNumId w:val="0"/>
  </w:num>
  <w:num w:numId="4" w16cid:durableId="860048491">
    <w:abstractNumId w:val="0"/>
  </w:num>
  <w:num w:numId="5" w16cid:durableId="570507544">
    <w:abstractNumId w:val="0"/>
  </w:num>
  <w:num w:numId="6" w16cid:durableId="1953854128">
    <w:abstractNumId w:val="0"/>
  </w:num>
  <w:num w:numId="7" w16cid:durableId="1939555911">
    <w:abstractNumId w:val="0"/>
  </w:num>
  <w:num w:numId="8" w16cid:durableId="449709444">
    <w:abstractNumId w:val="0"/>
  </w:num>
  <w:num w:numId="9" w16cid:durableId="1101799734">
    <w:abstractNumId w:val="0"/>
  </w:num>
  <w:num w:numId="10" w16cid:durableId="1864828697">
    <w:abstractNumId w:val="0"/>
  </w:num>
  <w:num w:numId="11" w16cid:durableId="409928217">
    <w:abstractNumId w:val="0"/>
  </w:num>
  <w:num w:numId="12" w16cid:durableId="1810174038">
    <w:abstractNumId w:val="0"/>
  </w:num>
  <w:num w:numId="13" w16cid:durableId="1295141663">
    <w:abstractNumId w:val="0"/>
  </w:num>
  <w:num w:numId="14" w16cid:durableId="1913616278">
    <w:abstractNumId w:val="0"/>
  </w:num>
  <w:num w:numId="15" w16cid:durableId="1488520777">
    <w:abstractNumId w:val="1"/>
  </w:num>
  <w:num w:numId="16" w16cid:durableId="131382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1436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96D"/>
    <w:rsid w:val="00056EC2"/>
    <w:rsid w:val="00057A84"/>
    <w:rsid w:val="00060B48"/>
    <w:rsid w:val="00067F32"/>
    <w:rsid w:val="00071807"/>
    <w:rsid w:val="00075ADC"/>
    <w:rsid w:val="000803E1"/>
    <w:rsid w:val="00084513"/>
    <w:rsid w:val="00084859"/>
    <w:rsid w:val="00087BE1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2FF"/>
    <w:rsid w:val="000D291C"/>
    <w:rsid w:val="000D57A0"/>
    <w:rsid w:val="000E5A54"/>
    <w:rsid w:val="000E63D3"/>
    <w:rsid w:val="000E67CF"/>
    <w:rsid w:val="000F1D12"/>
    <w:rsid w:val="00101B50"/>
    <w:rsid w:val="0010461E"/>
    <w:rsid w:val="00106FAA"/>
    <w:rsid w:val="00113443"/>
    <w:rsid w:val="00117D26"/>
    <w:rsid w:val="001269A7"/>
    <w:rsid w:val="00131092"/>
    <w:rsid w:val="0013305D"/>
    <w:rsid w:val="00135CFC"/>
    <w:rsid w:val="00140E6A"/>
    <w:rsid w:val="00143D37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A678B"/>
    <w:rsid w:val="001B2A76"/>
    <w:rsid w:val="001B79E5"/>
    <w:rsid w:val="001C5109"/>
    <w:rsid w:val="001C5DE2"/>
    <w:rsid w:val="001D4BF6"/>
    <w:rsid w:val="001D56F0"/>
    <w:rsid w:val="001D663B"/>
    <w:rsid w:val="001D7B41"/>
    <w:rsid w:val="001E46DA"/>
    <w:rsid w:val="001E7D80"/>
    <w:rsid w:val="001F4B6C"/>
    <w:rsid w:val="001F5B4C"/>
    <w:rsid w:val="001F62CB"/>
    <w:rsid w:val="001F6ED0"/>
    <w:rsid w:val="001F72E6"/>
    <w:rsid w:val="001F73C5"/>
    <w:rsid w:val="002046A6"/>
    <w:rsid w:val="00204956"/>
    <w:rsid w:val="00204A96"/>
    <w:rsid w:val="00213640"/>
    <w:rsid w:val="002151E9"/>
    <w:rsid w:val="00215DBB"/>
    <w:rsid w:val="00221547"/>
    <w:rsid w:val="002216FC"/>
    <w:rsid w:val="00222533"/>
    <w:rsid w:val="00222F30"/>
    <w:rsid w:val="00223847"/>
    <w:rsid w:val="00224EE2"/>
    <w:rsid w:val="00227EC7"/>
    <w:rsid w:val="0023515D"/>
    <w:rsid w:val="002432D0"/>
    <w:rsid w:val="00244A95"/>
    <w:rsid w:val="00244AD1"/>
    <w:rsid w:val="002463BC"/>
    <w:rsid w:val="002465CE"/>
    <w:rsid w:val="0025734A"/>
    <w:rsid w:val="00263255"/>
    <w:rsid w:val="00265BF6"/>
    <w:rsid w:val="00276494"/>
    <w:rsid w:val="00277B0C"/>
    <w:rsid w:val="002B1A2C"/>
    <w:rsid w:val="002B3A2B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27E29"/>
    <w:rsid w:val="003337DA"/>
    <w:rsid w:val="00334EFB"/>
    <w:rsid w:val="00335CDE"/>
    <w:rsid w:val="003365A5"/>
    <w:rsid w:val="00347192"/>
    <w:rsid w:val="0034744C"/>
    <w:rsid w:val="00347EE2"/>
    <w:rsid w:val="00351FE0"/>
    <w:rsid w:val="00352615"/>
    <w:rsid w:val="0035412B"/>
    <w:rsid w:val="003567A8"/>
    <w:rsid w:val="00356C70"/>
    <w:rsid w:val="00362895"/>
    <w:rsid w:val="00370DBF"/>
    <w:rsid w:val="0037793D"/>
    <w:rsid w:val="00380067"/>
    <w:rsid w:val="00385F82"/>
    <w:rsid w:val="00386093"/>
    <w:rsid w:val="003904A4"/>
    <w:rsid w:val="00391841"/>
    <w:rsid w:val="00391B6D"/>
    <w:rsid w:val="00394922"/>
    <w:rsid w:val="003A0E32"/>
    <w:rsid w:val="003A1DAE"/>
    <w:rsid w:val="003A2B94"/>
    <w:rsid w:val="003A6540"/>
    <w:rsid w:val="003B387D"/>
    <w:rsid w:val="003C0D58"/>
    <w:rsid w:val="003D4FA3"/>
    <w:rsid w:val="003E0807"/>
    <w:rsid w:val="003E51FB"/>
    <w:rsid w:val="003E55F2"/>
    <w:rsid w:val="003E6B39"/>
    <w:rsid w:val="003F07E1"/>
    <w:rsid w:val="004030BC"/>
    <w:rsid w:val="00403CB4"/>
    <w:rsid w:val="00403F7D"/>
    <w:rsid w:val="00406785"/>
    <w:rsid w:val="004079B4"/>
    <w:rsid w:val="00417A56"/>
    <w:rsid w:val="00420957"/>
    <w:rsid w:val="00422A10"/>
    <w:rsid w:val="00424CF2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0F00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45A3B"/>
    <w:rsid w:val="005505BD"/>
    <w:rsid w:val="00551BD8"/>
    <w:rsid w:val="00571F27"/>
    <w:rsid w:val="00577044"/>
    <w:rsid w:val="00581055"/>
    <w:rsid w:val="00585D7D"/>
    <w:rsid w:val="00591E38"/>
    <w:rsid w:val="00594710"/>
    <w:rsid w:val="005A19C5"/>
    <w:rsid w:val="005A3034"/>
    <w:rsid w:val="005A31DB"/>
    <w:rsid w:val="005A462D"/>
    <w:rsid w:val="005B1A50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0923"/>
    <w:rsid w:val="006363A8"/>
    <w:rsid w:val="00636DB7"/>
    <w:rsid w:val="00637FD4"/>
    <w:rsid w:val="00650905"/>
    <w:rsid w:val="006532ED"/>
    <w:rsid w:val="006549F2"/>
    <w:rsid w:val="006567B7"/>
    <w:rsid w:val="00657159"/>
    <w:rsid w:val="00657BFB"/>
    <w:rsid w:val="0066333C"/>
    <w:rsid w:val="006639B4"/>
    <w:rsid w:val="006650FE"/>
    <w:rsid w:val="0067305D"/>
    <w:rsid w:val="00674242"/>
    <w:rsid w:val="00677D9B"/>
    <w:rsid w:val="006867F3"/>
    <w:rsid w:val="00687890"/>
    <w:rsid w:val="006901A2"/>
    <w:rsid w:val="00690368"/>
    <w:rsid w:val="0069079C"/>
    <w:rsid w:val="00690B53"/>
    <w:rsid w:val="00695B72"/>
    <w:rsid w:val="006971A0"/>
    <w:rsid w:val="006A13CF"/>
    <w:rsid w:val="006B160A"/>
    <w:rsid w:val="006B4E6C"/>
    <w:rsid w:val="006B50B6"/>
    <w:rsid w:val="006C0FC1"/>
    <w:rsid w:val="006D79EA"/>
    <w:rsid w:val="006E3073"/>
    <w:rsid w:val="006E5D05"/>
    <w:rsid w:val="006F380A"/>
    <w:rsid w:val="00701053"/>
    <w:rsid w:val="007013F9"/>
    <w:rsid w:val="00701507"/>
    <w:rsid w:val="00714021"/>
    <w:rsid w:val="007159D3"/>
    <w:rsid w:val="00716A0F"/>
    <w:rsid w:val="00717D45"/>
    <w:rsid w:val="007208F7"/>
    <w:rsid w:val="007218AF"/>
    <w:rsid w:val="007365D1"/>
    <w:rsid w:val="00740E0E"/>
    <w:rsid w:val="00745C55"/>
    <w:rsid w:val="00750212"/>
    <w:rsid w:val="007519F1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53AA"/>
    <w:rsid w:val="007B1B42"/>
    <w:rsid w:val="007C30EB"/>
    <w:rsid w:val="007D5FD2"/>
    <w:rsid w:val="007E063C"/>
    <w:rsid w:val="007E2A4B"/>
    <w:rsid w:val="007E307D"/>
    <w:rsid w:val="007E6A4E"/>
    <w:rsid w:val="007E6C94"/>
    <w:rsid w:val="007E7266"/>
    <w:rsid w:val="007F1005"/>
    <w:rsid w:val="007F1D4F"/>
    <w:rsid w:val="007F25E0"/>
    <w:rsid w:val="007F5328"/>
    <w:rsid w:val="00804F5A"/>
    <w:rsid w:val="00810C6D"/>
    <w:rsid w:val="00812887"/>
    <w:rsid w:val="00826F21"/>
    <w:rsid w:val="00831CBF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C6746"/>
    <w:rsid w:val="008D026D"/>
    <w:rsid w:val="008D23AB"/>
    <w:rsid w:val="008D26FD"/>
    <w:rsid w:val="008D4B8B"/>
    <w:rsid w:val="008D5A78"/>
    <w:rsid w:val="008E7B64"/>
    <w:rsid w:val="008F5DCD"/>
    <w:rsid w:val="00900951"/>
    <w:rsid w:val="009022DA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414B"/>
    <w:rsid w:val="0093760E"/>
    <w:rsid w:val="00946044"/>
    <w:rsid w:val="0094660B"/>
    <w:rsid w:val="00946A33"/>
    <w:rsid w:val="0095260E"/>
    <w:rsid w:val="009578DD"/>
    <w:rsid w:val="00961124"/>
    <w:rsid w:val="009621B6"/>
    <w:rsid w:val="00971A5E"/>
    <w:rsid w:val="00974F2D"/>
    <w:rsid w:val="00977524"/>
    <w:rsid w:val="00977E88"/>
    <w:rsid w:val="00984920"/>
    <w:rsid w:val="0099303A"/>
    <w:rsid w:val="009971C2"/>
    <w:rsid w:val="009A1254"/>
    <w:rsid w:val="009A1F11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93A"/>
    <w:rsid w:val="00A01D0C"/>
    <w:rsid w:val="00A0643F"/>
    <w:rsid w:val="00A067EE"/>
    <w:rsid w:val="00A10FCE"/>
    <w:rsid w:val="00A16D91"/>
    <w:rsid w:val="00A174CC"/>
    <w:rsid w:val="00A2073D"/>
    <w:rsid w:val="00A20751"/>
    <w:rsid w:val="00A23E9A"/>
    <w:rsid w:val="00A27E2D"/>
    <w:rsid w:val="00A31D99"/>
    <w:rsid w:val="00A357BA"/>
    <w:rsid w:val="00A35ADC"/>
    <w:rsid w:val="00A369DB"/>
    <w:rsid w:val="00A402A3"/>
    <w:rsid w:val="00A41E3B"/>
    <w:rsid w:val="00A53510"/>
    <w:rsid w:val="00A53681"/>
    <w:rsid w:val="00A633D4"/>
    <w:rsid w:val="00A6461A"/>
    <w:rsid w:val="00A71965"/>
    <w:rsid w:val="00A84504"/>
    <w:rsid w:val="00A8672F"/>
    <w:rsid w:val="00A93057"/>
    <w:rsid w:val="00A968B0"/>
    <w:rsid w:val="00AA13F0"/>
    <w:rsid w:val="00AB2672"/>
    <w:rsid w:val="00AB2817"/>
    <w:rsid w:val="00AB43C4"/>
    <w:rsid w:val="00AC32E7"/>
    <w:rsid w:val="00AC3A9F"/>
    <w:rsid w:val="00AC6D2F"/>
    <w:rsid w:val="00AE2745"/>
    <w:rsid w:val="00AE2F64"/>
    <w:rsid w:val="00AE5781"/>
    <w:rsid w:val="00AF42CB"/>
    <w:rsid w:val="00AF483F"/>
    <w:rsid w:val="00AF5E07"/>
    <w:rsid w:val="00AF5F06"/>
    <w:rsid w:val="00B00A25"/>
    <w:rsid w:val="00B1422A"/>
    <w:rsid w:val="00B1765C"/>
    <w:rsid w:val="00B213C4"/>
    <w:rsid w:val="00B22277"/>
    <w:rsid w:val="00B40C60"/>
    <w:rsid w:val="00B43B06"/>
    <w:rsid w:val="00B479A9"/>
    <w:rsid w:val="00B52EDF"/>
    <w:rsid w:val="00B55DF8"/>
    <w:rsid w:val="00B56AE1"/>
    <w:rsid w:val="00B71188"/>
    <w:rsid w:val="00B717D6"/>
    <w:rsid w:val="00B75F1E"/>
    <w:rsid w:val="00B76A41"/>
    <w:rsid w:val="00B87D4C"/>
    <w:rsid w:val="00B93646"/>
    <w:rsid w:val="00BA0B38"/>
    <w:rsid w:val="00BA1DBB"/>
    <w:rsid w:val="00BA4510"/>
    <w:rsid w:val="00BA529A"/>
    <w:rsid w:val="00BA537E"/>
    <w:rsid w:val="00BB612A"/>
    <w:rsid w:val="00BD499F"/>
    <w:rsid w:val="00BD56DE"/>
    <w:rsid w:val="00BF2406"/>
    <w:rsid w:val="00C00655"/>
    <w:rsid w:val="00C06E43"/>
    <w:rsid w:val="00C16315"/>
    <w:rsid w:val="00C3091E"/>
    <w:rsid w:val="00C35334"/>
    <w:rsid w:val="00C405A6"/>
    <w:rsid w:val="00C40FF1"/>
    <w:rsid w:val="00C419E2"/>
    <w:rsid w:val="00C4774D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4EAA"/>
    <w:rsid w:val="00C82A81"/>
    <w:rsid w:val="00C850A0"/>
    <w:rsid w:val="00C85A86"/>
    <w:rsid w:val="00C90F43"/>
    <w:rsid w:val="00C978F0"/>
    <w:rsid w:val="00CA0913"/>
    <w:rsid w:val="00CA58FE"/>
    <w:rsid w:val="00CB1CB1"/>
    <w:rsid w:val="00CB6BC1"/>
    <w:rsid w:val="00CB6CB8"/>
    <w:rsid w:val="00CC1A68"/>
    <w:rsid w:val="00CC2123"/>
    <w:rsid w:val="00CD2BFD"/>
    <w:rsid w:val="00CD492A"/>
    <w:rsid w:val="00CD5B95"/>
    <w:rsid w:val="00CE5AD6"/>
    <w:rsid w:val="00CE617F"/>
    <w:rsid w:val="00CE78EF"/>
    <w:rsid w:val="00CF1DD6"/>
    <w:rsid w:val="00D02BAC"/>
    <w:rsid w:val="00D048F7"/>
    <w:rsid w:val="00D0517E"/>
    <w:rsid w:val="00D140FC"/>
    <w:rsid w:val="00D21D8C"/>
    <w:rsid w:val="00D31357"/>
    <w:rsid w:val="00D33220"/>
    <w:rsid w:val="00D334D1"/>
    <w:rsid w:val="00D44C89"/>
    <w:rsid w:val="00D50BC9"/>
    <w:rsid w:val="00D516CD"/>
    <w:rsid w:val="00D668E6"/>
    <w:rsid w:val="00D70670"/>
    <w:rsid w:val="00D74D80"/>
    <w:rsid w:val="00D76624"/>
    <w:rsid w:val="00D87570"/>
    <w:rsid w:val="00D91CB9"/>
    <w:rsid w:val="00D9237C"/>
    <w:rsid w:val="00D97989"/>
    <w:rsid w:val="00D97D8D"/>
    <w:rsid w:val="00DA352E"/>
    <w:rsid w:val="00DC7694"/>
    <w:rsid w:val="00DD1BF6"/>
    <w:rsid w:val="00DD2F9B"/>
    <w:rsid w:val="00DD4627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3BB2"/>
    <w:rsid w:val="00E37CFD"/>
    <w:rsid w:val="00E41A26"/>
    <w:rsid w:val="00E46BCB"/>
    <w:rsid w:val="00E51CAF"/>
    <w:rsid w:val="00E60F04"/>
    <w:rsid w:val="00E62AAC"/>
    <w:rsid w:val="00E66063"/>
    <w:rsid w:val="00E675D3"/>
    <w:rsid w:val="00E67C2F"/>
    <w:rsid w:val="00E67EF5"/>
    <w:rsid w:val="00E804EA"/>
    <w:rsid w:val="00E80A71"/>
    <w:rsid w:val="00E82337"/>
    <w:rsid w:val="00E87303"/>
    <w:rsid w:val="00E873C8"/>
    <w:rsid w:val="00E92499"/>
    <w:rsid w:val="00E949AF"/>
    <w:rsid w:val="00E96077"/>
    <w:rsid w:val="00EA0A06"/>
    <w:rsid w:val="00EA6243"/>
    <w:rsid w:val="00EA74AB"/>
    <w:rsid w:val="00EB3D1B"/>
    <w:rsid w:val="00EB7591"/>
    <w:rsid w:val="00EC7187"/>
    <w:rsid w:val="00ED1D89"/>
    <w:rsid w:val="00ED66BC"/>
    <w:rsid w:val="00EF233A"/>
    <w:rsid w:val="00EF303E"/>
    <w:rsid w:val="00EF3A40"/>
    <w:rsid w:val="00EF78EF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0C9C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517"/>
    <w:rsid w:val="00FA06A8"/>
    <w:rsid w:val="00FA3DF5"/>
    <w:rsid w:val="00FA6158"/>
    <w:rsid w:val="00FA741F"/>
    <w:rsid w:val="00FB4E07"/>
    <w:rsid w:val="00FB755A"/>
    <w:rsid w:val="00FC309C"/>
    <w:rsid w:val="00FC60A2"/>
    <w:rsid w:val="00FD16AE"/>
    <w:rsid w:val="00FD1871"/>
    <w:rsid w:val="00FD3110"/>
    <w:rsid w:val="00FD4A6A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143D37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101B50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15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5DB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5DB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5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5DB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9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8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31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4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8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2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7719B9BA187C436B8ED73B08219CD2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4DBD29-28E3-49F7-A35E-4D086576ADDD}"/>
      </w:docPartPr>
      <w:docPartBody>
        <w:p w:rsidR="00A34670" w:rsidRDefault="00046454" w:rsidP="00046454">
          <w:pPr>
            <w:pStyle w:val="7719B9BA187C436B8ED73B08219CD2B6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46454"/>
    <w:rsid w:val="000E1FB3"/>
    <w:rsid w:val="002D2A1F"/>
    <w:rsid w:val="006C46D1"/>
    <w:rsid w:val="00A34670"/>
    <w:rsid w:val="00A369DB"/>
    <w:rsid w:val="00D21A9F"/>
    <w:rsid w:val="00DC69F2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46454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7719B9BA187C436B8ED73B08219CD2B6">
    <w:name w:val="7719B9BA187C436B8ED73B08219CD2B6"/>
    <w:rsid w:val="000464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8DB6E6-2778-490B-887F-CE7D9BBCAB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E53662-BF90-4BA5-80A7-525C6BE6ED09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a0509f21-ed56-4150-9955-96be669e5f2d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1c567317-0c4d-4a62-8516-c22afd1b5354"/>
  </ds:schemaRefs>
</ds:datastoreItem>
</file>

<file path=customXml/itemProps3.xml><?xml version="1.0" encoding="utf-8"?>
<ds:datastoreItem xmlns:ds="http://schemas.openxmlformats.org/officeDocument/2006/customXml" ds:itemID="{FF13C6AB-E412-469B-99AD-0DCCCEFB12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A87152-06F4-4DF2-9A37-4389157FE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1177</Words>
  <Characters>6462</Characters>
  <Application>Microsoft Office Word</Application>
  <DocSecurity>0</DocSecurity>
  <Lines>201</Lines>
  <Paragraphs>159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2019-11-27T03:46:00Z</dcterms:created>
  <dcterms:modified xsi:type="dcterms:W3CDTF">2026-01-09T00:17:00Z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2025-12-24T00:01:46Z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39c07a58-e742-4aac-a7ae-1a230d076d66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